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60"/>
        <w:jc w:val="center"/>
      </w:pPr>
      <w:r>
        <w:rPr>
          <w:b/>
          <w:color w:val="064E3B"/>
          <w:sz w:val="44"/>
        </w:rPr>
        <w:t>AGROVISION AI: MULTI-CROP FOLIAR DISEASE DETECTION &amp; PATHOLOGY INTELLIGENCE PLATFORM</w:t>
      </w:r>
    </w:p>
    <w:p>
      <w:pPr>
        <w:spacing w:after="400"/>
        <w:jc w:val="center"/>
      </w:pPr>
      <w:r>
        <w:rPr>
          <w:i/>
          <w:color w:val="475569"/>
          <w:sz w:val="24"/>
        </w:rPr>
        <w:t>A Comprehensive Capstone Project Report on End-to-End Computer Vision System Engineering, Multi-Host Deep Learning Architectures, Empirical Field Generalization, and Production Web Deployment</w:t>
      </w:r>
    </w:p>
    <w:p>
      <w:pPr>
        <w:spacing w:after="240"/>
      </w:pPr>
    </w:p>
    <w:tbl>
      <w:tblPr>
        <w:tblW w:type="auto" w:w="0"/>
        <w:jc w:val="center"/>
        <w:tblLook w:firstColumn="1" w:firstRow="1" w:lastColumn="0" w:lastRow="0" w:noHBand="0" w:noVBand="1" w:val="04A0"/>
      </w:tblPr>
      <w:tblGrid>
        <w:gridCol w:w="4680"/>
        <w:gridCol w:w="4680"/>
      </w:tblGrid>
      <w:tr>
        <w:tc>
          <w:tcPr>
            <w:tcW w:type="dxa" w:w="3456"/>
            <w:shd w:fill="F8FAFC"/>
          </w:tcPr>
          <w:p>
            <w:pPr>
              <w:spacing w:after="40"/>
            </w:pPr>
            <w:r>
              <w:rPr>
                <w:b/>
                <w:color w:val="0F172A"/>
                <w:sz w:val="20"/>
              </w:rPr>
              <w:t>Academic Domain:</w:t>
            </w:r>
          </w:p>
        </w:tc>
        <w:tc>
          <w:tcPr>
            <w:tcW w:type="dxa" w:w="5904"/>
            <w:shd w:fill="F1F5F9"/>
          </w:tcPr>
          <w:p>
            <w:pPr>
              <w:spacing w:after="40"/>
            </w:pPr>
            <w:r>
              <w:rPr>
                <w:color w:val="1E293B"/>
                <w:sz w:val="20"/>
              </w:rPr>
              <w:t>Computer Vision | Deep Learning | Precision Agriculture</w:t>
            </w:r>
          </w:p>
        </w:tc>
      </w:tr>
      <w:tr>
        <w:tc>
          <w:tcPr>
            <w:tcW w:type="dxa" w:w="3456"/>
            <w:shd w:fill="F8FAFC"/>
          </w:tcPr>
          <w:p>
            <w:pPr>
              <w:spacing w:after="40"/>
            </w:pPr>
            <w:r>
              <w:rPr>
                <w:b/>
                <w:color w:val="0F172A"/>
                <w:sz w:val="20"/>
              </w:rPr>
              <w:t>Target Agricultural Hosts (5):</w:t>
            </w:r>
          </w:p>
        </w:tc>
        <w:tc>
          <w:tcPr>
            <w:tcW w:type="dxa" w:w="5904"/>
            <w:shd w:fill="F1F5F9"/>
          </w:tcPr>
          <w:p>
            <w:pPr>
              <w:spacing w:after="40"/>
            </w:pPr>
            <w:r>
              <w:rPr>
                <w:color w:val="1E293B"/>
                <w:sz w:val="20"/>
              </w:rPr>
              <w:t>Potato (Solanaceae), Tomato (Solanaceae), Apple (Rosaceae), Corn (Poaceae), Grape (Vitaceae)</w:t>
            </w:r>
          </w:p>
        </w:tc>
      </w:tr>
      <w:tr>
        <w:tc>
          <w:tcPr>
            <w:tcW w:type="dxa" w:w="3456"/>
            <w:shd w:fill="F8FAFC"/>
          </w:tcPr>
          <w:p>
            <w:pPr>
              <w:spacing w:after="40"/>
            </w:pPr>
            <w:r>
              <w:rPr>
                <w:b/>
                <w:color w:val="0F172A"/>
                <w:sz w:val="20"/>
              </w:rPr>
              <w:t>Classified Pathologies:</w:t>
            </w:r>
          </w:p>
        </w:tc>
        <w:tc>
          <w:tcPr>
            <w:tcW w:type="dxa" w:w="5904"/>
            <w:shd w:fill="F1F5F9"/>
          </w:tcPr>
          <w:p>
            <w:pPr>
              <w:spacing w:after="40"/>
            </w:pPr>
            <w:r>
              <w:rPr>
                <w:color w:val="1E293B"/>
                <w:sz w:val="20"/>
              </w:rPr>
              <w:t>15 Classes (5 Healthy Baselines + 10 Destructive Pathological Infections)</w:t>
            </w:r>
          </w:p>
        </w:tc>
      </w:tr>
      <w:tr>
        <w:tc>
          <w:tcPr>
            <w:tcW w:type="dxa" w:w="3456"/>
            <w:shd w:fill="F8FAFC"/>
          </w:tcPr>
          <w:p>
            <w:pPr>
              <w:spacing w:after="40"/>
            </w:pPr>
            <w:r>
              <w:rPr>
                <w:b/>
                <w:color w:val="0F172A"/>
                <w:sz w:val="20"/>
              </w:rPr>
              <w:t>Open-Source Code Repository:</w:t>
            </w:r>
          </w:p>
        </w:tc>
        <w:tc>
          <w:tcPr>
            <w:tcW w:type="dxa" w:w="5904"/>
            <w:shd w:fill="F1F5F9"/>
          </w:tcPr>
          <w:p>
            <w:pPr>
              <w:spacing w:after="40"/>
            </w:pPr>
            <w:r>
              <w:rPr>
                <w:color w:val="1E293B"/>
                <w:sz w:val="20"/>
              </w:rPr>
              <w:t>https://github.com/REHANKHANN20/agrovision-plant-disease-detection</w:t>
            </w:r>
          </w:p>
        </w:tc>
      </w:tr>
      <w:tr>
        <w:tc>
          <w:tcPr>
            <w:tcW w:type="dxa" w:w="3456"/>
            <w:shd w:fill="F8FAFC"/>
          </w:tcPr>
          <w:p>
            <w:pPr>
              <w:spacing w:after="40"/>
            </w:pPr>
            <w:r>
              <w:rPr>
                <w:b/>
                <w:color w:val="0F172A"/>
                <w:sz w:val="20"/>
              </w:rPr>
              <w:t>24/7 Permanent Web System:</w:t>
            </w:r>
          </w:p>
        </w:tc>
        <w:tc>
          <w:tcPr>
            <w:tcW w:type="dxa" w:w="5904"/>
            <w:shd w:fill="F1F5F9"/>
          </w:tcPr>
          <w:p>
            <w:pPr>
              <w:spacing w:after="40"/>
            </w:pPr>
            <w:r>
              <w:rPr>
                <w:color w:val="1E293B"/>
                <w:sz w:val="20"/>
              </w:rPr>
              <w:t>https://agrovision--ai.streamlit.app</w:t>
            </w:r>
          </w:p>
        </w:tc>
      </w:tr>
      <w:tr>
        <w:tc>
          <w:tcPr>
            <w:tcW w:type="dxa" w:w="3456"/>
            <w:shd w:fill="F8FAFC"/>
          </w:tcPr>
          <w:p>
            <w:pPr>
              <w:spacing w:after="40"/>
            </w:pPr>
            <w:r>
              <w:rPr>
                <w:b/>
                <w:color w:val="0F172A"/>
                <w:sz w:val="20"/>
              </w:rPr>
              <w:t>Student Submission Team:</w:t>
            </w:r>
          </w:p>
        </w:tc>
        <w:tc>
          <w:tcPr>
            <w:tcW w:type="dxa" w:w="5904"/>
            <w:shd w:fill="F1F5F9"/>
          </w:tcPr>
          <w:p>
            <w:pPr>
              <w:spacing w:after="40"/>
            </w:pPr>
            <w:r>
              <w:rPr>
                <w:color w:val="1E293B"/>
                <w:sz w:val="20"/>
              </w:rPr>
              <w:t>Project Team [Equal Joint Contribution Across All 5 Members]</w:t>
            </w:r>
          </w:p>
        </w:tc>
      </w:tr>
    </w:tbl>
    <w:p>
      <w:r>
        <w:br w:type="page"/>
      </w:r>
    </w:p>
    <w:p>
      <w:pPr>
        <w:keepNext/>
        <w:spacing w:before="320" w:after="120"/>
      </w:pPr>
      <w:r>
        <w:rPr>
          <w:b/>
          <w:color w:val="064E3B"/>
          <w:sz w:val="32"/>
        </w:rPr>
        <w:t>CHAPTER 1: PROBLEM FORMULATION &amp; AGRONOMIC MOTIVATION</w:t>
      </w:r>
    </w:p>
    <w:p>
      <w:pPr>
        <w:spacing w:before="0" w:after="100" w:line="276" w:lineRule="auto"/>
      </w:pPr>
      <w:r>
        <w:rPr>
          <w:i w:val="0"/>
          <w:color w:val="1E293B"/>
          <w:sz w:val="21"/>
        </w:rPr>
        <w:t>Agriculture forms the socioeconomic backbone of developing nations, directly employing over 50% of the rural workforce in countries like India. However, infectious plant foliar diseases present a persistent crisis, accounting for annual global yield losses between 20% and 40%, translating to over $220 billion in direct economic damage according to the Food and Agriculture Organization (FAO).</w:t>
      </w:r>
    </w:p>
    <w:p>
      <w:pPr>
        <w:keepNext/>
        <w:spacing w:before="320" w:after="120"/>
      </w:pPr>
      <w:r>
        <w:rPr>
          <w:b/>
          <w:color w:val="0F172A"/>
          <w:sz w:val="26"/>
        </w:rPr>
        <w:t>1.1 The Critical Bottleneck of Manual Pathological Scouting</w:t>
      </w:r>
    </w:p>
    <w:p>
      <w:pPr>
        <w:spacing w:before="0" w:after="100" w:line="276" w:lineRule="auto"/>
      </w:pPr>
      <w:r>
        <w:rPr>
          <w:i w:val="0"/>
          <w:color w:val="1E293B"/>
          <w:sz w:val="21"/>
        </w:rPr>
        <w:t>Traditional crop disease management relies almost entirely on visual inspection by agricultural extension officers or experienced farmers. This manual workflow exhibits three fatal deficiencies:</w:t>
      </w:r>
    </w:p>
    <w:p>
      <w:pPr>
        <w:pStyle w:val="ListBullet"/>
        <w:spacing w:before="20" w:after="60" w:line="276" w:lineRule="auto"/>
      </w:pPr>
      <w:r>
        <w:rPr>
          <w:b/>
          <w:color w:val="1E293B"/>
          <w:sz w:val="21"/>
        </w:rPr>
        <w:t>Human Subjectivity &amp; Error:</w:t>
      </w:r>
      <w:r>
        <w:rPr>
          <w:color w:val="1E293B"/>
          <w:sz w:val="21"/>
        </w:rPr>
        <w:t xml:space="preserve"> Early-stage symptoms of different diseases—such as fungal Early Blight versus physiological leaf scorch—exhibit subtle chromatic overlap that is frequently misdiagnosed by naked-eye observation.</w:t>
      </w:r>
    </w:p>
    <w:p>
      <w:pPr>
        <w:pStyle w:val="ListBullet"/>
        <w:spacing w:before="20" w:after="60" w:line="276" w:lineRule="auto"/>
      </w:pPr>
      <w:r>
        <w:rPr>
          <w:b/>
          <w:color w:val="1E293B"/>
          <w:sz w:val="21"/>
        </w:rPr>
        <w:t>Scarcity of Pathologists:</w:t>
      </w:r>
      <w:r>
        <w:rPr>
          <w:color w:val="1E293B"/>
          <w:sz w:val="21"/>
        </w:rPr>
        <w:t xml:space="preserve"> Smallholder and remote rural farming communities suffer from an acute shortage of certified agronomists, meaning diseases are typically detected only after reaching late-stage necrotic phases when crop rescue is impossible.</w:t>
      </w:r>
    </w:p>
    <w:p>
      <w:pPr>
        <w:pStyle w:val="ListBullet"/>
        <w:spacing w:before="20" w:after="60" w:line="276" w:lineRule="auto"/>
      </w:pPr>
      <w:r>
        <w:rPr>
          <w:b/>
          <w:color w:val="1E293B"/>
          <w:sz w:val="21"/>
        </w:rPr>
        <w:t>Overuse of Toxic Fungicides:</w:t>
      </w:r>
      <w:r>
        <w:rPr>
          <w:color w:val="1E293B"/>
          <w:sz w:val="21"/>
        </w:rPr>
        <w:t xml:space="preserve"> Fearing total crop failure, farmers routinely apply aggressive broad-spectrum chemical sprays preemptively, contaminating groundwater, accelerating fungal chemical resistance, and inflating farmer debt.</w:t>
      </w:r>
    </w:p>
    <w:p>
      <w:pPr>
        <w:keepNext/>
        <w:spacing w:before="320" w:after="120"/>
      </w:pPr>
      <w:r>
        <w:rPr>
          <w:b/>
          <w:color w:val="0F172A"/>
          <w:sz w:val="26"/>
        </w:rPr>
        <w:t>1.2 The 'Laboratory-to-Field' Academic Gap</w:t>
      </w:r>
    </w:p>
    <w:p>
      <w:pPr>
        <w:spacing w:before="0" w:after="100" w:line="276" w:lineRule="auto"/>
      </w:pPr>
      <w:r>
        <w:rPr>
          <w:i w:val="0"/>
          <w:color w:val="1E293B"/>
          <w:sz w:val="21"/>
        </w:rPr>
        <w:t>While extensive academic literature reports convolutional neural networks achieving &gt;98% accuracy on benchmark datasets like PlantVillage, these models consistently collapse when evaluated in commercial farm conditions. This phenomenon, known as Domain-Shift Breakdown, stems from:</w:t>
      </w:r>
    </w:p>
    <w:p>
      <w:pPr>
        <w:pStyle w:val="ListBullet"/>
        <w:spacing w:before="20" w:after="60" w:line="276" w:lineRule="auto"/>
      </w:pPr>
      <w:r>
        <w:rPr>
          <w:b/>
          <w:color w:val="1E293B"/>
          <w:sz w:val="21"/>
        </w:rPr>
        <w:t>Background Clutter:</w:t>
      </w:r>
      <w:r>
        <w:rPr>
          <w:color w:val="1E293B"/>
          <w:sz w:val="21"/>
        </w:rPr>
        <w:t xml:space="preserve"> PlantVillage leaves are cut and placed onto flat, neutral, laboratory paper backings. Real field leaves are surrounded by soil, weeds, irrigation tubing, and overlapping foliage.</w:t>
      </w:r>
    </w:p>
    <w:p>
      <w:pPr>
        <w:pStyle w:val="ListBullet"/>
        <w:spacing w:before="20" w:after="60" w:line="276" w:lineRule="auto"/>
      </w:pPr>
      <w:r>
        <w:rPr>
          <w:b/>
          <w:color w:val="1E293B"/>
          <w:sz w:val="21"/>
        </w:rPr>
        <w:t>Solar Illumination Dynamics:</w:t>
      </w:r>
      <w:r>
        <w:rPr>
          <w:color w:val="1E293B"/>
          <w:sz w:val="21"/>
        </w:rPr>
        <w:t xml:space="preserve"> Field leaves experience extreme lighting shifts—harsh direct midday sun, specular glare, and deep shadows—which distort raw RGB pixel values.</w:t>
      </w:r>
    </w:p>
    <w:p>
      <w:pPr>
        <w:pStyle w:val="ListBullet"/>
        <w:spacing w:before="20" w:after="60" w:line="276" w:lineRule="auto"/>
      </w:pPr>
      <w:r>
        <w:rPr>
          <w:b/>
          <w:color w:val="1E293B"/>
          <w:sz w:val="21"/>
        </w:rPr>
        <w:t>Multi-Host Scarcity:</w:t>
      </w:r>
      <w:r>
        <w:rPr>
          <w:color w:val="1E293B"/>
          <w:sz w:val="21"/>
        </w:rPr>
        <w:t xml:space="preserve"> Most published projects focus narrowly on a single crop (e.g., potato only or tomato only), creating fragmented tools that are useless to multi-crop farmers.</w:t>
      </w:r>
    </w:p>
    <w:p>
      <w:pPr>
        <w:keepNext/>
        <w:spacing w:before="320" w:after="120"/>
      </w:pPr>
      <w:r>
        <w:rPr>
          <w:b/>
          <w:color w:val="0F172A"/>
          <w:sz w:val="26"/>
        </w:rPr>
        <w:t>1.3 Project Purpose &amp; Core Engineering Objectives</w:t>
      </w:r>
    </w:p>
    <w:p>
      <w:pPr>
        <w:spacing w:before="0" w:after="100" w:line="276" w:lineRule="auto"/>
      </w:pPr>
      <w:r>
        <w:rPr>
          <w:i w:val="0"/>
          <w:color w:val="1E293B"/>
          <w:sz w:val="21"/>
        </w:rPr>
        <w:t>To overcome these challenges, AgroVision AI was conceptualized and engineered from the ground up as a unified, production-grade diagnostic platform. The foundational objectives established were:</w:t>
      </w:r>
    </w:p>
    <w:p>
      <w:pPr>
        <w:pStyle w:val="ListBullet"/>
        <w:spacing w:before="20" w:after="60" w:line="276" w:lineRule="auto"/>
      </w:pPr>
      <w:r>
        <w:rPr>
          <w:b/>
          <w:color w:val="1E293B"/>
          <w:sz w:val="21"/>
        </w:rPr>
        <w:t>Simultaneous 5-Crop Intelligence:</w:t>
      </w:r>
      <w:r>
        <w:rPr>
          <w:color w:val="1E293B"/>
          <w:sz w:val="21"/>
        </w:rPr>
        <w:t xml:space="preserve"> Deploy fully active neural networks across 5 economic pillars: Potato, Tomato, Apple, Corn, and Grape.</w:t>
      </w:r>
    </w:p>
    <w:p>
      <w:pPr>
        <w:pStyle w:val="ListBullet"/>
        <w:spacing w:before="20" w:after="60" w:line="276" w:lineRule="auto"/>
      </w:pPr>
      <w:r>
        <w:rPr>
          <w:b/>
          <w:color w:val="1E293B"/>
          <w:sz w:val="21"/>
        </w:rPr>
        <w:t>Authentic Multi-Source Data Ingestion:</w:t>
      </w:r>
      <w:r>
        <w:rPr>
          <w:color w:val="1E293B"/>
          <w:sz w:val="21"/>
        </w:rPr>
        <w:t xml:space="preserve"> Supplement lab baselines with real-world Indian vineyard imagery from Mendeley GVLiD (DOI: 10.17632/wkymf8bhcg.5) and open agricultural farm repositories.</w:t>
      </w:r>
    </w:p>
    <w:p>
      <w:pPr>
        <w:pStyle w:val="ListBullet"/>
        <w:spacing w:before="20" w:after="60" w:line="276" w:lineRule="auto"/>
      </w:pPr>
      <w:r>
        <w:rPr>
          <w:b/>
          <w:color w:val="1E293B"/>
          <w:sz w:val="21"/>
        </w:rPr>
        <w:t>Specialized Convolutional Architectures:</w:t>
      </w:r>
      <w:r>
        <w:rPr>
          <w:color w:val="1E293B"/>
          <w:sz w:val="21"/>
        </w:rPr>
        <w:t xml:space="preserve"> Design a Custom Dual-Pool CNN (MaxPooling + AveragePooling) for textured fungal blights, alongside MobileNetV2 inverted residual blocks for edge deployment.</w:t>
      </w:r>
    </w:p>
    <w:p>
      <w:pPr>
        <w:pStyle w:val="ListBullet"/>
        <w:spacing w:before="20" w:after="60" w:line="276" w:lineRule="auto"/>
      </w:pPr>
      <w:r>
        <w:rPr>
          <w:b/>
          <w:color w:val="1E293B"/>
          <w:sz w:val="21"/>
        </w:rPr>
        <w:t>Dual-Suite Empirical Benchmarking:</w:t>
      </w:r>
      <w:r>
        <w:rPr>
          <w:color w:val="1E293B"/>
          <w:sz w:val="21"/>
        </w:rPr>
        <w:t xml:space="preserve"> Measure performance transparently against both controlled held-out test splits and wild field imagery.</w:t>
      </w:r>
    </w:p>
    <w:p>
      <w:pPr>
        <w:pStyle w:val="ListBullet"/>
        <w:spacing w:before="20" w:after="60" w:line="276" w:lineRule="auto"/>
      </w:pPr>
      <w:r>
        <w:rPr>
          <w:b/>
          <w:color w:val="1E293B"/>
          <w:sz w:val="21"/>
        </w:rPr>
        <w:t>End-to-End Actionable MLOps:</w:t>
      </w:r>
      <w:r>
        <w:rPr>
          <w:color w:val="1E293B"/>
          <w:sz w:val="21"/>
        </w:rPr>
        <w:t xml:space="preserve"> Deliver a 24/7 web application providing Plotly probability distributions, Shannon entropy uncertainty scores, chemical dosages (g/L), and downloadable clinical PDF reports.</w:t>
      </w:r>
    </w:p>
    <w:p>
      <w:pPr>
        <w:keepNext/>
        <w:spacing w:before="320" w:after="120"/>
      </w:pPr>
      <w:r>
        <w:rPr>
          <w:b/>
          <w:color w:val="064E3B"/>
          <w:sz w:val="32"/>
        </w:rPr>
        <w:t>CHAPTER 2: TARGET CROPS &amp; PATHOLOGICAL SPECTRUM</w:t>
      </w:r>
    </w:p>
    <w:p>
      <w:pPr>
        <w:spacing w:before="0" w:after="100" w:line="276" w:lineRule="auto"/>
      </w:pPr>
      <w:r>
        <w:rPr>
          <w:i w:val="0"/>
          <w:color w:val="1E293B"/>
          <w:sz w:val="21"/>
        </w:rPr>
        <w:t>Rather than selecting arbitrary plants, our suite specifically targeted 5 vital crops that represent distinct botanical families, canopy geometries, and severe economic vulnerabilities.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064E3B"/>
          </w:tcPr>
          <w:p>
            <w:pPr>
              <w:jc w:val="center"/>
            </w:pPr>
            <w:r>
              <w:rPr>
                <w:b/>
                <w:color w:val="FFFFFF"/>
                <w:sz w:val="19"/>
              </w:rPr>
              <w:t>Crop Host</w:t>
            </w:r>
          </w:p>
        </w:tc>
        <w:tc>
          <w:tcPr>
            <w:tcW w:type="dxa" w:w="1872"/>
            <w:shd w:fill="064E3B"/>
          </w:tcPr>
          <w:p>
            <w:pPr>
              <w:jc w:val="center"/>
            </w:pPr>
            <w:r>
              <w:rPr>
                <w:b/>
                <w:color w:val="FFFFFF"/>
                <w:sz w:val="19"/>
              </w:rPr>
              <w:t>Botanical Family</w:t>
            </w:r>
          </w:p>
        </w:tc>
        <w:tc>
          <w:tcPr>
            <w:tcW w:type="dxa" w:w="1872"/>
            <w:shd w:fill="064E3B"/>
          </w:tcPr>
          <w:p>
            <w:pPr>
              <w:jc w:val="center"/>
            </w:pPr>
            <w:r>
              <w:rPr>
                <w:b/>
                <w:color w:val="FFFFFF"/>
                <w:sz w:val="19"/>
              </w:rPr>
              <w:t>Target Pathologies</w:t>
            </w:r>
          </w:p>
        </w:tc>
        <w:tc>
          <w:tcPr>
            <w:tcW w:type="dxa" w:w="1872"/>
            <w:shd w:fill="064E3B"/>
          </w:tcPr>
          <w:p>
            <w:pPr>
              <w:jc w:val="center"/>
            </w:pPr>
            <w:r>
              <w:rPr>
                <w:b/>
                <w:color w:val="FFFFFF"/>
                <w:sz w:val="19"/>
              </w:rPr>
              <w:t>Causal Pathogen Type</w:t>
            </w:r>
          </w:p>
        </w:tc>
        <w:tc>
          <w:tcPr>
            <w:tcW w:type="dxa" w:w="1872"/>
            <w:shd w:fill="064E3B"/>
          </w:tcPr>
          <w:p>
            <w:pPr>
              <w:jc w:val="center"/>
            </w:pPr>
            <w:r>
              <w:rPr>
                <w:b/>
                <w:color w:val="FFFFFF"/>
                <w:sz w:val="19"/>
              </w:rPr>
              <w:t>Economic Significance</w:t>
            </w:r>
          </w:p>
        </w:tc>
      </w:tr>
      <w:tr>
        <w:tc>
          <w:tcPr>
            <w:tcW w:type="dxa" w:w="1872"/>
            <w:shd w:fill="FFFFFF"/>
          </w:tcPr>
          <w:p>
            <w:pPr>
              <w:jc w:val="center"/>
            </w:pPr>
            <w:r>
              <w:rPr>
                <w:b/>
                <w:sz w:val="17"/>
              </w:rPr>
              <w:t>Potato</w:t>
            </w:r>
          </w:p>
        </w:tc>
        <w:tc>
          <w:tcPr>
            <w:tcW w:type="dxa" w:w="1872"/>
            <w:shd w:fill="FFFFFF"/>
          </w:tcPr>
          <w:p>
            <w:r>
              <w:rPr>
                <w:sz w:val="17"/>
              </w:rPr>
              <w:t>Solanaceae</w:t>
              <w:br/>
              <w:t>(Solanum tuberosum)</w:t>
            </w:r>
          </w:p>
        </w:tc>
        <w:tc>
          <w:tcPr>
            <w:tcW w:type="dxa" w:w="1872"/>
            <w:shd w:fill="FFFFFF"/>
          </w:tcPr>
          <w:p>
            <w:r>
              <w:rPr>
                <w:sz w:val="17"/>
              </w:rPr>
              <w:t>1. Healthy</w:t>
              <w:br/>
              <w:t>2. Early Blight (Alternaria solani)</w:t>
              <w:br/>
              <w:t>3. Late Blight (Phytophthora infestans)</w:t>
            </w:r>
          </w:p>
        </w:tc>
        <w:tc>
          <w:tcPr>
            <w:tcW w:type="dxa" w:w="1872"/>
            <w:shd w:fill="FFFFFF"/>
          </w:tcPr>
          <w:p>
            <w:r>
              <w:rPr>
                <w:sz w:val="17"/>
              </w:rPr>
              <w:t>Fungal Ascomycete &amp;</w:t>
              <w:br/>
              <w:t>Oomycete Water Mold</w:t>
            </w:r>
          </w:p>
        </w:tc>
        <w:tc>
          <w:tcPr>
            <w:tcW w:type="dxa" w:w="1872"/>
            <w:shd w:fill="FFFFFF"/>
          </w:tcPr>
          <w:p>
            <w:r>
              <w:rPr>
                <w:sz w:val="17"/>
              </w:rPr>
              <w:t>World's #1 non-cereal food crop. Late blight caused the Great Irish Famine and remains a multibillion-dollar epidemic threat.</w:t>
            </w:r>
          </w:p>
        </w:tc>
      </w:tr>
      <w:tr>
        <w:tc>
          <w:tcPr>
            <w:tcW w:type="dxa" w:w="1872"/>
            <w:shd w:fill="F8FAFC"/>
          </w:tcPr>
          <w:p>
            <w:pPr>
              <w:jc w:val="center"/>
            </w:pPr>
            <w:r>
              <w:rPr>
                <w:b/>
                <w:sz w:val="17"/>
              </w:rPr>
              <w:t>Tomato</w:t>
            </w:r>
          </w:p>
        </w:tc>
        <w:tc>
          <w:tcPr>
            <w:tcW w:type="dxa" w:w="1872"/>
            <w:shd w:fill="F8FAFC"/>
          </w:tcPr>
          <w:p>
            <w:r>
              <w:rPr>
                <w:sz w:val="17"/>
              </w:rPr>
              <w:t>Solanaceae</w:t>
              <w:br/>
              <w:t>(Solanum lycopersicum)</w:t>
            </w:r>
          </w:p>
        </w:tc>
        <w:tc>
          <w:tcPr>
            <w:tcW w:type="dxa" w:w="1872"/>
            <w:shd w:fill="F8FAFC"/>
          </w:tcPr>
          <w:p>
            <w:r>
              <w:rPr>
                <w:sz w:val="17"/>
              </w:rPr>
              <w:t>1. Healthy</w:t>
              <w:br/>
              <w:t>2. Early Blight (Alternaria solani)</w:t>
              <w:br/>
              <w:t>3. Late Blight (Phytophthora infestans)</w:t>
            </w:r>
          </w:p>
        </w:tc>
        <w:tc>
          <w:tcPr>
            <w:tcW w:type="dxa" w:w="1872"/>
            <w:shd w:fill="F8FAFC"/>
          </w:tcPr>
          <w:p>
            <w:r>
              <w:rPr>
                <w:sz w:val="17"/>
              </w:rPr>
              <w:t>Fungal Ascomycete &amp;</w:t>
              <w:br/>
              <w:t>Oomycete Pathogen</w:t>
            </w:r>
          </w:p>
        </w:tc>
        <w:tc>
          <w:tcPr>
            <w:tcW w:type="dxa" w:w="1872"/>
            <w:shd w:fill="F8FAFC"/>
          </w:tcPr>
          <w:p>
            <w:r>
              <w:rPr>
                <w:sz w:val="17"/>
              </w:rPr>
              <w:t>Major cash horticultural crop. Highly vulnerable to rapid foliar defoliation and fruit rot in humid monsoons.</w:t>
            </w:r>
          </w:p>
        </w:tc>
      </w:tr>
      <w:tr>
        <w:tc>
          <w:tcPr>
            <w:tcW w:type="dxa" w:w="1872"/>
            <w:shd w:fill="FFFFFF"/>
          </w:tcPr>
          <w:p>
            <w:pPr>
              <w:jc w:val="center"/>
            </w:pPr>
            <w:r>
              <w:rPr>
                <w:b/>
                <w:sz w:val="17"/>
              </w:rPr>
              <w:t>Apple</w:t>
            </w:r>
          </w:p>
        </w:tc>
        <w:tc>
          <w:tcPr>
            <w:tcW w:type="dxa" w:w="1872"/>
            <w:shd w:fill="FFFFFF"/>
          </w:tcPr>
          <w:p>
            <w:r>
              <w:rPr>
                <w:sz w:val="17"/>
              </w:rPr>
              <w:t>Rosaceae</w:t>
              <w:br/>
              <w:t>(Malus domestica)</w:t>
            </w:r>
          </w:p>
        </w:tc>
        <w:tc>
          <w:tcPr>
            <w:tcW w:type="dxa" w:w="1872"/>
            <w:shd w:fill="FFFFFF"/>
          </w:tcPr>
          <w:p>
            <w:r>
              <w:rPr>
                <w:sz w:val="17"/>
              </w:rPr>
              <w:t>1. Healthy</w:t>
              <w:br/>
              <w:t>2. Apple Scab (Venturia inaequalis)</w:t>
              <w:br/>
              <w:t>3. Cedar Apple Rust (Gymnosporangium)</w:t>
            </w:r>
          </w:p>
        </w:tc>
        <w:tc>
          <w:tcPr>
            <w:tcW w:type="dxa" w:w="1872"/>
            <w:shd w:fill="FFFFFF"/>
          </w:tcPr>
          <w:p>
            <w:r>
              <w:rPr>
                <w:sz w:val="17"/>
              </w:rPr>
              <w:t>Ascomycete &amp;</w:t>
              <w:br/>
              <w:t>Heteroecious Rust Fungus</w:t>
            </w:r>
          </w:p>
        </w:tc>
        <w:tc>
          <w:tcPr>
            <w:tcW w:type="dxa" w:w="1872"/>
            <w:shd w:fill="FFFFFF"/>
          </w:tcPr>
          <w:p>
            <w:r>
              <w:rPr>
                <w:sz w:val="17"/>
              </w:rPr>
              <w:t>High-value temperate orchard fruit. Scab and rust blemish foliage and cause unmarketable cracked fruit.</w:t>
            </w:r>
          </w:p>
        </w:tc>
      </w:tr>
      <w:tr>
        <w:tc>
          <w:tcPr>
            <w:tcW w:type="dxa" w:w="1872"/>
            <w:shd w:fill="F8FAFC"/>
          </w:tcPr>
          <w:p>
            <w:pPr>
              <w:jc w:val="center"/>
            </w:pPr>
            <w:r>
              <w:rPr>
                <w:b/>
                <w:sz w:val="17"/>
              </w:rPr>
              <w:t>Corn / Maize</w:t>
            </w:r>
          </w:p>
        </w:tc>
        <w:tc>
          <w:tcPr>
            <w:tcW w:type="dxa" w:w="1872"/>
            <w:shd w:fill="F8FAFC"/>
          </w:tcPr>
          <w:p>
            <w:r>
              <w:rPr>
                <w:sz w:val="17"/>
              </w:rPr>
              <w:t>Poaceae</w:t>
              <w:br/>
              <w:t>(Zea mays)</w:t>
            </w:r>
          </w:p>
        </w:tc>
        <w:tc>
          <w:tcPr>
            <w:tcW w:type="dxa" w:w="1872"/>
            <w:shd w:fill="F8FAFC"/>
          </w:tcPr>
          <w:p>
            <w:r>
              <w:rPr>
                <w:sz w:val="17"/>
              </w:rPr>
              <w:t>1. Healthy</w:t>
              <w:br/>
              <w:t>2. Common Rust (Puccinia sorghi)</w:t>
              <w:br/>
              <w:t>3. Northern Leaf Blight (Exserohilum)</w:t>
            </w:r>
          </w:p>
        </w:tc>
        <w:tc>
          <w:tcPr>
            <w:tcW w:type="dxa" w:w="1872"/>
            <w:shd w:fill="F8FAFC"/>
          </w:tcPr>
          <w:p>
            <w:r>
              <w:rPr>
                <w:sz w:val="17"/>
              </w:rPr>
              <w:t>Basidiomycete Rust &amp;</w:t>
              <w:br/>
              <w:t>Fungal Ascomycete</w:t>
            </w:r>
          </w:p>
        </w:tc>
        <w:tc>
          <w:tcPr>
            <w:tcW w:type="dxa" w:w="1872"/>
            <w:shd w:fill="F8FAFC"/>
          </w:tcPr>
          <w:p>
            <w:r>
              <w:rPr>
                <w:sz w:val="17"/>
              </w:rPr>
              <w:t>Major global grain and fodder crop. Northern leaf blight causes massive 'burnt canopy' yield destruction.</w:t>
            </w:r>
          </w:p>
        </w:tc>
      </w:tr>
      <w:tr>
        <w:tc>
          <w:tcPr>
            <w:tcW w:type="dxa" w:w="1872"/>
            <w:shd w:fill="FFFFFF"/>
          </w:tcPr>
          <w:p>
            <w:pPr>
              <w:jc w:val="center"/>
            </w:pPr>
            <w:r>
              <w:rPr>
                <w:b/>
                <w:sz w:val="17"/>
              </w:rPr>
              <w:t>Grape Vine</w:t>
            </w:r>
          </w:p>
        </w:tc>
        <w:tc>
          <w:tcPr>
            <w:tcW w:type="dxa" w:w="1872"/>
            <w:shd w:fill="FFFFFF"/>
          </w:tcPr>
          <w:p>
            <w:r>
              <w:rPr>
                <w:sz w:val="17"/>
              </w:rPr>
              <w:t>Vitaceae</w:t>
              <w:br/>
              <w:t>(Vitis vinifera)</w:t>
            </w:r>
          </w:p>
        </w:tc>
        <w:tc>
          <w:tcPr>
            <w:tcW w:type="dxa" w:w="1872"/>
            <w:shd w:fill="FFFFFF"/>
          </w:tcPr>
          <w:p>
            <w:r>
              <w:rPr>
                <w:sz w:val="17"/>
              </w:rPr>
              <w:t>1. Healthy</w:t>
              <w:br/>
              <w:t>2. Black Rot (Guignardia bidwellii)</w:t>
              <w:br/>
              <w:t>3. Leaf Blight (Isariopsis clavispora)</w:t>
            </w:r>
          </w:p>
        </w:tc>
        <w:tc>
          <w:tcPr>
            <w:tcW w:type="dxa" w:w="1872"/>
            <w:shd w:fill="FFFFFF"/>
          </w:tcPr>
          <w:p>
            <w:r>
              <w:rPr>
                <w:sz w:val="17"/>
              </w:rPr>
              <w:t>Ascomycete &amp;</w:t>
              <w:br/>
              <w:t>Cercosporoid Fungi</w:t>
            </w:r>
          </w:p>
        </w:tc>
        <w:tc>
          <w:tcPr>
            <w:tcW w:type="dxa" w:w="1872"/>
            <w:shd w:fill="FFFFFF"/>
          </w:tcPr>
          <w:p>
            <w:r>
              <w:rPr>
                <w:sz w:val="17"/>
              </w:rPr>
              <w:t>High-investment viticulture. Black rot mummifies berry clusters and leaf blight causes premature defoliation.</w:t>
            </w:r>
          </w:p>
        </w:tc>
      </w:tr>
    </w:tbl>
    <w:p>
      <w:pPr>
        <w:keepNext/>
        <w:spacing w:before="320" w:after="120"/>
      </w:pPr>
      <w:r>
        <w:rPr>
          <w:b/>
          <w:color w:val="064E3B"/>
          <w:sz w:val="32"/>
        </w:rPr>
        <w:t>CHAPTER 3: DATA ENGINEERING &amp; FORENSIC AUDITING</w:t>
      </w:r>
    </w:p>
    <w:p>
      <w:pPr>
        <w:spacing w:before="0" w:after="100" w:line="276" w:lineRule="auto"/>
      </w:pPr>
      <w:r>
        <w:rPr>
          <w:i w:val="0"/>
          <w:color w:val="1E293B"/>
          <w:sz w:val="21"/>
        </w:rPr>
        <w:t>Data quality is the absolute determinant of neural network performance. In Stages 1 and 2, a multi-source data engineering and forensic auditing framework was established.</w:t>
      </w:r>
    </w:p>
    <w:p>
      <w:pPr>
        <w:keepNext/>
        <w:spacing w:before="320" w:after="120"/>
      </w:pPr>
      <w:r>
        <w:rPr>
          <w:b/>
          <w:color w:val="0F172A"/>
          <w:sz w:val="26"/>
        </w:rPr>
        <w:t>3.1 Multi-Source Dataset Ingestion Strategy</w:t>
      </w:r>
    </w:p>
    <w:p>
      <w:pPr>
        <w:spacing w:before="0" w:after="100" w:line="276" w:lineRule="auto"/>
      </w:pPr>
      <w:r>
        <w:rPr>
          <w:i w:val="0"/>
          <w:color w:val="1E293B"/>
          <w:sz w:val="21"/>
        </w:rPr>
        <w:t>To bridge the laboratory-to-field gap, data was sourced from two distinct paradigms:</w:t>
      </w:r>
    </w:p>
    <w:p>
      <w:pPr>
        <w:pStyle w:val="ListBullet"/>
        <w:spacing w:before="20" w:after="60" w:line="276" w:lineRule="auto"/>
      </w:pPr>
      <w:r>
        <w:rPr>
          <w:b/>
          <w:color w:val="1E293B"/>
          <w:sz w:val="21"/>
        </w:rPr>
        <w:t>Controlled Lab Baseline (PlantVillage):</w:t>
      </w:r>
      <w:r>
        <w:rPr>
          <w:color w:val="1E293B"/>
          <w:sz w:val="21"/>
        </w:rPr>
        <w:t xml:space="preserve"> Provided clean, noise-free morphology benchmarks for baseline geometric pattern learning.</w:t>
      </w:r>
    </w:p>
    <w:p>
      <w:pPr>
        <w:pStyle w:val="ListBullet"/>
        <w:spacing w:before="20" w:after="60" w:line="276" w:lineRule="auto"/>
      </w:pPr>
      <w:r>
        <w:rPr>
          <w:b/>
          <w:color w:val="1E293B"/>
          <w:sz w:val="21"/>
        </w:rPr>
        <w:t>Real-World Field Repository (Mendeley GVLiD India):</w:t>
      </w:r>
      <w:r>
        <w:rPr>
          <w:color w:val="1E293B"/>
          <w:sz w:val="21"/>
        </w:rPr>
        <w:t xml:space="preserve"> Field-collected vineyard imagery from Maharashtra, India (DOI: 10.17632/wkymf8bhcg.5), featuring natural soil backgrounds, outdoor sunlight, and genuine field infections.</w:t>
      </w:r>
    </w:p>
    <w:p>
      <w:pPr>
        <w:keepNext/>
        <w:spacing w:before="320" w:after="120"/>
      </w:pPr>
      <w:r>
        <w:rPr>
          <w:b/>
          <w:color w:val="0F172A"/>
          <w:sz w:val="26"/>
        </w:rPr>
        <w:t>3.2 Cryptographic SHA-256 Deduplication &amp; Integrity Audit</w:t>
      </w:r>
    </w:p>
    <w:p>
      <w:pPr>
        <w:spacing w:before="0" w:after="100" w:line="276" w:lineRule="auto"/>
      </w:pPr>
      <w:r>
        <w:rPr>
          <w:i w:val="0"/>
          <w:color w:val="1E293B"/>
          <w:sz w:val="21"/>
        </w:rPr>
        <w:t>A critical flaw in many computer vision projects is unseen data duplication, where the identical leaf image appears in both train and test partitions due to internet scraping. We instituted automated cryptographic verification:</w:t>
      </w:r>
    </w:p>
    <w:p>
      <w:pPr>
        <w:spacing w:before="0" w:after="100" w:line="276" w:lineRule="auto"/>
      </w:pPr>
      <w:r>
        <w:rPr>
          <w:b/>
          <w:color w:val="1E293B"/>
          <w:sz w:val="21"/>
        </w:rPr>
        <w:t xml:space="preserve">Algorithm: </w:t>
      </w:r>
      <w:r>
        <w:rPr>
          <w:i w:val="0"/>
          <w:color w:val="1E293B"/>
          <w:sz w:val="21"/>
        </w:rPr>
        <w:t>Every raw image was read into an in-memory binary stream and processed through the SHA-256 cryptographic hashing algorithm. A central hash registry flagged collisions, ensuring zero duplicate images existed across any subset.</w:t>
      </w:r>
    </w:p>
    <w:p>
      <w:pPr>
        <w:spacing w:before="0" w:after="100" w:line="276" w:lineRule="auto"/>
      </w:pPr>
      <w:r>
        <w:rPr>
          <w:i w:val="0"/>
          <w:color w:val="1E293B"/>
          <w:sz w:val="21"/>
        </w:rPr>
        <w:t>Simultaneously, PIL and OpenCV header checks verified that every file contained valid, uncorrupted JPEG/PNG markers and standard 3-channel RGB depth. Exactly 1,800 images per crop (600 per class, balanced 300 internal lab + 300 external field) were certified, totaling 9,000 pristine training images across the 15 classes.</w:t>
      </w:r>
    </w:p>
    <w:p>
      <w:pPr>
        <w:keepNext/>
        <w:spacing w:before="320" w:after="120"/>
      </w:pPr>
      <w:r>
        <w:rPr>
          <w:b/>
          <w:color w:val="064E3B"/>
          <w:sz w:val="32"/>
        </w:rPr>
        <w:t>CHAPTER 4: ADAPTIVE PREPROCESSING &amp; FEATURE ENGINEERING</w:t>
      </w:r>
    </w:p>
    <w:p>
      <w:pPr>
        <w:spacing w:before="0" w:after="100" w:line="276" w:lineRule="auto"/>
      </w:pPr>
      <w:r>
        <w:rPr>
          <w:i w:val="0"/>
          <w:color w:val="1E293B"/>
          <w:sz w:val="21"/>
        </w:rPr>
        <w:t>Raw agricultural photographs are heterogeneous in resolution, aspect ratio, and orientation. In Stage 3, an automated preprocessing pipeline standardized inputs for high-performance tensor computing.</w:t>
      </w:r>
    </w:p>
    <w:p>
      <w:pPr>
        <w:keepNext/>
        <w:spacing w:before="320" w:after="120"/>
      </w:pPr>
      <w:r>
        <w:rPr>
          <w:b/>
          <w:color w:val="0F172A"/>
          <w:sz w:val="26"/>
        </w:rPr>
        <w:t>4.1 EXIF Mobile Camera Orientation Correction</w:t>
      </w:r>
    </w:p>
    <w:p>
      <w:pPr>
        <w:spacing w:before="0" w:after="100" w:line="276" w:lineRule="auto"/>
      </w:pPr>
      <w:r>
        <w:rPr>
          <w:i w:val="0"/>
          <w:color w:val="1E293B"/>
          <w:sz w:val="21"/>
        </w:rPr>
        <w:t>When farmers capture leaf photos using smartphones, the image sensor records the orientation in EXIF metadata rather than rotating the raw pixel matrix. When loaded by standard Python libraries, portrait photos rotate 90 degrees horizontally, destroying anatomical spatial orientation. We implemented an automatic orientation transposition module using PIL.ImageOps.exif_transpose(), restoring every image to canonical upright geometry.</w:t>
      </w:r>
    </w:p>
    <w:p>
      <w:pPr>
        <w:keepNext/>
        <w:spacing w:before="320" w:after="120"/>
      </w:pPr>
      <w:r>
        <w:rPr>
          <w:b/>
          <w:color w:val="0F172A"/>
          <w:sz w:val="26"/>
        </w:rPr>
        <w:t>4.2 High-Fidelity LANCZOS Spatial Resizing (224x224x3)</w:t>
      </w:r>
    </w:p>
    <w:p>
      <w:pPr>
        <w:spacing w:before="0" w:after="100" w:line="276" w:lineRule="auto"/>
      </w:pPr>
      <w:r>
        <w:rPr>
          <w:i w:val="0"/>
          <w:color w:val="1E293B"/>
          <w:sz w:val="21"/>
        </w:rPr>
        <w:t>Standard bilinear or nearest-neighbor resizing introduces severe blurring on micro-lesions (such as the tiny 1mm pycnidia fruiting bodies in Grape Black Rot or Apple Scab). We implemented the sinc-windowed LANCZOS interpolation filter (kernel radius a=3), which preserves high-frequency edge gradients while downsampling to the standard 224 x 224 x 3 dimension.</w:t>
      </w:r>
    </w:p>
    <w:p>
      <w:pPr>
        <w:keepNext/>
        <w:spacing w:before="320" w:after="120"/>
      </w:pPr>
      <w:r>
        <w:rPr>
          <w:b/>
          <w:color w:val="0F172A"/>
          <w:sz w:val="26"/>
        </w:rPr>
        <w:t>4.3 Stratified Partitioning &amp; Compressed NPZ Serialization</w:t>
      </w:r>
    </w:p>
    <w:p>
      <w:pPr>
        <w:spacing w:before="0" w:after="100" w:line="276" w:lineRule="auto"/>
      </w:pPr>
      <w:r>
        <w:rPr>
          <w:i w:val="0"/>
          <w:color w:val="1E293B"/>
          <w:sz w:val="21"/>
        </w:rPr>
        <w:t>Each certified 1,800-image crop dataset was partitioned using stratified random sampling into:</w:t>
      </w:r>
    </w:p>
    <w:p>
      <w:pPr>
        <w:pStyle w:val="ListBullet"/>
        <w:spacing w:before="20" w:after="60" w:line="276" w:lineRule="auto"/>
      </w:pPr>
      <w:r>
        <w:rPr>
          <w:b/>
          <w:color w:val="1E293B"/>
          <w:sz w:val="21"/>
        </w:rPr>
        <w:t>Training Partition (80%):</w:t>
      </w:r>
      <w:r>
        <w:rPr>
          <w:color w:val="1E293B"/>
          <w:sz w:val="21"/>
        </w:rPr>
        <w:t xml:space="preserve"> 1,440 images per crop, used exclusively for backpropagation gradient updates.</w:t>
      </w:r>
    </w:p>
    <w:p>
      <w:pPr>
        <w:pStyle w:val="ListBullet"/>
        <w:spacing w:before="20" w:after="60" w:line="276" w:lineRule="auto"/>
      </w:pPr>
      <w:r>
        <w:rPr>
          <w:b/>
          <w:color w:val="1E293B"/>
          <w:sz w:val="21"/>
        </w:rPr>
        <w:t>Validation Partition (10%):</w:t>
      </w:r>
      <w:r>
        <w:rPr>
          <w:color w:val="1E293B"/>
          <w:sz w:val="21"/>
        </w:rPr>
        <w:t xml:space="preserve"> 180 images per crop, used during training epochs for EarlyStopping and checkpointing.</w:t>
      </w:r>
    </w:p>
    <w:p>
      <w:pPr>
        <w:pStyle w:val="ListBullet"/>
        <w:spacing w:before="20" w:after="60" w:line="276" w:lineRule="auto"/>
      </w:pPr>
      <w:r>
        <w:rPr>
          <w:b/>
          <w:color w:val="1E293B"/>
          <w:sz w:val="21"/>
        </w:rPr>
        <w:t>Held-Out Test Partition (10%):</w:t>
      </w:r>
      <w:r>
        <w:rPr>
          <w:color w:val="1E293B"/>
          <w:sz w:val="21"/>
        </w:rPr>
        <w:t xml:space="preserve"> 180 images per crop, sealed and evaluated only after model training concluded.</w:t>
      </w:r>
    </w:p>
    <w:p>
      <w:pPr>
        <w:spacing w:before="0" w:after="100" w:line="276" w:lineRule="auto"/>
      </w:pPr>
      <w:r>
        <w:rPr>
          <w:i w:val="0"/>
          <w:color w:val="1E293B"/>
          <w:sz w:val="21"/>
        </w:rPr>
        <w:t>To prevent massive I/O read latency across Google Colab sessions, datasets were serialized into compressed NumPy (.npz) archives (e.g., potato_processed_data.npz [743 MB], grape_processed_data.npz [183 MB]), accelerating batch loading speeds by over 15x.</w:t>
      </w:r>
    </w:p>
    <w:p>
      <w:pPr>
        <w:keepNext/>
        <w:spacing w:before="320" w:after="120"/>
      </w:pPr>
      <w:r>
        <w:rPr>
          <w:b/>
          <w:color w:val="064E3B"/>
          <w:sz w:val="32"/>
        </w:rPr>
        <w:t>CHAPTER 5: DEEP LEARNING ARCHITECTURES &amp; TRAINING REGIMES</w:t>
      </w:r>
    </w:p>
    <w:p>
      <w:pPr>
        <w:spacing w:before="0" w:after="100" w:line="276" w:lineRule="auto"/>
      </w:pPr>
      <w:r>
        <w:rPr>
          <w:i w:val="0"/>
          <w:color w:val="1E293B"/>
          <w:sz w:val="21"/>
        </w:rPr>
        <w:t>In Stage 4 and Stage 6, convolutional neural network architectures were designed and optimized, matching mathematical feature extraction to foliar disease morphology.</w:t>
      </w:r>
    </w:p>
    <w:p>
      <w:pPr>
        <w:keepNext/>
        <w:spacing w:before="320" w:after="120"/>
      </w:pPr>
      <w:r>
        <w:rPr>
          <w:b/>
          <w:color w:val="0F172A"/>
          <w:sz w:val="26"/>
        </w:rPr>
        <w:t>5.1 Potato Pipeline: Custom Dual-Pool CNN Architecture</w:t>
      </w:r>
    </w:p>
    <w:p>
      <w:pPr>
        <w:spacing w:before="0" w:after="100" w:line="276" w:lineRule="auto"/>
      </w:pPr>
      <w:r>
        <w:rPr>
          <w:i w:val="0"/>
          <w:color w:val="1E293B"/>
          <w:sz w:val="21"/>
        </w:rPr>
        <w:t>Potato foliar pathologies exhibit distinct morphological properties: Early Blight produces sharp, concentric target-board rings, whereas Late Blight produces diffuse, water-soaked, expanding necrotic margins.</w:t>
      </w:r>
    </w:p>
    <w:p>
      <w:pPr>
        <w:spacing w:before="0" w:after="100" w:line="276" w:lineRule="auto"/>
      </w:pPr>
      <w:r>
        <w:rPr>
          <w:b/>
          <w:color w:val="1E293B"/>
          <w:sz w:val="21"/>
        </w:rPr>
        <w:t xml:space="preserve">Architectural Innovation: </w:t>
      </w:r>
      <w:r>
        <w:rPr>
          <w:i w:val="0"/>
          <w:color w:val="1E293B"/>
          <w:sz w:val="21"/>
        </w:rPr>
        <w:t>Standard pooling layers fail to optimize for both: MaxPooling captures sharp edges but ignores background context, while AveragePooling captures smooth textures but blurs lesion margins. We engineered a Parallel Dual-Pooling block:</w:t>
      </w:r>
    </w:p>
    <w:p>
      <w:pPr>
        <w:spacing w:before="0" w:after="100" w:line="276" w:lineRule="auto"/>
      </w:pPr>
      <w:r>
        <w:rPr>
          <w:b/>
          <w:color w:val="1E293B"/>
          <w:sz w:val="21"/>
        </w:rPr>
        <w:t xml:space="preserve">Mathematical Formulation: </w:t>
      </w:r>
      <w:r>
        <w:rPr>
          <w:i w:val="0"/>
          <w:color w:val="1E293B"/>
          <w:sz w:val="21"/>
        </w:rPr>
        <w:t>F_pool = Concat( MaxPooling2D(F_conv), AveragePooling2D(F_conv) )</w:t>
      </w:r>
    </w:p>
    <w:p>
      <w:pPr>
        <w:spacing w:before="0" w:after="100" w:line="276" w:lineRule="auto"/>
      </w:pPr>
      <w:r>
        <w:rPr>
          <w:i w:val="0"/>
          <w:color w:val="1E293B"/>
          <w:sz w:val="21"/>
        </w:rPr>
        <w:t>The network topology consists of 4 convolutional blocks with increasing filter depths (32 -&gt; 64 -&gt; 128 -&gt; 256), each stabilized by Batch Normalization and ReLU activations, followed by the parallel dual-pool layer, a Dense(256) layer with 50% Dropout regularization, and a 3-unit Softmax output layer. Total parameters: 11.1 Million (weight size: 127.9 MB).</w:t>
      </w:r>
    </w:p>
    <w:p>
      <w:pPr>
        <w:keepNext/>
        <w:spacing w:before="320" w:after="120"/>
      </w:pPr>
      <w:r>
        <w:rPr>
          <w:b/>
          <w:color w:val="0F172A"/>
          <w:sz w:val="26"/>
        </w:rPr>
        <w:t>5.2 MobileNetV2 Fine-Tuned Transfer Learning (Tomato, Apple, Corn, Grape)</w:t>
      </w:r>
    </w:p>
    <w:p>
      <w:pPr>
        <w:spacing w:before="0" w:after="100" w:line="276" w:lineRule="auto"/>
      </w:pPr>
      <w:r>
        <w:rPr>
          <w:i w:val="0"/>
          <w:color w:val="1E293B"/>
          <w:sz w:val="21"/>
        </w:rPr>
        <w:t>For Tomato, Apple, Corn, and Grape, we deployed MobileNetV2 pretrained on ImageNet (1.4 million images). MobileNetV2 is engineered for edge efficiency through two core mechanisms:</w:t>
      </w:r>
    </w:p>
    <w:p>
      <w:pPr>
        <w:pStyle w:val="ListBullet"/>
        <w:spacing w:before="20" w:after="60" w:line="276" w:lineRule="auto"/>
      </w:pPr>
      <w:r>
        <w:rPr>
          <w:b/>
          <w:color w:val="1E293B"/>
          <w:sz w:val="21"/>
        </w:rPr>
        <w:t>Depthwise Separable Convolutions:</w:t>
      </w:r>
      <w:r>
        <w:rPr>
          <w:color w:val="1E293B"/>
          <w:sz w:val="21"/>
        </w:rPr>
        <w:t xml:space="preserve"> Splits standard convolution into a 3x3 depthwise spatial filter followed by a 1x1 pointwise projection filter, reducing computational FLOPs by 8x-9x.</w:t>
      </w:r>
    </w:p>
    <w:p>
      <w:pPr>
        <w:pStyle w:val="ListBullet"/>
        <w:spacing w:before="20" w:after="60" w:line="276" w:lineRule="auto"/>
      </w:pPr>
      <w:r>
        <w:rPr>
          <w:b/>
          <w:color w:val="1E293B"/>
          <w:sz w:val="21"/>
        </w:rPr>
        <w:t>Inverted Residual Linear Bottlenecks:</w:t>
      </w:r>
      <w:r>
        <w:rPr>
          <w:color w:val="1E293B"/>
          <w:sz w:val="21"/>
        </w:rPr>
        <w:t xml:space="preserve"> Expands low-dimensional features to high dimensions (expansion factor t=6), performs depthwise filtering, and projects back without non-linear activation to preserve information manifolds.</w:t>
      </w:r>
    </w:p>
    <w:p>
      <w:pPr>
        <w:spacing w:before="0" w:after="100" w:line="276" w:lineRule="auto"/>
      </w:pPr>
      <w:r>
        <w:rPr>
          <w:i w:val="0"/>
          <w:color w:val="1E293B"/>
          <w:sz w:val="21"/>
        </w:rPr>
        <w:t>Custom Top Classification Heads were attached: GlobalAveragePooling2D() -&gt; BatchNormalization() -&gt; Dense(256, ReLU, L2 regularized) -&gt; Dropout(0.4) -&gt; Dense(64, ReLU) -&gt; Dense(3, Softmax). Lower layers were frozen while upper blocks were fine-tuned with a low learning rate. Model sizes were ultra-compact (11.1 MB to 25.3 MB), ideal for mobile and cloud inference.</w:t>
      </w:r>
    </w:p>
    <w:p>
      <w:pPr>
        <w:keepNext/>
        <w:spacing w:before="320" w:after="120"/>
      </w:pPr>
      <w:r>
        <w:rPr>
          <w:b/>
          <w:color w:val="0F172A"/>
          <w:sz w:val="26"/>
        </w:rPr>
        <w:t>5.3 Optimization Regimes &amp; Regularization</w:t>
      </w:r>
    </w:p>
    <w:p>
      <w:pPr>
        <w:spacing w:before="0" w:after="100" w:line="276" w:lineRule="auto"/>
      </w:pPr>
      <w:r>
        <w:rPr>
          <w:i w:val="0"/>
          <w:color w:val="1E293B"/>
          <w:sz w:val="21"/>
        </w:rPr>
        <w:t>Models were trained using the Adam optimizer minimizing Categorical Cross-Entropy Loss with an initial learning rate of 1e-4. We utilized ReduceLROnPlateau (decay factor 0.2, patience 3 epochs) and EarlyStopping (monitoring validation loss, patience 7 epochs). Dynamic real-time tensor augmentation (random horizontal/vertical flips, rotations of +/-20 deg, zoom +/-0.2) was applied strictly during training.</w:t>
      </w:r>
    </w:p>
    <w:p>
      <w:pPr>
        <w:keepNext/>
        <w:spacing w:before="320" w:after="120"/>
      </w:pPr>
      <w:r>
        <w:rPr>
          <w:b/>
          <w:color w:val="064E3B"/>
          <w:sz w:val="32"/>
        </w:rPr>
        <w:t>CHAPTER 6: EMPIRICAL BENCHMARKS &amp; GENERALIZATION ANALYSIS</w:t>
      </w:r>
    </w:p>
    <w:p>
      <w:pPr>
        <w:spacing w:before="0" w:after="100" w:line="276" w:lineRule="auto"/>
      </w:pPr>
      <w:r>
        <w:rPr>
          <w:i w:val="0"/>
          <w:color w:val="1E293B"/>
          <w:sz w:val="21"/>
        </w:rPr>
        <w:t>In Stage 5 and Stage 7, rigorous statistical evaluations were conducted. Unlike conventional papers that evaluate only on clean held-out laboratory splits, our platform executed a Dual-Pool Benchmark:</w:t>
      </w:r>
    </w:p>
    <w:p>
      <w:pPr>
        <w:spacing w:before="0" w:after="100" w:line="276" w:lineRule="auto"/>
      </w:pPr>
      <w:r>
        <w:rPr>
          <w:i w:val="0"/>
          <w:color w:val="1E293B"/>
          <w:sz w:val="21"/>
        </w:rPr>
        <w:t>1. Controlled Laboratory Held-Out Split (180 unseen images per crop)</w:t>
      </w:r>
    </w:p>
    <w:p>
      <w:pPr>
        <w:spacing w:before="0" w:after="100" w:line="276" w:lineRule="auto"/>
      </w:pPr>
      <w:r>
        <w:rPr>
          <w:i w:val="0"/>
          <w:color w:val="1E293B"/>
          <w:sz w:val="21"/>
        </w:rPr>
        <w:t>2. Unconstrained Wild Real-World Field Pool (images collected directly from farm environments)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0F172A"/>
          </w:tcPr>
          <w:p>
            <w:pPr>
              <w:jc w:val="center"/>
            </w:pPr>
            <w:r>
              <w:rPr>
                <w:b/>
                <w:color w:val="FFFFFF"/>
                <w:sz w:val="19"/>
              </w:rPr>
              <w:t>Host Crop</w:t>
            </w:r>
          </w:p>
        </w:tc>
        <w:tc>
          <w:tcPr>
            <w:tcW w:type="dxa" w:w="1337"/>
            <w:shd w:fill="0F172A"/>
          </w:tcPr>
          <w:p>
            <w:pPr>
              <w:jc w:val="center"/>
            </w:pPr>
            <w:r>
              <w:rPr>
                <w:b/>
                <w:color w:val="FFFFFF"/>
                <w:sz w:val="19"/>
              </w:rPr>
              <w:t>Model Architecture</w:t>
            </w:r>
          </w:p>
        </w:tc>
        <w:tc>
          <w:tcPr>
            <w:tcW w:type="dxa" w:w="1337"/>
            <w:shd w:fill="0F172A"/>
          </w:tcPr>
          <w:p>
            <w:pPr>
              <w:jc w:val="center"/>
            </w:pPr>
            <w:r>
              <w:rPr>
                <w:b/>
                <w:color w:val="FFFFFF"/>
                <w:sz w:val="19"/>
              </w:rPr>
              <w:t>Parameters</w:t>
            </w:r>
          </w:p>
        </w:tc>
        <w:tc>
          <w:tcPr>
            <w:tcW w:type="dxa" w:w="1337"/>
            <w:shd w:fill="0F172A"/>
          </w:tcPr>
          <w:p>
            <w:pPr>
              <w:jc w:val="center"/>
            </w:pPr>
            <w:r>
              <w:rPr>
                <w:b/>
                <w:color w:val="FFFFFF"/>
                <w:sz w:val="19"/>
              </w:rPr>
              <w:t>Held-Out Test Acc</w:t>
            </w:r>
          </w:p>
        </w:tc>
        <w:tc>
          <w:tcPr>
            <w:tcW w:type="dxa" w:w="1337"/>
            <w:shd w:fill="0F172A"/>
          </w:tcPr>
          <w:p>
            <w:pPr>
              <w:jc w:val="center"/>
            </w:pPr>
            <w:r>
              <w:rPr>
                <w:b/>
                <w:color w:val="FFFFFF"/>
                <w:sz w:val="19"/>
              </w:rPr>
              <w:t>Held-Out Loss</w:t>
            </w:r>
          </w:p>
        </w:tc>
        <w:tc>
          <w:tcPr>
            <w:tcW w:type="dxa" w:w="1337"/>
            <w:shd w:fill="0F172A"/>
          </w:tcPr>
          <w:p>
            <w:pPr>
              <w:jc w:val="center"/>
            </w:pPr>
            <w:r>
              <w:rPr>
                <w:b/>
                <w:color w:val="FFFFFF"/>
                <w:sz w:val="19"/>
              </w:rPr>
              <w:t>Wild Field Acc</w:t>
            </w:r>
          </w:p>
        </w:tc>
        <w:tc>
          <w:tcPr>
            <w:tcW w:type="dxa" w:w="1337"/>
            <w:shd w:fill="0F172A"/>
          </w:tcPr>
          <w:p>
            <w:pPr>
              <w:jc w:val="center"/>
            </w:pPr>
            <w:r>
              <w:rPr>
                <w:b/>
                <w:color w:val="FFFFFF"/>
                <w:sz w:val="19"/>
              </w:rPr>
              <w:t>Macro F1</w:t>
            </w:r>
          </w:p>
        </w:tc>
      </w:tr>
      <w:tr>
        <w:tc>
          <w:tcPr>
            <w:tcW w:type="dxa" w:w="1337"/>
            <w:shd w:fill="FFFFFF"/>
          </w:tcPr>
          <w:p>
            <w:pPr>
              <w:jc w:val="center"/>
            </w:pPr>
            <w:r>
              <w:rPr>
                <w:sz w:val="18"/>
              </w:rPr>
              <w:t>Potato</w:t>
            </w:r>
          </w:p>
        </w:tc>
        <w:tc>
          <w:tcPr>
            <w:tcW w:type="dxa" w:w="1337"/>
            <w:shd w:fill="FFFFFF"/>
          </w:tcPr>
          <w:p>
            <w:r>
              <w:rPr>
                <w:sz w:val="18"/>
              </w:rPr>
              <w:t>Custom Dual-Pool CNN</w:t>
            </w:r>
          </w:p>
        </w:tc>
        <w:tc>
          <w:tcPr>
            <w:tcW w:type="dxa" w:w="1337"/>
            <w:shd w:fill="FFFFFF"/>
          </w:tcPr>
          <w:p>
            <w:pPr>
              <w:jc w:val="center"/>
            </w:pPr>
            <w:r>
              <w:rPr>
                <w:sz w:val="18"/>
              </w:rPr>
              <w:t>11.1 M</w:t>
            </w:r>
          </w:p>
        </w:tc>
        <w:tc>
          <w:tcPr>
            <w:tcW w:type="dxa" w:w="1337"/>
            <w:shd w:fill="FFFFFF"/>
          </w:tcPr>
          <w:p>
            <w:pPr>
              <w:jc w:val="center"/>
            </w:pPr>
            <w:r>
              <w:rPr>
                <w:sz w:val="18"/>
              </w:rPr>
              <w:t>98.21%</w:t>
            </w:r>
          </w:p>
        </w:tc>
        <w:tc>
          <w:tcPr>
            <w:tcW w:type="dxa" w:w="1337"/>
            <w:shd w:fill="FFFFFF"/>
          </w:tcPr>
          <w:p>
            <w:pPr>
              <w:jc w:val="center"/>
            </w:pPr>
            <w:r>
              <w:rPr>
                <w:sz w:val="18"/>
              </w:rPr>
              <w:t>0.0812</w:t>
            </w:r>
          </w:p>
        </w:tc>
        <w:tc>
          <w:tcPr>
            <w:tcW w:type="dxa" w:w="1337"/>
            <w:shd w:fill="FFFFFF"/>
          </w:tcPr>
          <w:p>
            <w:pPr>
              <w:jc w:val="center"/>
            </w:pPr>
            <w:r>
              <w:rPr>
                <w:sz w:val="18"/>
              </w:rPr>
              <w:t>92.40%</w:t>
            </w:r>
          </w:p>
        </w:tc>
        <w:tc>
          <w:tcPr>
            <w:tcW w:type="dxa" w:w="1337"/>
            <w:shd w:fill="FFFFFF"/>
          </w:tcPr>
          <w:p>
            <w:pPr>
              <w:jc w:val="center"/>
            </w:pPr>
            <w:r>
              <w:rPr>
                <w:sz w:val="18"/>
              </w:rPr>
              <w:t>0.982</w:t>
            </w:r>
          </w:p>
        </w:tc>
      </w:tr>
      <w:tr>
        <w:tc>
          <w:tcPr>
            <w:tcW w:type="dxa" w:w="1337"/>
            <w:shd w:fill="F8FAFC"/>
          </w:tcPr>
          <w:p>
            <w:pPr>
              <w:jc w:val="center"/>
            </w:pPr>
            <w:r>
              <w:rPr>
                <w:sz w:val="18"/>
              </w:rPr>
              <w:t>Tomato</w:t>
            </w:r>
          </w:p>
        </w:tc>
        <w:tc>
          <w:tcPr>
            <w:tcW w:type="dxa" w:w="1337"/>
            <w:shd w:fill="F8FAFC"/>
          </w:tcPr>
          <w:p>
            <w:r>
              <w:rPr>
                <w:sz w:val="18"/>
              </w:rPr>
              <w:t>MobileNetV2 Fine-Tuned</w:t>
            </w:r>
          </w:p>
        </w:tc>
        <w:tc>
          <w:tcPr>
            <w:tcW w:type="dxa" w:w="1337"/>
            <w:shd w:fill="F8FAFC"/>
          </w:tcPr>
          <w:p>
            <w:pPr>
              <w:jc w:val="center"/>
            </w:pPr>
            <w:r>
              <w:rPr>
                <w:sz w:val="18"/>
              </w:rPr>
              <w:t>2.8 M</w:t>
            </w:r>
          </w:p>
        </w:tc>
        <w:tc>
          <w:tcPr>
            <w:tcW w:type="dxa" w:w="1337"/>
            <w:shd w:fill="F8FAFC"/>
          </w:tcPr>
          <w:p>
            <w:pPr>
              <w:jc w:val="center"/>
            </w:pPr>
            <w:r>
              <w:rPr>
                <w:sz w:val="18"/>
              </w:rPr>
              <w:t>97.78%</w:t>
            </w:r>
          </w:p>
        </w:tc>
        <w:tc>
          <w:tcPr>
            <w:tcW w:type="dxa" w:w="1337"/>
            <w:shd w:fill="F8FAFC"/>
          </w:tcPr>
          <w:p>
            <w:pPr>
              <w:jc w:val="center"/>
            </w:pPr>
            <w:r>
              <w:rPr>
                <w:sz w:val="18"/>
              </w:rPr>
              <w:t>0.0745</w:t>
            </w:r>
          </w:p>
        </w:tc>
        <w:tc>
          <w:tcPr>
            <w:tcW w:type="dxa" w:w="1337"/>
            <w:shd w:fill="F8FAFC"/>
          </w:tcPr>
          <w:p>
            <w:pPr>
              <w:jc w:val="center"/>
            </w:pPr>
            <w:r>
              <w:rPr>
                <w:sz w:val="18"/>
              </w:rPr>
              <w:t>60.00%</w:t>
            </w:r>
          </w:p>
        </w:tc>
        <w:tc>
          <w:tcPr>
            <w:tcW w:type="dxa" w:w="1337"/>
            <w:shd w:fill="F8FAFC"/>
          </w:tcPr>
          <w:p>
            <w:pPr>
              <w:jc w:val="center"/>
            </w:pPr>
            <w:r>
              <w:rPr>
                <w:sz w:val="18"/>
              </w:rPr>
              <w:t>0.978</w:t>
            </w:r>
          </w:p>
        </w:tc>
      </w:tr>
      <w:tr>
        <w:tc>
          <w:tcPr>
            <w:tcW w:type="dxa" w:w="1337"/>
            <w:shd w:fill="FFFFFF"/>
          </w:tcPr>
          <w:p>
            <w:pPr>
              <w:jc w:val="center"/>
            </w:pPr>
            <w:r>
              <w:rPr>
                <w:sz w:val="18"/>
              </w:rPr>
              <w:t>Apple</w:t>
            </w:r>
          </w:p>
        </w:tc>
        <w:tc>
          <w:tcPr>
            <w:tcW w:type="dxa" w:w="1337"/>
            <w:shd w:fill="FFFFFF"/>
          </w:tcPr>
          <w:p>
            <w:r>
              <w:rPr>
                <w:sz w:val="18"/>
              </w:rPr>
              <w:t>MobileNetV2 Fine-Tuned</w:t>
            </w:r>
          </w:p>
        </w:tc>
        <w:tc>
          <w:tcPr>
            <w:tcW w:type="dxa" w:w="1337"/>
            <w:shd w:fill="FFFFFF"/>
          </w:tcPr>
          <w:p>
            <w:pPr>
              <w:jc w:val="center"/>
            </w:pPr>
            <w:r>
              <w:rPr>
                <w:sz w:val="18"/>
              </w:rPr>
              <w:t>2.9 M</w:t>
            </w:r>
          </w:p>
        </w:tc>
        <w:tc>
          <w:tcPr>
            <w:tcW w:type="dxa" w:w="1337"/>
            <w:shd w:fill="FFFFFF"/>
          </w:tcPr>
          <w:p>
            <w:pPr>
              <w:jc w:val="center"/>
            </w:pPr>
            <w:r>
              <w:rPr>
                <w:sz w:val="18"/>
              </w:rPr>
              <w:t>97.75%</w:t>
            </w:r>
          </w:p>
        </w:tc>
        <w:tc>
          <w:tcPr>
            <w:tcW w:type="dxa" w:w="1337"/>
            <w:shd w:fill="FFFFFF"/>
          </w:tcPr>
          <w:p>
            <w:pPr>
              <w:jc w:val="center"/>
            </w:pPr>
            <w:r>
              <w:rPr>
                <w:sz w:val="18"/>
              </w:rPr>
              <w:t>0.0911</w:t>
            </w:r>
          </w:p>
        </w:tc>
        <w:tc>
          <w:tcPr>
            <w:tcW w:type="dxa" w:w="1337"/>
            <w:shd w:fill="FFFFFF"/>
          </w:tcPr>
          <w:p>
            <w:pPr>
              <w:jc w:val="center"/>
            </w:pPr>
            <w:r>
              <w:rPr>
                <w:sz w:val="18"/>
              </w:rPr>
              <w:t>56.67%</w:t>
            </w:r>
          </w:p>
        </w:tc>
        <w:tc>
          <w:tcPr>
            <w:tcW w:type="dxa" w:w="1337"/>
            <w:shd w:fill="FFFFFF"/>
          </w:tcPr>
          <w:p>
            <w:pPr>
              <w:jc w:val="center"/>
            </w:pPr>
            <w:r>
              <w:rPr>
                <w:sz w:val="18"/>
              </w:rPr>
              <w:t>0.977</w:t>
            </w:r>
          </w:p>
        </w:tc>
      </w:tr>
      <w:tr>
        <w:tc>
          <w:tcPr>
            <w:tcW w:type="dxa" w:w="1337"/>
            <w:shd w:fill="F8FAFC"/>
          </w:tcPr>
          <w:p>
            <w:pPr>
              <w:jc w:val="center"/>
            </w:pPr>
            <w:r>
              <w:rPr>
                <w:sz w:val="18"/>
              </w:rPr>
              <w:t>Corn</w:t>
            </w:r>
          </w:p>
        </w:tc>
        <w:tc>
          <w:tcPr>
            <w:tcW w:type="dxa" w:w="1337"/>
            <w:shd w:fill="F8FAFC"/>
          </w:tcPr>
          <w:p>
            <w:r>
              <w:rPr>
                <w:sz w:val="18"/>
              </w:rPr>
              <w:t>MobileNetV2 Fine-Tuned</w:t>
            </w:r>
          </w:p>
        </w:tc>
        <w:tc>
          <w:tcPr>
            <w:tcW w:type="dxa" w:w="1337"/>
            <w:shd w:fill="F8FAFC"/>
          </w:tcPr>
          <w:p>
            <w:pPr>
              <w:jc w:val="center"/>
            </w:pPr>
            <w:r>
              <w:rPr>
                <w:sz w:val="18"/>
              </w:rPr>
              <w:t>2.9 M</w:t>
            </w:r>
          </w:p>
        </w:tc>
        <w:tc>
          <w:tcPr>
            <w:tcW w:type="dxa" w:w="1337"/>
            <w:shd w:fill="F8FAFC"/>
          </w:tcPr>
          <w:p>
            <w:pPr>
              <w:jc w:val="center"/>
            </w:pPr>
            <w:r>
              <w:rPr>
                <w:sz w:val="18"/>
              </w:rPr>
              <w:t>97.41%</w:t>
            </w:r>
          </w:p>
        </w:tc>
        <w:tc>
          <w:tcPr>
            <w:tcW w:type="dxa" w:w="1337"/>
            <w:shd w:fill="F8FAFC"/>
          </w:tcPr>
          <w:p>
            <w:pPr>
              <w:jc w:val="center"/>
            </w:pPr>
            <w:r>
              <w:rPr>
                <w:sz w:val="18"/>
              </w:rPr>
              <w:t>0.0894</w:t>
            </w:r>
          </w:p>
        </w:tc>
        <w:tc>
          <w:tcPr>
            <w:tcW w:type="dxa" w:w="1337"/>
            <w:shd w:fill="F8FAFC"/>
          </w:tcPr>
          <w:p>
            <w:pPr>
              <w:jc w:val="center"/>
            </w:pPr>
            <w:r>
              <w:rPr>
                <w:sz w:val="18"/>
              </w:rPr>
              <w:t>83.33%</w:t>
            </w:r>
          </w:p>
        </w:tc>
        <w:tc>
          <w:tcPr>
            <w:tcW w:type="dxa" w:w="1337"/>
            <w:shd w:fill="F8FAFC"/>
          </w:tcPr>
          <w:p>
            <w:pPr>
              <w:jc w:val="center"/>
            </w:pPr>
            <w:r>
              <w:rPr>
                <w:sz w:val="18"/>
              </w:rPr>
              <w:t>0.974</w:t>
            </w:r>
          </w:p>
        </w:tc>
      </w:tr>
      <w:tr>
        <w:tc>
          <w:tcPr>
            <w:tcW w:type="dxa" w:w="1337"/>
            <w:shd w:fill="FFFFFF"/>
          </w:tcPr>
          <w:p>
            <w:pPr>
              <w:jc w:val="center"/>
            </w:pPr>
            <w:r>
              <w:rPr>
                <w:sz w:val="18"/>
              </w:rPr>
              <w:t>Grape</w:t>
            </w:r>
          </w:p>
        </w:tc>
        <w:tc>
          <w:tcPr>
            <w:tcW w:type="dxa" w:w="1337"/>
            <w:shd w:fill="FFFFFF"/>
          </w:tcPr>
          <w:p>
            <w:r>
              <w:rPr>
                <w:sz w:val="18"/>
              </w:rPr>
              <w:t>MobileNetV2 Dual-Dense</w:t>
            </w:r>
          </w:p>
        </w:tc>
        <w:tc>
          <w:tcPr>
            <w:tcW w:type="dxa" w:w="1337"/>
            <w:shd w:fill="FFFFFF"/>
          </w:tcPr>
          <w:p>
            <w:pPr>
              <w:jc w:val="center"/>
            </w:pPr>
            <w:r>
              <w:rPr>
                <w:sz w:val="18"/>
              </w:rPr>
              <w:t>2.9 M</w:t>
            </w:r>
          </w:p>
        </w:tc>
        <w:tc>
          <w:tcPr>
            <w:tcW w:type="dxa" w:w="1337"/>
            <w:shd w:fill="FFFFFF"/>
          </w:tcPr>
          <w:p>
            <w:pPr>
              <w:jc w:val="center"/>
            </w:pPr>
            <w:r>
              <w:rPr>
                <w:sz w:val="18"/>
              </w:rPr>
              <w:t>95.56%</w:t>
            </w:r>
          </w:p>
        </w:tc>
        <w:tc>
          <w:tcPr>
            <w:tcW w:type="dxa" w:w="1337"/>
            <w:shd w:fill="FFFFFF"/>
          </w:tcPr>
          <w:p>
            <w:pPr>
              <w:jc w:val="center"/>
            </w:pPr>
            <w:r>
              <w:rPr>
                <w:sz w:val="18"/>
              </w:rPr>
              <w:t>0.1656</w:t>
            </w:r>
          </w:p>
        </w:tc>
        <w:tc>
          <w:tcPr>
            <w:tcW w:type="dxa" w:w="1337"/>
            <w:shd w:fill="FFFFFF"/>
          </w:tcPr>
          <w:p>
            <w:pPr>
              <w:jc w:val="center"/>
            </w:pPr>
            <w:r>
              <w:rPr>
                <w:sz w:val="18"/>
              </w:rPr>
              <w:t>76.67%</w:t>
            </w:r>
          </w:p>
        </w:tc>
        <w:tc>
          <w:tcPr>
            <w:tcW w:type="dxa" w:w="1337"/>
            <w:shd w:fill="FFFFFF"/>
          </w:tcPr>
          <w:p>
            <w:pPr>
              <w:jc w:val="center"/>
            </w:pPr>
            <w:r>
              <w:rPr>
                <w:sz w:val="18"/>
              </w:rPr>
              <w:t>0.955</w:t>
            </w:r>
          </w:p>
        </w:tc>
      </w:tr>
    </w:tbl>
    <w:p>
      <w:pPr>
        <w:keepNext/>
        <w:spacing w:before="320" w:after="120"/>
      </w:pPr>
      <w:r>
        <w:rPr>
          <w:b/>
          <w:color w:val="0F172A"/>
          <w:sz w:val="26"/>
        </w:rPr>
        <w:t>6.1 Scientific Analysis of the 'Domain-Shift' Drop</w:t>
      </w:r>
    </w:p>
    <w:p>
      <w:pPr>
        <w:spacing w:before="0" w:after="100" w:line="276" w:lineRule="auto"/>
      </w:pPr>
      <w:r>
        <w:rPr>
          <w:i w:val="0"/>
          <w:color w:val="1E293B"/>
          <w:sz w:val="21"/>
        </w:rPr>
        <w:t>The quantitative empirical evaluation confirmed fundamental scientific insights regarding deep learning generalization in agricultural settings:</w:t>
      </w:r>
    </w:p>
    <w:p>
      <w:pPr>
        <w:pStyle w:val="ListBullet"/>
        <w:spacing w:before="20" w:after="60" w:line="276" w:lineRule="auto"/>
      </w:pPr>
      <w:r>
        <w:rPr>
          <w:b/>
          <w:color w:val="1E293B"/>
          <w:sz w:val="21"/>
        </w:rPr>
        <w:t>Corn Generalization (83.33% Field Accuracy):</w:t>
      </w:r>
      <w:r>
        <w:rPr>
          <w:color w:val="1E293B"/>
          <w:sz w:val="21"/>
        </w:rPr>
        <w:t xml:space="preserve"> Corn demonstrated extraordinary zero-shot transfer because the long, parallel venation lines of monocot maize leaves provide a dominant structural geometric invariant that depthwise convolutions capture reliably, regardless of soil backgrounds.</w:t>
      </w:r>
    </w:p>
    <w:p>
      <w:pPr>
        <w:pStyle w:val="ListBullet"/>
        <w:spacing w:before="20" w:after="60" w:line="276" w:lineRule="auto"/>
      </w:pPr>
      <w:r>
        <w:rPr>
          <w:b/>
          <w:color w:val="1E293B"/>
          <w:sz w:val="21"/>
        </w:rPr>
        <w:t>Grape Vineyard Transfer (76.67% Field Accuracy):</w:t>
      </w:r>
      <w:r>
        <w:rPr>
          <w:color w:val="1E293B"/>
          <w:sz w:val="21"/>
        </w:rPr>
        <w:t xml:space="preserve"> The explicit inclusion of Mendeley GVLiD Indian vineyard imagery during training allowed the model to achieve 100% precision on Black Rot and 90% recall on Leaf Blight under authentic Maharashtra farm conditions.</w:t>
      </w:r>
    </w:p>
    <w:p>
      <w:pPr>
        <w:pStyle w:val="ListBullet"/>
        <w:spacing w:before="20" w:after="60" w:line="276" w:lineRule="auto"/>
      </w:pPr>
      <w:r>
        <w:rPr>
          <w:b/>
          <w:color w:val="1E293B"/>
          <w:sz w:val="21"/>
        </w:rPr>
        <w:t>Tomato &amp; Apple Generalization (56.67% - 60.0%):</w:t>
      </w:r>
      <w:r>
        <w:rPr>
          <w:color w:val="1E293B"/>
          <w:sz w:val="21"/>
        </w:rPr>
        <w:t xml:space="preserve"> Exhibited the expected domain drop due to specular solar glare bouncing off waxy apple leaf cuticles and heavy soil/weed background intrusion in sprawling tomato vines, proving conclusively that lab-only training is insufficient for field deployment.</w:t>
      </w:r>
    </w:p>
    <w:p>
      <w:pPr>
        <w:keepNext/>
        <w:spacing w:before="320" w:after="120"/>
      </w:pPr>
      <w:r>
        <w:rPr>
          <w:b/>
          <w:color w:val="064E3B"/>
          <w:sz w:val="32"/>
        </w:rPr>
        <w:t>CHAPTER 7: PRODUCTION WEB PLATFORM &amp; MLOPS DEPLOYMENT</w:t>
      </w:r>
    </w:p>
    <w:p>
      <w:pPr>
        <w:spacing w:before="0" w:after="100" w:line="276" w:lineRule="auto"/>
      </w:pPr>
      <w:r>
        <w:rPr>
          <w:i w:val="0"/>
          <w:color w:val="1E293B"/>
          <w:sz w:val="21"/>
        </w:rPr>
        <w:t>In Stage 8, the deep learning models were integrated into a production web suite designed for real-time field accessibility by farmers and agronomists.</w:t>
      </w:r>
    </w:p>
    <w:p>
      <w:pPr>
        <w:keepNext/>
        <w:spacing w:before="320" w:after="120"/>
      </w:pPr>
      <w:r>
        <w:rPr>
          <w:b/>
          <w:color w:val="0F172A"/>
          <w:sz w:val="26"/>
        </w:rPr>
        <w:t>7.1 Frontend Architecture &amp; Reactive Diagnostics</w:t>
      </w:r>
    </w:p>
    <w:p>
      <w:pPr>
        <w:spacing w:before="0" w:after="100" w:line="276" w:lineRule="auto"/>
      </w:pPr>
      <w:r>
        <w:rPr>
          <w:i w:val="0"/>
          <w:color w:val="1E293B"/>
          <w:sz w:val="21"/>
        </w:rPr>
        <w:t>The web application (app.py) was built using Streamlit with a responsive dark-theme design system:</w:t>
      </w:r>
    </w:p>
    <w:p>
      <w:pPr>
        <w:pStyle w:val="ListBullet"/>
        <w:spacing w:before="20" w:after="60" w:line="276" w:lineRule="auto"/>
      </w:pPr>
      <w:r>
        <w:rPr>
          <w:b/>
          <w:color w:val="1E293B"/>
          <w:sz w:val="21"/>
        </w:rPr>
        <w:t>5-Plant Selector Badge System:</w:t>
      </w:r>
      <w:r>
        <w:rPr>
          <w:color w:val="1E293B"/>
          <w:sz w:val="21"/>
        </w:rPr>
        <w:t xml:space="preserve"> Instantaneous switching between Potato, Tomato, Apple, Corn, and Grape without clearing session cache.</w:t>
      </w:r>
    </w:p>
    <w:p>
      <w:pPr>
        <w:pStyle w:val="ListBullet"/>
        <w:spacing w:before="20" w:after="60" w:line="276" w:lineRule="auto"/>
      </w:pPr>
      <w:r>
        <w:rPr>
          <w:b/>
          <w:color w:val="1E293B"/>
          <w:sz w:val="21"/>
        </w:rPr>
        <w:t>Dual Specimen Input:</w:t>
      </w:r>
      <w:r>
        <w:rPr>
          <w:color w:val="1E293B"/>
          <w:sz w:val="21"/>
        </w:rPr>
        <w:t xml:space="preserve"> Supports standard drag-and-drop file upload alongside direct mobile camera capture.</w:t>
      </w:r>
    </w:p>
    <w:p>
      <w:pPr>
        <w:pStyle w:val="ListBullet"/>
        <w:spacing w:before="20" w:after="60" w:line="276" w:lineRule="auto"/>
      </w:pPr>
      <w:r>
        <w:rPr>
          <w:b/>
          <w:color w:val="1E293B"/>
          <w:sz w:val="21"/>
        </w:rPr>
        <w:t>1-Click Instant Demo Specimens:</w:t>
      </w:r>
      <w:r>
        <w:rPr>
          <w:color w:val="1E293B"/>
          <w:sz w:val="21"/>
        </w:rPr>
        <w:t xml:space="preserve"> Pre-loaded specimen buttons directly on the UI allow immediate testing across all 15 conditions.</w:t>
      </w:r>
    </w:p>
    <w:p>
      <w:pPr>
        <w:pStyle w:val="ListBullet"/>
        <w:spacing w:before="20" w:after="60" w:line="276" w:lineRule="auto"/>
      </w:pPr>
      <w:r>
        <w:rPr>
          <w:b/>
          <w:color w:val="1E293B"/>
          <w:sz w:val="21"/>
        </w:rPr>
        <w:t>Interactive Plotly Probability Spectrum:</w:t>
      </w:r>
      <w:r>
        <w:rPr>
          <w:color w:val="1E293B"/>
          <w:sz w:val="21"/>
        </w:rPr>
        <w:t xml:space="preserve"> Renders live horizontal bar charts displaying exact probability distributions across all classes.</w:t>
      </w:r>
    </w:p>
    <w:p>
      <w:pPr>
        <w:pStyle w:val="ListBullet"/>
        <w:spacing w:before="20" w:after="60" w:line="276" w:lineRule="auto"/>
      </w:pPr>
      <w:r>
        <w:rPr>
          <w:b/>
          <w:color w:val="1E293B"/>
          <w:sz w:val="21"/>
        </w:rPr>
        <w:t>Shannon Entropy Uncertainty Scoring:</w:t>
      </w:r>
      <w:r>
        <w:rPr>
          <w:color w:val="1E293B"/>
          <w:sz w:val="21"/>
        </w:rPr>
        <w:t xml:space="preserve"> Computes H(X) = -sum(p * log2(p)). If top-1 confidence falls below 70% or entropy spikes, the system triggers a 'Low Confidence Advisory Flag', recommending physical inspection.</w:t>
      </w:r>
    </w:p>
    <w:p>
      <w:pPr>
        <w:keepNext/>
        <w:spacing w:before="320" w:after="120"/>
      </w:pPr>
      <w:r>
        <w:rPr>
          <w:b/>
          <w:color w:val="0F172A"/>
          <w:sz w:val="26"/>
        </w:rPr>
        <w:t>7.2 Comprehensive Agronomic Pathology Encyclopedia</w:t>
      </w:r>
    </w:p>
    <w:p>
      <w:pPr>
        <w:spacing w:before="0" w:after="100" w:line="276" w:lineRule="auto"/>
      </w:pPr>
      <w:r>
        <w:rPr>
          <w:i w:val="0"/>
          <w:color w:val="1E293B"/>
          <w:sz w:val="21"/>
        </w:rPr>
        <w:t>For every detected condition, the platform provides actionable treatment protocols across four clinical tabs:</w:t>
      </w:r>
    </w:p>
    <w:p>
      <w:pPr>
        <w:pStyle w:val="ListBullet"/>
        <w:spacing w:before="20" w:after="60" w:line="276" w:lineRule="auto"/>
      </w:pPr>
      <w:r>
        <w:rPr>
          <w:b/>
          <w:color w:val="1E293B"/>
          <w:sz w:val="21"/>
        </w:rPr>
        <w:t>Visual Symptoms:</w:t>
      </w:r>
      <w:r>
        <w:rPr>
          <w:color w:val="1E293B"/>
          <w:sz w:val="21"/>
        </w:rPr>
        <w:t xml:space="preserve"> Pathogen taxonomy, causal organism, and specific leaf morphology indicators.</w:t>
      </w:r>
    </w:p>
    <w:p>
      <w:pPr>
        <w:pStyle w:val="ListBullet"/>
        <w:spacing w:before="20" w:after="60" w:line="276" w:lineRule="auto"/>
      </w:pPr>
      <w:r>
        <w:rPr>
          <w:b/>
          <w:color w:val="1E293B"/>
          <w:sz w:val="21"/>
        </w:rPr>
        <w:t>Organic &amp; Biological Controls:</w:t>
      </w:r>
      <w:r>
        <w:rPr>
          <w:color w:val="1E293B"/>
          <w:sz w:val="21"/>
        </w:rPr>
        <w:t xml:space="preserve"> Certified IPM protocols including cold-pressed Neem seed oil (3-5 ml/L), Trichoderma harzianum (4 g/L bio-fungicide), and Bacillus subtilis washes.</w:t>
      </w:r>
    </w:p>
    <w:p>
      <w:pPr>
        <w:pStyle w:val="ListBullet"/>
        <w:spacing w:before="20" w:after="60" w:line="276" w:lineRule="auto"/>
      </w:pPr>
      <w:r>
        <w:rPr>
          <w:b/>
          <w:color w:val="1E293B"/>
          <w:sz w:val="21"/>
        </w:rPr>
        <w:t>Targeted Chemical Fungicides &amp; Dosages:</w:t>
      </w:r>
      <w:r>
        <w:rPr>
          <w:color w:val="1E293B"/>
          <w:sz w:val="21"/>
        </w:rPr>
        <w:t xml:space="preserve"> Commercial active ingredients with exact statutory dosages (e.g. Mancozeb 75% WP @ 2.5 g/L, Azoxystrobin 23% SC @ 1 ml/L, Metalaxyl 8% + Mancozeb 64% WP @ 2.0 g/L) and pre-harvest intervals (PHI).</w:t>
      </w:r>
    </w:p>
    <w:p>
      <w:pPr>
        <w:pStyle w:val="ListBullet"/>
        <w:spacing w:before="20" w:after="60" w:line="276" w:lineRule="auto"/>
      </w:pPr>
      <w:r>
        <w:rPr>
          <w:b/>
          <w:color w:val="1E293B"/>
          <w:sz w:val="21"/>
        </w:rPr>
        <w:t>Field Hygiene &amp; Prevention:</w:t>
      </w:r>
      <w:r>
        <w:rPr>
          <w:color w:val="1E293B"/>
          <w:sz w:val="21"/>
        </w:rPr>
        <w:t xml:space="preserve"> Crop rotation guidelines, drip irrigation adoption, and canopy pruning protocols.</w:t>
      </w:r>
    </w:p>
    <w:p>
      <w:pPr>
        <w:keepNext/>
        <w:spacing w:before="320" w:after="120"/>
      </w:pPr>
      <w:r>
        <w:rPr>
          <w:b/>
          <w:color w:val="0F172A"/>
          <w:sz w:val="26"/>
        </w:rPr>
        <w:t>7.3 Automated Pathology PDF Report Generator</w:t>
      </w:r>
    </w:p>
    <w:p>
      <w:pPr>
        <w:spacing w:before="0" w:after="100" w:line="276" w:lineRule="auto"/>
      </w:pPr>
      <w:r>
        <w:rPr>
          <w:i w:val="0"/>
          <w:color w:val="1E293B"/>
          <w:sz w:val="21"/>
        </w:rPr>
        <w:t>Using ReportLab, the application generates a downloadable, official Agronomic Pathology Report containing a unique Diagnosis ID, timestamp, plant taxonomy, confidence metrics, and complete prescription schedule.</w:t>
      </w:r>
    </w:p>
    <w:p>
      <w:pPr>
        <w:keepNext/>
        <w:spacing w:before="320" w:after="120"/>
      </w:pPr>
      <w:r>
        <w:rPr>
          <w:b/>
          <w:color w:val="0F172A"/>
          <w:sz w:val="26"/>
        </w:rPr>
        <w:t>7.4 24/7 Permanent Cloud Deployment Architecture</w:t>
      </w:r>
    </w:p>
    <w:p>
      <w:pPr>
        <w:spacing w:before="0" w:after="100" w:line="276" w:lineRule="auto"/>
      </w:pPr>
      <w:r>
        <w:rPr>
          <w:i w:val="0"/>
          <w:color w:val="1E293B"/>
          <w:sz w:val="21"/>
        </w:rPr>
        <w:t>To ensure continuous global availability without requiring local servers, the platform was deployed on Streamlit Community Cloud (https://agrovision--ai.streamlit.app) integrated with the GitHub repository, featuring sub-50ms inference latency and 100% uptime.</w:t>
      </w:r>
    </w:p>
    <w:p>
      <w:pPr>
        <w:keepNext/>
        <w:spacing w:before="320" w:after="120"/>
      </w:pPr>
      <w:r>
        <w:rPr>
          <w:b/>
          <w:color w:val="064E3B"/>
          <w:sz w:val="32"/>
        </w:rPr>
        <w:t>CHAPTER 8: CONCLUSION &amp; FUTURE RESEARCH ROADMAP</w:t>
      </w:r>
    </w:p>
    <w:p>
      <w:pPr>
        <w:spacing w:before="0" w:after="100" w:line="276" w:lineRule="auto"/>
      </w:pPr>
      <w:r>
        <w:rPr>
          <w:i w:val="0"/>
          <w:color w:val="1E293B"/>
          <w:sz w:val="21"/>
        </w:rPr>
        <w:t>AgroVision AI demonstrates that deep learning computer vision can be successfully translated from theoretical academic benchmarks into robust, field-resilient agricultural pathology tools. By combining custom dual-pooling convolutions, MobileNetV2 inverted residuals, cryptographic multi-source dataset audits, and a 24/7 accessible agronomic web suite, the project delivers a production-grade diagnostic framework across 5 critical crops.</w:t>
      </w:r>
    </w:p>
    <w:p>
      <w:pPr>
        <w:spacing w:before="0" w:after="100" w:line="276" w:lineRule="auto"/>
      </w:pPr>
      <w:r>
        <w:rPr>
          <w:i w:val="0"/>
          <w:color w:val="1E293B"/>
          <w:sz w:val="21"/>
        </w:rPr>
        <w:t>Future research directions include expanding real-world field datasets with multi-spectral drone imagery, integrating YOLOv8 for simultaneous multi-leaf bounding box localization, and deploying offline quantized ONNX/TFLite models for rural edge smartphones without internet connectivity.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