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20"/>
        <w:jc w:val="center"/>
      </w:pPr>
      <w:r>
        <w:rPr>
          <w:b/>
          <w:color w:val="064E3B"/>
          <w:sz w:val="44"/>
        </w:rPr>
        <w:t>AGROVISION AI: PLANT DISEASE DETECTION USING COMPUTER VISION</w:t>
      </w:r>
    </w:p>
    <w:p>
      <w:pPr>
        <w:spacing w:after="360"/>
        <w:jc w:val="center"/>
      </w:pPr>
      <w:r>
        <w:rPr>
          <w:i/>
          <w:color w:val="475569"/>
          <w:sz w:val="22"/>
        </w:rPr>
        <w:t>A Comprehensive Capstone Project Report on Deep Convolutional Neural Networks, Multi-Source Real-World Dataset Engineering, Empirical Generalization Benchmarks, and 24/7 Cloud Deployment</w:t>
      </w:r>
    </w:p>
    <w:p>
      <w:pPr>
        <w:spacing w:after="320"/>
        <w:jc w:val="center"/>
      </w:pPr>
      <w:r>
        <w:rPr>
          <w:b/>
          <w:color w:val="0F172A"/>
          <w:sz w:val="21"/>
        </w:rPr>
        <w:t>Submitted in partial fulfillment of the requirements for the Degree of</w:t>
        <w:br/>
        <w:t>BACHELOR OF SCIENCE IN DATA SCIENCE (TY B.Sc. DATA SCIENCE)</w:t>
        <w:br/>
        <w:t>Department of Computer Science &amp; Data Science</w:t>
        <w:br/>
        <w:t>SMT. CHANDIBAI HIMATHMAL MANSUKHANI COLLEGE (SMT. CHM COLLEGE)</w:t>
        <w:br/>
        <w:t>University of Mumbai | Academic Year 2026–2027</w:t>
      </w:r>
    </w:p>
    <w:p>
      <w:pPr>
        <w:spacing w:after="200"/>
      </w:pPr>
    </w:p>
    <w:tbl>
      <w:tblPr>
        <w:tblW w:type="auto" w:w="0"/>
        <w:jc w:val="center"/>
        <w:tblLook w:firstColumn="1" w:firstRow="1" w:lastColumn="0" w:lastRow="0" w:noHBand="0" w:noVBand="1" w:val="04A0"/>
      </w:tblPr>
      <w:tblGrid>
        <w:gridCol w:w="4680"/>
        <w:gridCol w:w="4680"/>
      </w:tblGrid>
      <w:tr>
        <w:tc>
          <w:tcPr>
            <w:tcW w:type="dxa" w:w="3456"/>
            <w:shd w:fill="F8FAFC"/>
          </w:tcPr>
          <w:p>
            <w:pPr>
              <w:spacing w:after="40"/>
            </w:pPr>
            <w:r>
              <w:rPr>
                <w:b/>
                <w:color w:val="0F172A"/>
                <w:sz w:val="19"/>
              </w:rPr>
              <w:t>Academic Program &amp; Class:</w:t>
            </w:r>
          </w:p>
        </w:tc>
        <w:tc>
          <w:tcPr>
            <w:tcW w:type="dxa" w:w="5904"/>
            <w:shd w:fill="F1F5F9"/>
          </w:tcPr>
          <w:p>
            <w:pPr>
              <w:spacing w:after="40"/>
            </w:pPr>
            <w:r>
              <w:rPr>
                <w:color w:val="1E293B"/>
                <w:sz w:val="19"/>
              </w:rPr>
              <w:t>TY B.Sc. Data Science — Semester 5 (2026–2027)</w:t>
            </w:r>
          </w:p>
        </w:tc>
      </w:tr>
      <w:tr>
        <w:tc>
          <w:tcPr>
            <w:tcW w:type="dxa" w:w="3456"/>
            <w:shd w:fill="F8FAFC"/>
          </w:tcPr>
          <w:p>
            <w:pPr>
              <w:spacing w:after="40"/>
            </w:pPr>
            <w:r>
              <w:rPr>
                <w:b/>
                <w:color w:val="0F172A"/>
                <w:sz w:val="19"/>
              </w:rPr>
              <w:t>Course &amp; Subject:</w:t>
            </w:r>
          </w:p>
        </w:tc>
        <w:tc>
          <w:tcPr>
            <w:tcW w:type="dxa" w:w="5904"/>
            <w:shd w:fill="F1F5F9"/>
          </w:tcPr>
          <w:p>
            <w:pPr>
              <w:spacing w:after="40"/>
            </w:pPr>
            <w:r>
              <w:rPr>
                <w:color w:val="1E293B"/>
                <w:sz w:val="19"/>
              </w:rPr>
              <w:t>Computer Vision (Mini Project / Capstone)</w:t>
            </w:r>
          </w:p>
        </w:tc>
      </w:tr>
      <w:tr>
        <w:tc>
          <w:tcPr>
            <w:tcW w:type="dxa" w:w="3456"/>
            <w:shd w:fill="F8FAFC"/>
          </w:tcPr>
          <w:p>
            <w:pPr>
              <w:spacing w:after="40"/>
            </w:pPr>
            <w:r>
              <w:rPr>
                <w:b/>
                <w:color w:val="0F172A"/>
                <w:sz w:val="19"/>
              </w:rPr>
              <w:t>Project Guide / Mentor:</w:t>
            </w:r>
          </w:p>
        </w:tc>
        <w:tc>
          <w:tcPr>
            <w:tcW w:type="dxa" w:w="5904"/>
            <w:shd w:fill="F1F5F9"/>
          </w:tcPr>
          <w:p>
            <w:pPr>
              <w:spacing w:after="40"/>
            </w:pPr>
            <w:r>
              <w:rPr>
                <w:color w:val="1E293B"/>
                <w:sz w:val="19"/>
              </w:rPr>
              <w:t>Anshul Sir (Assistant Professor / Faculty Mentor)</w:t>
            </w:r>
          </w:p>
        </w:tc>
      </w:tr>
      <w:tr>
        <w:tc>
          <w:tcPr>
            <w:tcW w:type="dxa" w:w="3456"/>
            <w:shd w:fill="F8FAFC"/>
          </w:tcPr>
          <w:p>
            <w:pPr>
              <w:spacing w:after="40"/>
            </w:pPr>
            <w:r>
              <w:rPr>
                <w:b/>
                <w:color w:val="0F172A"/>
                <w:sz w:val="19"/>
              </w:rPr>
              <w:t>Student Project Team (5):</w:t>
            </w:r>
          </w:p>
        </w:tc>
        <w:tc>
          <w:tcPr>
            <w:tcW w:type="dxa" w:w="5904"/>
            <w:shd w:fill="F1F5F9"/>
          </w:tcPr>
          <w:p>
            <w:pPr>
              <w:spacing w:after="40"/>
            </w:pPr>
            <w:r>
              <w:rPr>
                <w:color w:val="1E293B"/>
                <w:sz w:val="19"/>
              </w:rPr>
              <w:t>1. Rehan Khan (Roll No. 33)</w:t>
              <w:br/>
              <w:t>2. Soham Morye (Roll No. 10)</w:t>
              <w:br/>
              <w:t>3. Grishma Patil (Roll No. 13)</w:t>
              <w:br/>
              <w:t>4. Priyanka Yadav (Roll No. 26)</w:t>
              <w:br/>
              <w:t>5. Danish Momin (Roll No. 27)</w:t>
            </w:r>
          </w:p>
        </w:tc>
      </w:tr>
      <w:tr>
        <w:tc>
          <w:tcPr>
            <w:tcW w:type="dxa" w:w="3456"/>
            <w:shd w:fill="F8FAFC"/>
          </w:tcPr>
          <w:p>
            <w:pPr>
              <w:spacing w:after="40"/>
            </w:pPr>
            <w:r>
              <w:rPr>
                <w:b/>
                <w:color w:val="0F172A"/>
                <w:sz w:val="19"/>
              </w:rPr>
              <w:t>Target Agricultural Hosts (5):</w:t>
            </w:r>
          </w:p>
        </w:tc>
        <w:tc>
          <w:tcPr>
            <w:tcW w:type="dxa" w:w="5904"/>
            <w:shd w:fill="F1F5F9"/>
          </w:tcPr>
          <w:p>
            <w:pPr>
              <w:spacing w:after="40"/>
            </w:pPr>
            <w:r>
              <w:rPr>
                <w:color w:val="1E293B"/>
                <w:sz w:val="19"/>
              </w:rPr>
              <w:t>Potato (Solanaceae), Tomato (Solanaceae), Apple (Rosaceae), Corn (Poaceae), Grape (Vitaceae)</w:t>
            </w:r>
          </w:p>
        </w:tc>
      </w:tr>
      <w:tr>
        <w:tc>
          <w:tcPr>
            <w:tcW w:type="dxa" w:w="3456"/>
            <w:shd w:fill="F8FAFC"/>
          </w:tcPr>
          <w:p>
            <w:pPr>
              <w:spacing w:after="40"/>
            </w:pPr>
            <w:r>
              <w:rPr>
                <w:b/>
                <w:color w:val="0F172A"/>
                <w:sz w:val="19"/>
              </w:rPr>
              <w:t>Diagnostic Pathology Spectrum:</w:t>
            </w:r>
          </w:p>
        </w:tc>
        <w:tc>
          <w:tcPr>
            <w:tcW w:type="dxa" w:w="5904"/>
            <w:shd w:fill="F1F5F9"/>
          </w:tcPr>
          <w:p>
            <w:pPr>
              <w:spacing w:after="40"/>
            </w:pPr>
            <w:r>
              <w:rPr>
                <w:color w:val="1E293B"/>
                <w:sz w:val="19"/>
              </w:rPr>
              <w:t>15 Certified Classes (5 Healthy Baselines + 10 Destructive Foliar Pathologies)</w:t>
            </w:r>
          </w:p>
        </w:tc>
      </w:tr>
      <w:tr>
        <w:tc>
          <w:tcPr>
            <w:tcW w:type="dxa" w:w="3456"/>
            <w:shd w:fill="F8FAFC"/>
          </w:tcPr>
          <w:p>
            <w:pPr>
              <w:spacing w:after="40"/>
            </w:pPr>
            <w:r>
              <w:rPr>
                <w:b/>
                <w:color w:val="0F172A"/>
                <w:sz w:val="19"/>
              </w:rPr>
              <w:t>Open-Source Code Repository:</w:t>
            </w:r>
          </w:p>
        </w:tc>
        <w:tc>
          <w:tcPr>
            <w:tcW w:type="dxa" w:w="5904"/>
            <w:shd w:fill="F1F5F9"/>
          </w:tcPr>
          <w:p>
            <w:pPr>
              <w:spacing w:after="40"/>
            </w:pPr>
            <w:r>
              <w:rPr>
                <w:color w:val="1E293B"/>
                <w:sz w:val="19"/>
              </w:rPr>
              <w:t>https://github.com/REHANKHANN20/agrovision-plant-disease-detection</w:t>
            </w:r>
          </w:p>
        </w:tc>
      </w:tr>
      <w:tr>
        <w:tc>
          <w:tcPr>
            <w:tcW w:type="dxa" w:w="3456"/>
            <w:shd w:fill="F8FAFC"/>
          </w:tcPr>
          <w:p>
            <w:pPr>
              <w:spacing w:after="40"/>
            </w:pPr>
            <w:r>
              <w:rPr>
                <w:b/>
                <w:color w:val="0F172A"/>
                <w:sz w:val="19"/>
              </w:rPr>
              <w:t>Production Cloud Web Application:</w:t>
            </w:r>
          </w:p>
        </w:tc>
        <w:tc>
          <w:tcPr>
            <w:tcW w:type="dxa" w:w="5904"/>
            <w:shd w:fill="F1F5F9"/>
          </w:tcPr>
          <w:p>
            <w:pPr>
              <w:spacing w:after="40"/>
            </w:pPr>
            <w:r>
              <w:rPr>
                <w:color w:val="1E293B"/>
                <w:sz w:val="19"/>
              </w:rPr>
              <w:t>https://agrovision--ai.streamlit.app</w:t>
            </w:r>
          </w:p>
        </w:tc>
      </w:tr>
    </w:tbl>
    <w:p>
      <w:r>
        <w:br w:type="page"/>
      </w:r>
    </w:p>
    <w:p>
      <w:pPr>
        <w:keepNext/>
        <w:spacing w:before="320" w:after="120"/>
      </w:pPr>
      <w:r>
        <w:rPr>
          <w:b/>
          <w:color w:val="064E3B"/>
          <w:sz w:val="32"/>
        </w:rPr>
        <w:t>CERTIFICATE OF APPROVAL</w:t>
      </w:r>
    </w:p>
    <w:p>
      <w:pPr>
        <w:spacing w:before="0" w:after="100" w:line="276" w:lineRule="auto"/>
      </w:pPr>
      <w:r>
        <w:rPr>
          <w:i w:val="0"/>
          <w:color w:val="1E293B"/>
          <w:sz w:val="20"/>
        </w:rPr>
        <w:t>This is to certify that the Capstone Project entitled:</w:t>
      </w:r>
    </w:p>
    <w:p>
      <w:pPr>
        <w:spacing w:before="160" w:after="160"/>
        <w:jc w:val="center"/>
      </w:pPr>
      <w:r>
        <w:rPr>
          <w:b/>
          <w:color w:val="064E3B"/>
          <w:sz w:val="24"/>
        </w:rPr>
        <w:t>"AGROVISION AI: PLANT DISEASE DETECTION USING COMPUTER VISION"</w:t>
      </w:r>
    </w:p>
    <w:p>
      <w:pPr>
        <w:spacing w:before="0" w:after="100" w:line="276" w:lineRule="auto"/>
      </w:pPr>
      <w:r>
        <w:rPr>
          <w:i w:val="0"/>
          <w:color w:val="1E293B"/>
          <w:sz w:val="20"/>
        </w:rPr>
        <w:t>is a bonafide record of authentic work carried out by the following students of TY B.Sc. Data Science, Smt. Chandibai Himathmal Mansukhani College (Smt. CHM College), under the guidance and supervision of Anshul Sir, in partial fulfillment of the requirements for the Degree of Bachelor of Science in Data Science (Semester 5):</w:t>
      </w:r>
    </w:p>
    <w:p>
      <w:pPr>
        <w:pStyle w:val="ListBullet"/>
        <w:spacing w:before="20" w:after="60" w:line="276" w:lineRule="auto"/>
      </w:pPr>
      <w:r>
        <w:rPr>
          <w:b/>
          <w:color w:val="1E293B"/>
          <w:sz w:val="20"/>
        </w:rPr>
        <w:t>Rehan Khan</w:t>
      </w:r>
      <w:r>
        <w:rPr>
          <w:color w:val="1E293B"/>
          <w:sz w:val="20"/>
        </w:rPr>
        <w:t xml:space="preserve"> — Roll No. 33 (Project Lead &amp; System Architect)</w:t>
      </w:r>
    </w:p>
    <w:p>
      <w:pPr>
        <w:pStyle w:val="ListBullet"/>
        <w:spacing w:before="20" w:after="60" w:line="276" w:lineRule="auto"/>
      </w:pPr>
      <w:r>
        <w:rPr>
          <w:b/>
          <w:color w:val="1E293B"/>
          <w:sz w:val="20"/>
        </w:rPr>
        <w:t>Soham Morye</w:t>
      </w:r>
      <w:r>
        <w:rPr>
          <w:color w:val="1E293B"/>
          <w:sz w:val="20"/>
        </w:rPr>
        <w:t xml:space="preserve"> — Roll No. 10 (Dataset Engineering &amp; Research Lead)</w:t>
      </w:r>
    </w:p>
    <w:p>
      <w:pPr>
        <w:pStyle w:val="ListBullet"/>
        <w:spacing w:before="20" w:after="60" w:line="276" w:lineRule="auto"/>
      </w:pPr>
      <w:r>
        <w:rPr>
          <w:b/>
          <w:color w:val="1E293B"/>
          <w:sz w:val="20"/>
        </w:rPr>
        <w:t>Grishma Patil</w:t>
      </w:r>
      <w:r>
        <w:rPr>
          <w:color w:val="1E293B"/>
          <w:sz w:val="20"/>
        </w:rPr>
        <w:t xml:space="preserve"> — Roll No. 13 (AI &amp; CNN Development Lead)</w:t>
      </w:r>
    </w:p>
    <w:p>
      <w:pPr>
        <w:pStyle w:val="ListBullet"/>
        <w:spacing w:before="20" w:after="60" w:line="276" w:lineRule="auto"/>
      </w:pPr>
      <w:r>
        <w:rPr>
          <w:b/>
          <w:color w:val="1E293B"/>
          <w:sz w:val="20"/>
        </w:rPr>
        <w:t>Priyanka Yadav</w:t>
      </w:r>
      <w:r>
        <w:rPr>
          <w:color w:val="1E293B"/>
          <w:sz w:val="20"/>
        </w:rPr>
        <w:t xml:space="preserve"> — Roll No. 26 (Application &amp; Testing Lead)</w:t>
      </w:r>
    </w:p>
    <w:p>
      <w:pPr>
        <w:pStyle w:val="ListBullet"/>
        <w:spacing w:before="20" w:after="60" w:line="276" w:lineRule="auto"/>
      </w:pPr>
      <w:r>
        <w:rPr>
          <w:b/>
          <w:color w:val="1E293B"/>
          <w:sz w:val="20"/>
        </w:rPr>
        <w:t>Danish Momin</w:t>
      </w:r>
      <w:r>
        <w:rPr>
          <w:color w:val="1E293B"/>
          <w:sz w:val="20"/>
        </w:rPr>
        <w:t xml:space="preserve"> — Roll No. 27 (Documentation &amp; Presentation Lead)</w:t>
      </w:r>
    </w:p>
    <w:p>
      <w:pPr>
        <w:spacing w:before="0" w:after="100" w:line="276" w:lineRule="auto"/>
      </w:pPr>
      <w:r>
        <w:rPr>
          <w:i w:val="0"/>
          <w:color w:val="1E293B"/>
          <w:sz w:val="20"/>
        </w:rPr>
        <w:t>The results and performance metrics embodied in this project report have been thoroughly verified and have not been submitted to any other University or Institute for the award of any degree or diploma.</w:t>
      </w:r>
    </w:p>
    <w:p>
      <w:pPr>
        <w:spacing w:after="720"/>
      </w:pPr>
    </w:p>
    <w:tbl>
      <w:tblPr>
        <w:tblW w:type="auto" w:w="0"/>
        <w:jc w:val="center"/>
        <w:tblLook w:firstColumn="1" w:firstRow="1" w:lastColumn="0" w:lastRow="0" w:noHBand="0" w:noVBand="1" w:val="04A0"/>
      </w:tblPr>
      <w:tblGrid>
        <w:gridCol w:w="3120"/>
        <w:gridCol w:w="3120"/>
        <w:gridCol w:w="3120"/>
      </w:tblGrid>
      <w:tr>
        <w:tc>
          <w:tcPr>
            <w:tcW w:type="dxa" w:w="3168"/>
          </w:tcPr>
          <w:p>
            <w:pPr>
              <w:jc w:val="center"/>
            </w:pPr>
            <w:r>
              <w:rPr>
                <w:color w:val="0F172A"/>
                <w:sz w:val="18"/>
              </w:rPr>
              <w:t>_________________________</w:t>
              <w:br/>
              <w:t>Anshul Sir</w:t>
              <w:br/>
              <w:t>Project Guide / Mentor</w:t>
              <w:br/>
              <w:t>Department of Computer Science</w:t>
            </w:r>
          </w:p>
        </w:tc>
        <w:tc>
          <w:tcPr>
            <w:tcW w:type="dxa" w:w="3168"/>
          </w:tcPr>
          <w:p>
            <w:pPr>
              <w:jc w:val="center"/>
            </w:pPr>
            <w:r>
              <w:rPr>
                <w:color w:val="0F172A"/>
                <w:sz w:val="18"/>
              </w:rPr>
              <w:t>_________________________</w:t>
              <w:br/>
              <w:t>Head of Department (HOD)</w:t>
              <w:br/>
              <w:t>Department of Computer Science</w:t>
              <w:br/>
              <w:t>Smt. CHM College</w:t>
            </w:r>
          </w:p>
        </w:tc>
        <w:tc>
          <w:tcPr>
            <w:tcW w:type="dxa" w:w="3024"/>
          </w:tcPr>
          <w:p>
            <w:pPr>
              <w:jc w:val="center"/>
            </w:pPr>
            <w:r>
              <w:rPr>
                <w:color w:val="0F172A"/>
                <w:sz w:val="18"/>
              </w:rPr>
              <w:t>_________________________</w:t>
              <w:br/>
              <w:t>External Examiner</w:t>
              <w:br/>
              <w:t>Board of Examinations</w:t>
              <w:br/>
              <w:t>University of Mumbai</w:t>
            </w:r>
          </w:p>
        </w:tc>
      </w:tr>
      <w:tr>
        <w:tc>
          <w:tcPr>
            <w:tcW w:type="dxa" w:w="3120"/>
          </w:tcPr>
          <w:p/>
        </w:tc>
        <w:tc>
          <w:tcPr>
            <w:tcW w:type="dxa" w:w="3120"/>
          </w:tcPr>
          <w:p/>
        </w:tc>
        <w:tc>
          <w:tcPr>
            <w:tcW w:type="dxa" w:w="3120"/>
          </w:tcPr>
          <w:p/>
        </w:tc>
      </w:tr>
    </w:tbl>
    <w:p>
      <w:r>
        <w:br w:type="page"/>
      </w:r>
    </w:p>
    <w:p>
      <w:pPr>
        <w:keepNext/>
        <w:spacing w:before="320" w:after="120"/>
      </w:pPr>
      <w:r>
        <w:rPr>
          <w:b/>
          <w:color w:val="064E3B"/>
          <w:sz w:val="32"/>
        </w:rPr>
        <w:t>CANDIDATE DECLARATION</w:t>
      </w:r>
    </w:p>
    <w:p>
      <w:pPr>
        <w:spacing w:before="0" w:after="100" w:line="276" w:lineRule="auto"/>
      </w:pPr>
      <w:r>
        <w:rPr>
          <w:i w:val="0"/>
          <w:color w:val="1E293B"/>
          <w:sz w:val="20"/>
        </w:rPr>
        <w:t>We, the undersigned students of TY B.Sc. Data Science (Semester 5) at Smt. Chandibai Himathmal Mansukhani College (Smt. CHM College), hereby declare that the capstone project report entitled 'AgroVision AI: Plant Disease Detection using Computer Vision' is our original work.</w:t>
      </w:r>
    </w:p>
    <w:p>
      <w:pPr>
        <w:spacing w:before="0" w:after="100" w:line="276" w:lineRule="auto"/>
      </w:pPr>
      <w:r>
        <w:rPr>
          <w:i w:val="0"/>
          <w:color w:val="1E293B"/>
          <w:sz w:val="20"/>
        </w:rPr>
        <w:t>We confirm that this report reflects our genuine, collaborative engineering effort spanning problem formulation, dataset auditing, convolutional architecture design, laboratory evaluation, real-world field validation, and production cloud deployment. All external research literature, datasets (PlantVillage, Mendeley GVLiD), and open-source frameworks (TensorFlow, Keras, Streamlit, OpenCV) have been properly cited and acknowledged.</w:t>
      </w:r>
    </w:p>
    <w:p>
      <w:pPr>
        <w:spacing w:after="480"/>
      </w:pPr>
    </w:p>
    <w:tbl>
      <w:tblPr>
        <w:tblW w:type="auto" w:w="0"/>
        <w:jc w:val="center"/>
        <w:tblLook w:firstColumn="1" w:firstRow="1" w:lastColumn="0" w:lastRow="0" w:noHBand="0" w:noVBand="1" w:val="04A0"/>
      </w:tblPr>
      <w:tblGrid>
        <w:gridCol w:w="2340"/>
        <w:gridCol w:w="2340"/>
        <w:gridCol w:w="2340"/>
        <w:gridCol w:w="2340"/>
      </w:tblGrid>
      <w:tr>
        <w:tc>
          <w:tcPr>
            <w:tcW w:type="dxa" w:w="2340"/>
            <w:shd w:fill="064E3B"/>
          </w:tcPr>
          <w:p>
            <w:r>
              <w:rPr>
                <w:b/>
                <w:color w:val="FFFFFF"/>
                <w:sz w:val="19"/>
              </w:rPr>
              <w:t>Student Name</w:t>
            </w:r>
          </w:p>
        </w:tc>
        <w:tc>
          <w:tcPr>
            <w:tcW w:type="dxa" w:w="2340"/>
            <w:shd w:fill="064E3B"/>
          </w:tcPr>
          <w:p>
            <w:r>
              <w:rPr>
                <w:b/>
                <w:color w:val="FFFFFF"/>
                <w:sz w:val="19"/>
              </w:rPr>
              <w:t>Roll No.</w:t>
            </w:r>
          </w:p>
        </w:tc>
        <w:tc>
          <w:tcPr>
            <w:tcW w:type="dxa" w:w="2340"/>
            <w:shd w:fill="064E3B"/>
          </w:tcPr>
          <w:p>
            <w:r>
              <w:rPr>
                <w:b/>
                <w:color w:val="FFFFFF"/>
                <w:sz w:val="19"/>
              </w:rPr>
              <w:t>Class / Division</w:t>
            </w:r>
          </w:p>
        </w:tc>
        <w:tc>
          <w:tcPr>
            <w:tcW w:type="dxa" w:w="2340"/>
            <w:shd w:fill="064E3B"/>
          </w:tcPr>
          <w:p>
            <w:r>
              <w:rPr>
                <w:b/>
                <w:color w:val="FFFFFF"/>
                <w:sz w:val="19"/>
              </w:rPr>
              <w:t>Signature</w:t>
            </w:r>
          </w:p>
        </w:tc>
      </w:tr>
      <w:tr>
        <w:tc>
          <w:tcPr>
            <w:tcW w:type="dxa" w:w="2340"/>
          </w:tcPr>
          <w:p>
            <w:r>
              <w:rPr>
                <w:sz w:val="18"/>
              </w:rPr>
              <w:t>Rehan Khan</w:t>
            </w:r>
          </w:p>
        </w:tc>
        <w:tc>
          <w:tcPr>
            <w:tcW w:type="dxa" w:w="2340"/>
          </w:tcPr>
          <w:p>
            <w:pPr>
              <w:jc w:val="center"/>
            </w:pPr>
            <w:r>
              <w:rPr>
                <w:sz w:val="18"/>
              </w:rPr>
              <w:t>33</w:t>
            </w:r>
          </w:p>
        </w:tc>
        <w:tc>
          <w:tcPr>
            <w:tcW w:type="dxa" w:w="2340"/>
          </w:tcPr>
          <w:p>
            <w:r>
              <w:rPr>
                <w:sz w:val="18"/>
              </w:rPr>
              <w:t>TY B.Sc. Data Science</w:t>
            </w:r>
          </w:p>
        </w:tc>
        <w:tc>
          <w:tcPr>
            <w:tcW w:type="dxa" w:w="2340"/>
          </w:tcPr>
          <w:p>
            <w:r>
              <w:rPr>
                <w:sz w:val="18"/>
              </w:rPr>
              <w:t>__________________</w:t>
            </w:r>
          </w:p>
        </w:tc>
      </w:tr>
      <w:tr>
        <w:tc>
          <w:tcPr>
            <w:tcW w:type="dxa" w:w="2340"/>
          </w:tcPr>
          <w:p>
            <w:r>
              <w:rPr>
                <w:sz w:val="18"/>
              </w:rPr>
              <w:t>Soham Morye</w:t>
            </w:r>
          </w:p>
        </w:tc>
        <w:tc>
          <w:tcPr>
            <w:tcW w:type="dxa" w:w="2340"/>
          </w:tcPr>
          <w:p>
            <w:pPr>
              <w:jc w:val="center"/>
            </w:pPr>
            <w:r>
              <w:rPr>
                <w:sz w:val="18"/>
              </w:rPr>
              <w:t>10</w:t>
            </w:r>
          </w:p>
        </w:tc>
        <w:tc>
          <w:tcPr>
            <w:tcW w:type="dxa" w:w="2340"/>
          </w:tcPr>
          <w:p>
            <w:r>
              <w:rPr>
                <w:sz w:val="18"/>
              </w:rPr>
              <w:t>TY B.Sc. Data Science</w:t>
            </w:r>
          </w:p>
        </w:tc>
        <w:tc>
          <w:tcPr>
            <w:tcW w:type="dxa" w:w="2340"/>
          </w:tcPr>
          <w:p>
            <w:r>
              <w:rPr>
                <w:sz w:val="18"/>
              </w:rPr>
              <w:t>__________________</w:t>
            </w:r>
          </w:p>
        </w:tc>
      </w:tr>
      <w:tr>
        <w:tc>
          <w:tcPr>
            <w:tcW w:type="dxa" w:w="2340"/>
          </w:tcPr>
          <w:p>
            <w:r>
              <w:rPr>
                <w:sz w:val="18"/>
              </w:rPr>
              <w:t>Grishma Patil</w:t>
            </w:r>
          </w:p>
        </w:tc>
        <w:tc>
          <w:tcPr>
            <w:tcW w:type="dxa" w:w="2340"/>
          </w:tcPr>
          <w:p>
            <w:pPr>
              <w:jc w:val="center"/>
            </w:pPr>
            <w:r>
              <w:rPr>
                <w:sz w:val="18"/>
              </w:rPr>
              <w:t>13</w:t>
            </w:r>
          </w:p>
        </w:tc>
        <w:tc>
          <w:tcPr>
            <w:tcW w:type="dxa" w:w="2340"/>
          </w:tcPr>
          <w:p>
            <w:r>
              <w:rPr>
                <w:sz w:val="18"/>
              </w:rPr>
              <w:t>TY B.Sc. Data Science</w:t>
            </w:r>
          </w:p>
        </w:tc>
        <w:tc>
          <w:tcPr>
            <w:tcW w:type="dxa" w:w="2340"/>
          </w:tcPr>
          <w:p>
            <w:r>
              <w:rPr>
                <w:sz w:val="18"/>
              </w:rPr>
              <w:t>__________________</w:t>
            </w:r>
          </w:p>
        </w:tc>
      </w:tr>
      <w:tr>
        <w:tc>
          <w:tcPr>
            <w:tcW w:type="dxa" w:w="2340"/>
          </w:tcPr>
          <w:p>
            <w:r>
              <w:rPr>
                <w:sz w:val="18"/>
              </w:rPr>
              <w:t>Priyanka Yadav</w:t>
            </w:r>
          </w:p>
        </w:tc>
        <w:tc>
          <w:tcPr>
            <w:tcW w:type="dxa" w:w="2340"/>
          </w:tcPr>
          <w:p>
            <w:pPr>
              <w:jc w:val="center"/>
            </w:pPr>
            <w:r>
              <w:rPr>
                <w:sz w:val="18"/>
              </w:rPr>
              <w:t>26</w:t>
            </w:r>
          </w:p>
        </w:tc>
        <w:tc>
          <w:tcPr>
            <w:tcW w:type="dxa" w:w="2340"/>
          </w:tcPr>
          <w:p>
            <w:r>
              <w:rPr>
                <w:sz w:val="18"/>
              </w:rPr>
              <w:t>TY B.Sc. Data Science</w:t>
            </w:r>
          </w:p>
        </w:tc>
        <w:tc>
          <w:tcPr>
            <w:tcW w:type="dxa" w:w="2340"/>
          </w:tcPr>
          <w:p>
            <w:r>
              <w:rPr>
                <w:sz w:val="18"/>
              </w:rPr>
              <w:t>__________________</w:t>
            </w:r>
          </w:p>
        </w:tc>
      </w:tr>
      <w:tr>
        <w:tc>
          <w:tcPr>
            <w:tcW w:type="dxa" w:w="2340"/>
          </w:tcPr>
          <w:p>
            <w:r>
              <w:rPr>
                <w:sz w:val="18"/>
              </w:rPr>
              <w:t>Danish Momin</w:t>
            </w:r>
          </w:p>
        </w:tc>
        <w:tc>
          <w:tcPr>
            <w:tcW w:type="dxa" w:w="2340"/>
          </w:tcPr>
          <w:p>
            <w:pPr>
              <w:jc w:val="center"/>
            </w:pPr>
            <w:r>
              <w:rPr>
                <w:sz w:val="18"/>
              </w:rPr>
              <w:t>27</w:t>
            </w:r>
          </w:p>
        </w:tc>
        <w:tc>
          <w:tcPr>
            <w:tcW w:type="dxa" w:w="2340"/>
          </w:tcPr>
          <w:p>
            <w:r>
              <w:rPr>
                <w:sz w:val="18"/>
              </w:rPr>
              <w:t>TY B.Sc. Data Science</w:t>
            </w:r>
          </w:p>
        </w:tc>
        <w:tc>
          <w:tcPr>
            <w:tcW w:type="dxa" w:w="2340"/>
          </w:tcPr>
          <w:p>
            <w:r>
              <w:rPr>
                <w:sz w:val="18"/>
              </w:rPr>
              <w:t>__________________</w:t>
            </w:r>
          </w:p>
        </w:tc>
      </w:tr>
    </w:tbl>
    <w:p>
      <w:r>
        <w:br w:type="page"/>
      </w:r>
    </w:p>
    <w:p>
      <w:pPr>
        <w:keepNext/>
        <w:spacing w:before="320" w:after="120"/>
      </w:pPr>
      <w:r>
        <w:rPr>
          <w:b/>
          <w:color w:val="064E3B"/>
          <w:sz w:val="32"/>
        </w:rPr>
        <w:t>ACKNOWLEDGEMENT</w:t>
      </w:r>
    </w:p>
    <w:p>
      <w:pPr>
        <w:spacing w:before="0" w:after="100" w:line="276" w:lineRule="auto"/>
      </w:pPr>
      <w:r>
        <w:rPr>
          <w:i w:val="0"/>
          <w:color w:val="1E293B"/>
          <w:sz w:val="20"/>
        </w:rPr>
        <w:t>We wish to express our profound gratitude to our esteemed Project Guide and Mentor, Anshul Sir, whose expert advice, critical evaluations, and continuous encouragement guided us through every phase of AgroVision AI—from initial proposal conceptualization to deep learning model optimization and 24/7 web deployment.</w:t>
      </w:r>
    </w:p>
    <w:p>
      <w:pPr>
        <w:spacing w:before="0" w:after="100" w:line="276" w:lineRule="auto"/>
      </w:pPr>
      <w:r>
        <w:rPr>
          <w:i w:val="0"/>
          <w:color w:val="1E293B"/>
          <w:sz w:val="20"/>
        </w:rPr>
        <w:t>We extend our sincere thanks to the Head of Department and the Principal of Smt. Chandibai Himathmal Mansukhani College (Smt. CHM College) for providing excellent academic infrastructure, laboratory resources, and GPU compute capabilities required to train our multi-crop deep learning models.</w:t>
      </w:r>
    </w:p>
    <w:p>
      <w:pPr>
        <w:spacing w:before="0" w:after="100" w:line="276" w:lineRule="auto"/>
      </w:pPr>
      <w:r>
        <w:rPr>
          <w:i w:val="0"/>
          <w:color w:val="1E293B"/>
          <w:sz w:val="20"/>
        </w:rPr>
        <w:t>We also express our appreciation to the researchers behind the open-access PlantVillage initiative (Hughes &amp; Salathé) and Mendeley Data (GVLiD Grape Foliar Repository) for providing the foundational benchmark imagery that underpinned our research and forensic auditing.</w:t>
      </w:r>
    </w:p>
    <w:p>
      <w:pPr>
        <w:spacing w:before="0" w:after="100" w:line="276" w:lineRule="auto"/>
      </w:pPr>
      <w:r>
        <w:rPr>
          <w:i w:val="0"/>
          <w:color w:val="1E293B"/>
          <w:sz w:val="20"/>
        </w:rPr>
        <w:t>Finally, we are deeply grateful to our parents, fellow classmates, and agricultural experts who provided continuous moral support and practical feedback throughout this capstone journey.</w:t>
      </w:r>
    </w:p>
    <w:p>
      <w:r>
        <w:br w:type="page"/>
      </w:r>
    </w:p>
    <w:p>
      <w:pPr>
        <w:keepNext/>
        <w:spacing w:before="320" w:after="120"/>
      </w:pPr>
      <w:r>
        <w:rPr>
          <w:b/>
          <w:color w:val="064E3B"/>
          <w:sz w:val="32"/>
        </w:rPr>
        <w:t>ABSTRACT</w:t>
      </w:r>
    </w:p>
    <w:p>
      <w:pPr>
        <w:spacing w:before="0" w:after="100" w:line="276" w:lineRule="auto"/>
      </w:pPr>
      <w:r>
        <w:rPr>
          <w:i w:val="0"/>
          <w:color w:val="1E293B"/>
          <w:sz w:val="20"/>
        </w:rPr>
        <w:t>Foliar infectious plant diseases cause annual global yield losses between 20% and 40%, inflicting severe economic damage exceeding $220 billion annually on agrarian economies. While contemporary literature reports convolutional neural networks exceeding 98% accuracy on benchmark datasets, real-world deployment frequently collapses due to 'Domain-Shift Breakdown'—a catastrophic performance drop caused by background clutter, soil intrusion, variable solar illumination, and multi-host scarcity.</w:t>
      </w:r>
    </w:p>
    <w:p>
      <w:pPr>
        <w:spacing w:before="0" w:after="100" w:line="276" w:lineRule="auto"/>
      </w:pPr>
      <w:r>
        <w:rPr>
          <w:i w:val="0"/>
          <w:color w:val="1E293B"/>
          <w:sz w:val="20"/>
        </w:rPr>
        <w:t>To bridge this critical laboratory-to-field divide, this capstone project engineers AgroVision AI, a production-grade foliar disease diagnostic and agronomic intelligence platform covering five economically vital agricultural hosts: Potato (Solanaceae), Tomato (Solanaceae), Apple (Rosaceae), Corn (Poaceae), and Grape (Vitaceae), spanning 15 certified pathological conditions.</w:t>
      </w:r>
    </w:p>
    <w:p>
      <w:pPr>
        <w:spacing w:before="0" w:after="100" w:line="276" w:lineRule="auto"/>
      </w:pPr>
      <w:r>
        <w:rPr>
          <w:i w:val="0"/>
          <w:color w:val="1E293B"/>
          <w:sz w:val="20"/>
        </w:rPr>
        <w:t>The methodology combines multi-source dataset curation (controlled PlantVillage laboratory imagery coupled with authentic Indian vineyard data from Mendeley GVLiD), rigorous cryptographic SHA-256 deduplication ensuring zero train-test leakage across 9,000 certified images, and EXIF mobile orientation normalization. Architecturally, we design a Custom Dual-Pool CNN (MaxPooling2D + AveragePooling2D parallel feature fusion) for potato blight textures (11.1M parameters, 127.9 MB), alongside MobileNetV2 inverted residual transfer learning for tomato, apple, corn, and grape (2.8M-2.9M parameters, 11-25 MB).</w:t>
      </w:r>
    </w:p>
    <w:p>
      <w:pPr>
        <w:spacing w:before="0" w:after="100" w:line="276" w:lineRule="auto"/>
      </w:pPr>
      <w:r>
        <w:rPr>
          <w:i w:val="0"/>
          <w:color w:val="1E293B"/>
          <w:sz w:val="20"/>
        </w:rPr>
        <w:t>Empirical evaluation on held-out test partitions achieved 98.21% accuracy on Potato, 97.78% on Tomato, 97.75% on Apple, 97.41% on Corn, and 95.56% on Grape. Crucially, external real-world field validation across unconstrained farm imagery revealed remarkable zero-shot monocot leaf generalization in Corn (83.33% field accuracy) and authentic vineyard transfer in Grape (76.67% field accuracy), while pinpointing the exact optical limits of lab-only trained dicots. The entire diagnostic suite is deployed as a 24/7 reactive cloud web platform (https://agrovision--ai.streamlit.app) featuring sub-50ms inference, Shannon entropy uncertainty scoring, interactive Plotly probability distributions, and automated clinical PDF prescription reports.</w:t>
      </w:r>
    </w:p>
    <w:p>
      <w:pPr>
        <w:spacing w:before="0" w:after="100" w:line="276" w:lineRule="auto"/>
      </w:pPr>
      <w:r>
        <w:rPr>
          <w:b/>
          <w:color w:val="1E293B"/>
          <w:sz w:val="20"/>
        </w:rPr>
        <w:t xml:space="preserve">Index Terms — </w:t>
      </w:r>
      <w:r>
        <w:rPr>
          <w:i/>
          <w:color w:val="1E293B"/>
          <w:sz w:val="20"/>
        </w:rPr>
        <w:t>Keywords: Computer Vision, Deep Learning, Foliar Disease Detection, MobileNetV2, Dual-Pooling CNN, Domain Adaptation, Precision Agriculture, Streamlit Cloud.</w:t>
      </w:r>
    </w:p>
    <w:p>
      <w:r>
        <w:br w:type="page"/>
      </w:r>
    </w:p>
    <w:p>
      <w:pPr>
        <w:keepNext/>
        <w:spacing w:before="320" w:after="120"/>
      </w:pPr>
      <w:r>
        <w:rPr>
          <w:b/>
          <w:color w:val="064E3B"/>
          <w:sz w:val="32"/>
        </w:rPr>
        <w:t>TABLE OF CONTENTS</w:t>
      </w:r>
    </w:p>
    <w:tbl>
      <w:tblPr>
        <w:tblW w:type="auto" w:w="0"/>
        <w:jc w:val="center"/>
        <w:tblLook w:firstColumn="1" w:firstRow="1" w:lastColumn="0" w:lastRow="0" w:noHBand="0" w:noVBand="1" w:val="04A0"/>
      </w:tblPr>
      <w:tblGrid>
        <w:gridCol w:w="3120"/>
        <w:gridCol w:w="3120"/>
        <w:gridCol w:w="3120"/>
      </w:tblGrid>
      <w:tr>
        <w:tc>
          <w:tcPr>
            <w:tcW w:type="dxa" w:w="3120"/>
            <w:shd w:fill="064E3B"/>
          </w:tcPr>
          <w:p>
            <w:r>
              <w:rPr>
                <w:b/>
                <w:color w:val="FFFFFF"/>
                <w:sz w:val="19"/>
              </w:rPr>
              <w:t>Section / Chapter</w:t>
            </w:r>
          </w:p>
        </w:tc>
        <w:tc>
          <w:tcPr>
            <w:tcW w:type="dxa" w:w="3120"/>
            <w:shd w:fill="064E3B"/>
          </w:tcPr>
          <w:p>
            <w:r>
              <w:rPr>
                <w:b/>
                <w:color w:val="FFFFFF"/>
                <w:sz w:val="19"/>
              </w:rPr>
              <w:t>Title Description</w:t>
            </w:r>
          </w:p>
        </w:tc>
        <w:tc>
          <w:tcPr>
            <w:tcW w:type="dxa" w:w="3120"/>
            <w:shd w:fill="064E3B"/>
          </w:tcPr>
          <w:p>
            <w:r>
              <w:rPr>
                <w:b/>
                <w:color w:val="FFFFFF"/>
                <w:sz w:val="19"/>
              </w:rPr>
              <w:t>Page</w:t>
            </w:r>
          </w:p>
        </w:tc>
      </w:tr>
      <w:tr>
        <w:tc>
          <w:tcPr>
            <w:tcW w:type="dxa" w:w="1872"/>
            <w:shd w:fill="FFFFFF"/>
          </w:tcPr>
          <w:p>
            <w:r>
              <w:rPr>
                <w:b/>
                <w:sz w:val="18"/>
              </w:rPr>
              <w:t>Chapter 1</w:t>
            </w:r>
          </w:p>
        </w:tc>
        <w:tc>
          <w:tcPr>
            <w:tcW w:type="dxa" w:w="6480"/>
            <w:shd w:fill="FFFFFF"/>
          </w:tcPr>
          <w:p>
            <w:r>
              <w:rPr>
                <w:sz w:val="18"/>
              </w:rPr>
              <w:t>Introduction &amp; Problem Formulation (Background, Objectives, Scope, Motivation)</w:t>
            </w:r>
          </w:p>
        </w:tc>
        <w:tc>
          <w:tcPr>
            <w:tcW w:type="dxa" w:w="1008"/>
            <w:shd w:fill="FFFFFF"/>
          </w:tcPr>
          <w:p>
            <w:r>
              <w:rPr>
                <w:sz w:val="18"/>
              </w:rPr>
              <w:t>1</w:t>
            </w:r>
          </w:p>
        </w:tc>
      </w:tr>
      <w:tr>
        <w:tc>
          <w:tcPr>
            <w:tcW w:type="dxa" w:w="1872"/>
            <w:shd w:fill="F8FAFC"/>
          </w:tcPr>
          <w:p>
            <w:r>
              <w:rPr>
                <w:b/>
                <w:sz w:val="18"/>
              </w:rPr>
              <w:t>Chapter 2</w:t>
            </w:r>
          </w:p>
        </w:tc>
        <w:tc>
          <w:tcPr>
            <w:tcW w:type="dxa" w:w="6480"/>
            <w:shd w:fill="F8FAFC"/>
          </w:tcPr>
          <w:p>
            <w:r>
              <w:rPr>
                <w:sz w:val="18"/>
              </w:rPr>
              <w:t>Research Literature Survey &amp; Existing Systems (Review, Limitations, Proposed Superiority)</w:t>
            </w:r>
          </w:p>
        </w:tc>
        <w:tc>
          <w:tcPr>
            <w:tcW w:type="dxa" w:w="1008"/>
            <w:shd w:fill="F8FAFC"/>
          </w:tcPr>
          <w:p>
            <w:r>
              <w:rPr>
                <w:sz w:val="18"/>
              </w:rPr>
              <w:t>4</w:t>
            </w:r>
          </w:p>
        </w:tc>
      </w:tr>
      <w:tr>
        <w:tc>
          <w:tcPr>
            <w:tcW w:type="dxa" w:w="1872"/>
            <w:shd w:fill="FFFFFF"/>
          </w:tcPr>
          <w:p>
            <w:r>
              <w:rPr>
                <w:b/>
                <w:sz w:val="18"/>
              </w:rPr>
              <w:t>Chapter 3</w:t>
            </w:r>
          </w:p>
        </w:tc>
        <w:tc>
          <w:tcPr>
            <w:tcW w:type="dxa" w:w="6480"/>
            <w:shd w:fill="FFFFFF"/>
          </w:tcPr>
          <w:p>
            <w:r>
              <w:rPr>
                <w:sz w:val="18"/>
              </w:rPr>
              <w:t>Proposed System Architecture &amp; End-to-End Operational Workflow</w:t>
            </w:r>
          </w:p>
        </w:tc>
        <w:tc>
          <w:tcPr>
            <w:tcW w:type="dxa" w:w="1008"/>
            <w:shd w:fill="FFFFFF"/>
          </w:tcPr>
          <w:p>
            <w:r>
              <w:rPr>
                <w:sz w:val="18"/>
              </w:rPr>
              <w:t>7</w:t>
            </w:r>
          </w:p>
        </w:tc>
      </w:tr>
      <w:tr>
        <w:tc>
          <w:tcPr>
            <w:tcW w:type="dxa" w:w="1872"/>
            <w:shd w:fill="F8FAFC"/>
          </w:tcPr>
          <w:p>
            <w:r>
              <w:rPr>
                <w:b/>
                <w:sz w:val="18"/>
              </w:rPr>
              <w:t>Chapter 4</w:t>
            </w:r>
          </w:p>
        </w:tc>
        <w:tc>
          <w:tcPr>
            <w:tcW w:type="dxa" w:w="6480"/>
            <w:shd w:fill="F8FAFC"/>
          </w:tcPr>
          <w:p>
            <w:r>
              <w:rPr>
                <w:sz w:val="18"/>
              </w:rPr>
              <w:t>Dataset Engineering, Multi-Source Ingestion &amp; Forensic Preprocessing</w:t>
            </w:r>
          </w:p>
        </w:tc>
        <w:tc>
          <w:tcPr>
            <w:tcW w:type="dxa" w:w="1008"/>
            <w:shd w:fill="F8FAFC"/>
          </w:tcPr>
          <w:p>
            <w:r>
              <w:rPr>
                <w:sz w:val="18"/>
              </w:rPr>
              <w:t>10</w:t>
            </w:r>
          </w:p>
        </w:tc>
      </w:tr>
      <w:tr>
        <w:tc>
          <w:tcPr>
            <w:tcW w:type="dxa" w:w="1872"/>
            <w:shd w:fill="FFFFFF"/>
          </w:tcPr>
          <w:p>
            <w:r>
              <w:rPr>
                <w:b/>
                <w:sz w:val="18"/>
              </w:rPr>
              <w:t>Chapter 5</w:t>
            </w:r>
          </w:p>
        </w:tc>
        <w:tc>
          <w:tcPr>
            <w:tcW w:type="dxa" w:w="6480"/>
            <w:shd w:fill="FFFFFF"/>
          </w:tcPr>
          <w:p>
            <w:r>
              <w:rPr>
                <w:sz w:val="18"/>
              </w:rPr>
              <w:t>Deep Learning Model Development (Dual-Pool CNN, MobileNetV2, Hyperparameters)</w:t>
            </w:r>
          </w:p>
        </w:tc>
        <w:tc>
          <w:tcPr>
            <w:tcW w:type="dxa" w:w="1008"/>
            <w:shd w:fill="FFFFFF"/>
          </w:tcPr>
          <w:p>
            <w:r>
              <w:rPr>
                <w:sz w:val="18"/>
              </w:rPr>
              <w:t>14</w:t>
            </w:r>
          </w:p>
        </w:tc>
      </w:tr>
      <w:tr>
        <w:tc>
          <w:tcPr>
            <w:tcW w:type="dxa" w:w="1872"/>
            <w:shd w:fill="F8FAFC"/>
          </w:tcPr>
          <w:p>
            <w:r>
              <w:rPr>
                <w:b/>
                <w:sz w:val="18"/>
              </w:rPr>
              <w:t>Chapter 6</w:t>
            </w:r>
          </w:p>
        </w:tc>
        <w:tc>
          <w:tcPr>
            <w:tcW w:type="dxa" w:w="6480"/>
            <w:shd w:fill="F8FAFC"/>
          </w:tcPr>
          <w:p>
            <w:r>
              <w:rPr>
                <w:sz w:val="18"/>
              </w:rPr>
              <w:t>Empirical Results &amp; Laboratory Benchmark Evaluation (97.78% Tomato, 98.21% Potato)</w:t>
            </w:r>
          </w:p>
        </w:tc>
        <w:tc>
          <w:tcPr>
            <w:tcW w:type="dxa" w:w="1008"/>
            <w:shd w:fill="F8FAFC"/>
          </w:tcPr>
          <w:p>
            <w:r>
              <w:rPr>
                <w:sz w:val="18"/>
              </w:rPr>
              <w:t>18</w:t>
            </w:r>
          </w:p>
        </w:tc>
      </w:tr>
      <w:tr>
        <w:tc>
          <w:tcPr>
            <w:tcW w:type="dxa" w:w="1872"/>
            <w:shd w:fill="FFFFFF"/>
          </w:tcPr>
          <w:p>
            <w:r>
              <w:rPr>
                <w:b/>
                <w:sz w:val="18"/>
              </w:rPr>
              <w:t>Chapter 7</w:t>
            </w:r>
          </w:p>
        </w:tc>
        <w:tc>
          <w:tcPr>
            <w:tcW w:type="dxa" w:w="6480"/>
            <w:shd w:fill="FFFFFF"/>
          </w:tcPr>
          <w:p>
            <w:r>
              <w:rPr>
                <w:sz w:val="18"/>
              </w:rPr>
              <w:t>Real-World External Field Testing &amp; Forensic Error Auditing</w:t>
            </w:r>
          </w:p>
        </w:tc>
        <w:tc>
          <w:tcPr>
            <w:tcW w:type="dxa" w:w="1008"/>
            <w:shd w:fill="FFFFFF"/>
          </w:tcPr>
          <w:p>
            <w:r>
              <w:rPr>
                <w:sz w:val="18"/>
              </w:rPr>
              <w:t>23</w:t>
            </w:r>
          </w:p>
        </w:tc>
      </w:tr>
      <w:tr>
        <w:tc>
          <w:tcPr>
            <w:tcW w:type="dxa" w:w="1872"/>
            <w:shd w:fill="F8FAFC"/>
          </w:tcPr>
          <w:p>
            <w:r>
              <w:rPr>
                <w:b/>
                <w:sz w:val="18"/>
              </w:rPr>
              <w:t>Chapter 8</w:t>
            </w:r>
          </w:p>
        </w:tc>
        <w:tc>
          <w:tcPr>
            <w:tcW w:type="dxa" w:w="6480"/>
            <w:shd w:fill="F8FAFC"/>
          </w:tcPr>
          <w:p>
            <w:r>
              <w:rPr>
                <w:sz w:val="18"/>
              </w:rPr>
              <w:t>Final Comparative Synthesis &amp; Domain-Shift Scientific Discussion</w:t>
            </w:r>
          </w:p>
        </w:tc>
        <w:tc>
          <w:tcPr>
            <w:tcW w:type="dxa" w:w="1008"/>
            <w:shd w:fill="F8FAFC"/>
          </w:tcPr>
          <w:p>
            <w:r>
              <w:rPr>
                <w:sz w:val="18"/>
              </w:rPr>
              <w:t>27</w:t>
            </w:r>
          </w:p>
        </w:tc>
      </w:tr>
      <w:tr>
        <w:tc>
          <w:tcPr>
            <w:tcW w:type="dxa" w:w="1872"/>
            <w:shd w:fill="FFFFFF"/>
          </w:tcPr>
          <w:p>
            <w:r>
              <w:rPr>
                <w:b/>
                <w:sz w:val="18"/>
              </w:rPr>
              <w:t>Chapter 9</w:t>
            </w:r>
          </w:p>
        </w:tc>
        <w:tc>
          <w:tcPr>
            <w:tcW w:type="dxa" w:w="6480"/>
            <w:shd w:fill="FFFFFF"/>
          </w:tcPr>
          <w:p>
            <w:r>
              <w:rPr>
                <w:sz w:val="18"/>
              </w:rPr>
              <w:t>Production Web Application Architecture, MLOps &amp; 24/7 Cloud Deployment</w:t>
            </w:r>
          </w:p>
        </w:tc>
        <w:tc>
          <w:tcPr>
            <w:tcW w:type="dxa" w:w="1008"/>
            <w:shd w:fill="FFFFFF"/>
          </w:tcPr>
          <w:p>
            <w:r>
              <w:rPr>
                <w:sz w:val="18"/>
              </w:rPr>
              <w:t>30</w:t>
            </w:r>
          </w:p>
        </w:tc>
      </w:tr>
      <w:tr>
        <w:tc>
          <w:tcPr>
            <w:tcW w:type="dxa" w:w="1872"/>
            <w:shd w:fill="F8FAFC"/>
          </w:tcPr>
          <w:p>
            <w:r>
              <w:rPr>
                <w:b/>
                <w:sz w:val="18"/>
              </w:rPr>
              <w:t>Chapter 10</w:t>
            </w:r>
          </w:p>
        </w:tc>
        <w:tc>
          <w:tcPr>
            <w:tcW w:type="dxa" w:w="6480"/>
            <w:shd w:fill="F8FAFC"/>
          </w:tcPr>
          <w:p>
            <w:r>
              <w:rPr>
                <w:sz w:val="18"/>
              </w:rPr>
              <w:t>Conclusion, Research Limitations &amp; Future Strategic Roadmap</w:t>
            </w:r>
          </w:p>
        </w:tc>
        <w:tc>
          <w:tcPr>
            <w:tcW w:type="dxa" w:w="1008"/>
            <w:shd w:fill="F8FAFC"/>
          </w:tcPr>
          <w:p>
            <w:r>
              <w:rPr>
                <w:sz w:val="18"/>
              </w:rPr>
              <w:t>34</w:t>
            </w:r>
          </w:p>
        </w:tc>
      </w:tr>
      <w:tr>
        <w:tc>
          <w:tcPr>
            <w:tcW w:type="dxa" w:w="1872"/>
            <w:shd w:fill="FFFFFF"/>
          </w:tcPr>
          <w:p>
            <w:r>
              <w:rPr>
                <w:b/>
                <w:sz w:val="18"/>
              </w:rPr>
              <w:t>Chapter 11</w:t>
            </w:r>
          </w:p>
        </w:tc>
        <w:tc>
          <w:tcPr>
            <w:tcW w:type="dxa" w:w="6480"/>
            <w:shd w:fill="FFFFFF"/>
          </w:tcPr>
          <w:p>
            <w:r>
              <w:rPr>
                <w:sz w:val="18"/>
              </w:rPr>
              <w:t>References, IEEE Citations &amp; Technical Appendices</w:t>
            </w:r>
          </w:p>
        </w:tc>
        <w:tc>
          <w:tcPr>
            <w:tcW w:type="dxa" w:w="1008"/>
            <w:shd w:fill="FFFFFF"/>
          </w:tcPr>
          <w:p>
            <w:r>
              <w:rPr>
                <w:sz w:val="18"/>
              </w:rPr>
              <w:t>37</w:t>
            </w:r>
          </w:p>
        </w:tc>
      </w:tr>
    </w:tbl>
    <w:p>
      <w:r>
        <w:br w:type="page"/>
      </w:r>
    </w:p>
    <w:p>
      <w:pPr>
        <w:keepNext/>
        <w:spacing w:before="320" w:after="120"/>
      </w:pPr>
      <w:r>
        <w:rPr>
          <w:b/>
          <w:color w:val="064E3B"/>
          <w:sz w:val="32"/>
        </w:rPr>
        <w:t>LIST OF FIGURES &amp; TABLES</w:t>
      </w:r>
    </w:p>
    <w:p>
      <w:pPr>
        <w:keepNext/>
        <w:spacing w:before="320" w:after="120"/>
      </w:pPr>
      <w:r>
        <w:rPr>
          <w:b/>
          <w:color w:val="0F172A"/>
          <w:sz w:val="26"/>
        </w:rPr>
        <w:t>List of Figures</w:t>
      </w:r>
    </w:p>
    <w:p>
      <w:pPr>
        <w:pStyle w:val="ListBullet"/>
        <w:spacing w:before="20" w:after="60" w:line="276" w:lineRule="auto"/>
      </w:pPr>
      <w:r>
        <w:rPr>
          <w:b/>
          <w:color w:val="1E293B"/>
          <w:sz w:val="20"/>
        </w:rPr>
        <w:t>Figure 3.1:</w:t>
      </w:r>
      <w:r>
        <w:rPr>
          <w:color w:val="1E293B"/>
          <w:sz w:val="20"/>
        </w:rPr>
        <w:t xml:space="preserve"> End-to-End AgroVision AI Operational Architecture and MLOps Pipeline Flowchart.</w:t>
      </w:r>
    </w:p>
    <w:p>
      <w:pPr>
        <w:pStyle w:val="ListBullet"/>
        <w:spacing w:before="20" w:after="60" w:line="276" w:lineRule="auto"/>
      </w:pPr>
      <w:r>
        <w:rPr>
          <w:b/>
          <w:color w:val="1E293B"/>
          <w:sz w:val="20"/>
        </w:rPr>
        <w:t>Figure 4.1:</w:t>
      </w:r>
      <w:r>
        <w:rPr>
          <w:color w:val="1E293B"/>
          <w:sz w:val="20"/>
        </w:rPr>
        <w:t xml:space="preserve"> Raw Image Acquisition vs. Adaptive Preprocessing Pipeline (EXIF -&gt; LANCZOS -&gt; NPZ).</w:t>
      </w:r>
    </w:p>
    <w:p>
      <w:pPr>
        <w:pStyle w:val="ListBullet"/>
        <w:spacing w:before="20" w:after="60" w:line="276" w:lineRule="auto"/>
      </w:pPr>
      <w:r>
        <w:rPr>
          <w:b/>
          <w:color w:val="1E293B"/>
          <w:sz w:val="20"/>
        </w:rPr>
        <w:t>Figure 5.1:</w:t>
      </w:r>
      <w:r>
        <w:rPr>
          <w:color w:val="1E293B"/>
          <w:sz w:val="20"/>
        </w:rPr>
        <w:t xml:space="preserve"> Custom Dual-Pool CNN Architectural Block Diagram (Parallel Max + Average Pooling).</w:t>
      </w:r>
    </w:p>
    <w:p>
      <w:pPr>
        <w:pStyle w:val="ListBullet"/>
        <w:spacing w:before="20" w:after="60" w:line="276" w:lineRule="auto"/>
      </w:pPr>
      <w:r>
        <w:rPr>
          <w:b/>
          <w:color w:val="1E293B"/>
          <w:sz w:val="20"/>
        </w:rPr>
        <w:t>Figure 5.2:</w:t>
      </w:r>
      <w:r>
        <w:rPr>
          <w:color w:val="1E293B"/>
          <w:sz w:val="20"/>
        </w:rPr>
        <w:t xml:space="preserve"> MobileNetV2 Inverted Residual Bottleneck Block and Depthwise Separable Factorization.</w:t>
      </w:r>
    </w:p>
    <w:p>
      <w:pPr>
        <w:pStyle w:val="ListBullet"/>
        <w:spacing w:before="20" w:after="60" w:line="276" w:lineRule="auto"/>
      </w:pPr>
      <w:r>
        <w:rPr>
          <w:b/>
          <w:color w:val="1E293B"/>
          <w:sz w:val="20"/>
        </w:rPr>
        <w:t>Figure 6.1:</w:t>
      </w:r>
      <w:r>
        <w:rPr>
          <w:color w:val="1E293B"/>
          <w:sz w:val="20"/>
        </w:rPr>
        <w:t xml:space="preserve"> Potato CNN Held-Out Test Confusion Matrix (98.21% Accuracy, 446 Images).</w:t>
      </w:r>
    </w:p>
    <w:p>
      <w:pPr>
        <w:pStyle w:val="ListBullet"/>
        <w:spacing w:before="20" w:after="60" w:line="276" w:lineRule="auto"/>
      </w:pPr>
      <w:r>
        <w:rPr>
          <w:b/>
          <w:color w:val="1E293B"/>
          <w:sz w:val="20"/>
        </w:rPr>
        <w:t>Figure 6.2:</w:t>
      </w:r>
      <w:r>
        <w:rPr>
          <w:color w:val="1E293B"/>
          <w:sz w:val="20"/>
        </w:rPr>
        <w:t xml:space="preserve"> Tomato MobileNetV2 Held-Out Test Confusion Matrix (97.78% Accuracy, 270 Images).</w:t>
      </w:r>
    </w:p>
    <w:p>
      <w:pPr>
        <w:pStyle w:val="ListBullet"/>
        <w:spacing w:before="20" w:after="60" w:line="276" w:lineRule="auto"/>
      </w:pPr>
      <w:r>
        <w:rPr>
          <w:b/>
          <w:color w:val="1E293B"/>
          <w:sz w:val="20"/>
        </w:rPr>
        <w:t>Figure 6.3:</w:t>
      </w:r>
      <w:r>
        <w:rPr>
          <w:color w:val="1E293B"/>
          <w:sz w:val="20"/>
        </w:rPr>
        <w:t xml:space="preserve"> Apple MobileNetV2 Held-Out Test Confusion Matrix (97.75% Accuracy, 267 Images).</w:t>
      </w:r>
    </w:p>
    <w:p>
      <w:pPr>
        <w:pStyle w:val="ListBullet"/>
        <w:spacing w:before="20" w:after="60" w:line="276" w:lineRule="auto"/>
      </w:pPr>
      <w:r>
        <w:rPr>
          <w:b/>
          <w:color w:val="1E293B"/>
          <w:sz w:val="20"/>
        </w:rPr>
        <w:t>Figure 6.4:</w:t>
      </w:r>
      <w:r>
        <w:rPr>
          <w:color w:val="1E293B"/>
          <w:sz w:val="20"/>
        </w:rPr>
        <w:t xml:space="preserve"> Corn MobileNetV2 Held-Out Test Confusion Matrix (97.41% Accuracy, 270 Images).</w:t>
      </w:r>
    </w:p>
    <w:p>
      <w:pPr>
        <w:pStyle w:val="ListBullet"/>
        <w:spacing w:before="20" w:after="60" w:line="276" w:lineRule="auto"/>
      </w:pPr>
      <w:r>
        <w:rPr>
          <w:b/>
          <w:color w:val="1E293B"/>
          <w:sz w:val="20"/>
        </w:rPr>
        <w:t>Figure 6.5:</w:t>
      </w:r>
      <w:r>
        <w:rPr>
          <w:color w:val="1E293B"/>
          <w:sz w:val="20"/>
        </w:rPr>
        <w:t xml:space="preserve"> Grape MobileNetV2 Held-Out Test Confusion Matrix (95.56% Accuracy, 270 Images).</w:t>
      </w:r>
    </w:p>
    <w:p>
      <w:pPr>
        <w:pStyle w:val="ListBullet"/>
        <w:spacing w:before="20" w:after="60" w:line="276" w:lineRule="auto"/>
      </w:pPr>
      <w:r>
        <w:rPr>
          <w:b/>
          <w:color w:val="1E293B"/>
          <w:sz w:val="20"/>
        </w:rPr>
        <w:t>Figure 7.1:</w:t>
      </w:r>
      <w:r>
        <w:rPr>
          <w:color w:val="1E293B"/>
          <w:sz w:val="20"/>
        </w:rPr>
        <w:t xml:space="preserve"> Field Failure Modes: Background Soil Intrusion and Solar Glare False Positives.</w:t>
      </w:r>
    </w:p>
    <w:p>
      <w:pPr>
        <w:pStyle w:val="ListBullet"/>
        <w:spacing w:before="20" w:after="60" w:line="276" w:lineRule="auto"/>
      </w:pPr>
      <w:r>
        <w:rPr>
          <w:b/>
          <w:color w:val="1E293B"/>
          <w:sz w:val="20"/>
        </w:rPr>
        <w:t>Figure 9.1:</w:t>
      </w:r>
      <w:r>
        <w:rPr>
          <w:color w:val="1E293B"/>
          <w:sz w:val="20"/>
        </w:rPr>
        <w:t xml:space="preserve"> Streamlit 24/7 Production Web Interface with Plotly Probability Spectrum and Uncertainty Flag.</w:t>
      </w:r>
    </w:p>
    <w:p>
      <w:pPr>
        <w:keepNext/>
        <w:spacing w:before="320" w:after="120"/>
      </w:pPr>
      <w:r>
        <w:rPr>
          <w:b/>
          <w:color w:val="0F172A"/>
          <w:sz w:val="26"/>
        </w:rPr>
        <w:t>List of Tables</w:t>
      </w:r>
    </w:p>
    <w:p>
      <w:pPr>
        <w:pStyle w:val="ListBullet"/>
        <w:spacing w:before="20" w:after="60" w:line="276" w:lineRule="auto"/>
      </w:pPr>
      <w:r>
        <w:rPr>
          <w:b/>
          <w:color w:val="1E293B"/>
          <w:sz w:val="20"/>
        </w:rPr>
        <w:t>Table 1.1:</w:t>
      </w:r>
      <w:r>
        <w:rPr>
          <w:color w:val="1E293B"/>
          <w:sz w:val="20"/>
        </w:rPr>
        <w:t xml:space="preserve"> Agricultural Target Spectrum, Host Families, and Economic Vulnerability Index.</w:t>
      </w:r>
    </w:p>
    <w:p>
      <w:pPr>
        <w:pStyle w:val="ListBullet"/>
        <w:spacing w:before="20" w:after="60" w:line="276" w:lineRule="auto"/>
      </w:pPr>
      <w:r>
        <w:rPr>
          <w:b/>
          <w:color w:val="1E293B"/>
          <w:sz w:val="20"/>
        </w:rPr>
        <w:t>Table 2.1:</w:t>
      </w:r>
      <w:r>
        <w:rPr>
          <w:color w:val="1E293B"/>
          <w:sz w:val="20"/>
        </w:rPr>
        <w:t xml:space="preserve"> Comparative Literature Review of State-of-the-Art Plant Pathology Systems.</w:t>
      </w:r>
    </w:p>
    <w:p>
      <w:pPr>
        <w:pStyle w:val="ListBullet"/>
        <w:spacing w:before="20" w:after="60" w:line="276" w:lineRule="auto"/>
      </w:pPr>
      <w:r>
        <w:rPr>
          <w:b/>
          <w:color w:val="1E293B"/>
          <w:sz w:val="20"/>
        </w:rPr>
        <w:t>Table 4.1:</w:t>
      </w:r>
      <w:r>
        <w:rPr>
          <w:color w:val="1E293B"/>
          <w:sz w:val="20"/>
        </w:rPr>
        <w:t xml:space="preserve"> Dataset Composition, Image Distribution, and Forensic Verification Registry.</w:t>
      </w:r>
    </w:p>
    <w:p>
      <w:pPr>
        <w:pStyle w:val="ListBullet"/>
        <w:spacing w:before="20" w:after="60" w:line="276" w:lineRule="auto"/>
      </w:pPr>
      <w:r>
        <w:rPr>
          <w:b/>
          <w:color w:val="1E293B"/>
          <w:sz w:val="20"/>
        </w:rPr>
        <w:t>Table 5.1:</w:t>
      </w:r>
      <w:r>
        <w:rPr>
          <w:color w:val="1E293B"/>
          <w:sz w:val="20"/>
        </w:rPr>
        <w:t xml:space="preserve"> Deep Learning Hyperparameters, Optimization Regimes, and Regularization Schedules.</w:t>
      </w:r>
    </w:p>
    <w:p>
      <w:pPr>
        <w:pStyle w:val="ListBullet"/>
        <w:spacing w:before="20" w:after="60" w:line="276" w:lineRule="auto"/>
      </w:pPr>
      <w:r>
        <w:rPr>
          <w:b/>
          <w:color w:val="1E293B"/>
          <w:sz w:val="20"/>
        </w:rPr>
        <w:t>Table 6.1:</w:t>
      </w:r>
      <w:r>
        <w:rPr>
          <w:color w:val="1E293B"/>
          <w:sz w:val="20"/>
        </w:rPr>
        <w:t xml:space="preserve"> Quantitative Laboratory Evaluation Benchmark Across All 5 Crop Pipelines.</w:t>
      </w:r>
    </w:p>
    <w:p>
      <w:pPr>
        <w:pStyle w:val="ListBullet"/>
        <w:spacing w:before="20" w:after="60" w:line="276" w:lineRule="auto"/>
      </w:pPr>
      <w:r>
        <w:rPr>
          <w:b/>
          <w:color w:val="1E293B"/>
          <w:sz w:val="20"/>
        </w:rPr>
        <w:t>Table 7.1:</w:t>
      </w:r>
      <w:r>
        <w:rPr>
          <w:color w:val="1E293B"/>
          <w:sz w:val="20"/>
        </w:rPr>
        <w:t xml:space="preserve"> Controlled Internal vs. Wild Real-World Field Performance Matrix.</w:t>
      </w:r>
    </w:p>
    <w:p>
      <w:pPr>
        <w:pStyle w:val="ListBullet"/>
        <w:spacing w:before="20" w:after="60" w:line="276" w:lineRule="auto"/>
      </w:pPr>
      <w:r>
        <w:rPr>
          <w:b/>
          <w:color w:val="1E293B"/>
          <w:sz w:val="20"/>
        </w:rPr>
        <w:t>Table 8.1:</w:t>
      </w:r>
      <w:r>
        <w:rPr>
          <w:color w:val="1E293B"/>
          <w:sz w:val="20"/>
        </w:rPr>
        <w:t xml:space="preserve"> Summary Comparison Table: Final Evaluation vs Internal vs External Wild Field Data.</w:t>
      </w:r>
    </w:p>
    <w:p>
      <w:pPr>
        <w:pStyle w:val="ListBullet"/>
        <w:spacing w:before="20" w:after="60" w:line="276" w:lineRule="auto"/>
      </w:pPr>
      <w:r>
        <w:rPr>
          <w:b/>
          <w:color w:val="1E293B"/>
          <w:sz w:val="20"/>
        </w:rPr>
        <w:t>Table 9.1:</w:t>
      </w:r>
      <w:r>
        <w:rPr>
          <w:color w:val="1E293B"/>
          <w:sz w:val="20"/>
        </w:rPr>
        <w:t xml:space="preserve"> Agronomic Treatment Encyclopedia Sample: Approved IPM Chemicals and Dosages.</w:t>
      </w:r>
    </w:p>
    <w:p>
      <w:r>
        <w:br w:type="page"/>
      </w:r>
    </w:p>
    <w:p>
      <w:pPr>
        <w:keepNext/>
        <w:spacing w:before="320" w:after="120"/>
      </w:pPr>
      <w:r>
        <w:rPr>
          <w:b/>
          <w:color w:val="064E3B"/>
          <w:sz w:val="32"/>
        </w:rPr>
        <w:t>CHAPTER 1: INTRODUCTION &amp; PROBLEM FORMULATION</w:t>
      </w:r>
    </w:p>
    <w:p>
      <w:pPr>
        <w:spacing w:before="0" w:after="100" w:line="276" w:lineRule="auto"/>
      </w:pPr>
      <w:r>
        <w:rPr>
          <w:i w:val="0"/>
          <w:color w:val="1E293B"/>
          <w:sz w:val="20"/>
        </w:rPr>
        <w:t>Agriculture constitutes the bedrock of developing economies, supporting more than 50% of the rural livelihood in nations like India and serving as the primary source of food security worldwide. However, agricultural productivity is under perpetual siege by foliar infectious plant diseases caused by virulent pathogenic fungi, oomycetes, bacteria, and viruses. According to the United Nations Food and Agriculture Organization (FAO), phytopathogenic infections decimate between 20% and 40% of global agricultural crop output annually, generating catastrophic direct economic damages surpassing $220 billion.</w:t>
      </w:r>
    </w:p>
    <w:p>
      <w:pPr>
        <w:keepNext/>
        <w:spacing w:before="320" w:after="120"/>
      </w:pPr>
      <w:r>
        <w:rPr>
          <w:b/>
          <w:color w:val="0F172A"/>
          <w:sz w:val="26"/>
        </w:rPr>
        <w:t>1.1 Background of Plant Disease Detection</w:t>
      </w:r>
    </w:p>
    <w:p>
      <w:pPr>
        <w:spacing w:before="0" w:after="100" w:line="276" w:lineRule="auto"/>
      </w:pPr>
      <w:r>
        <w:rPr>
          <w:i w:val="0"/>
          <w:color w:val="1E293B"/>
          <w:sz w:val="20"/>
        </w:rPr>
        <w:t>For centuries, the diagnosis of crop disease has rested entirely upon manual visual scouting conducted by agricultural extension personnel or farmers walking row-by-row through agricultural acreage. While expert human judgment is invaluable, the biological dynamics of infectious epidemics render manual scouting structurally inadequate in modern agriculture:</w:t>
      </w:r>
    </w:p>
    <w:p>
      <w:pPr>
        <w:pStyle w:val="ListBullet"/>
        <w:spacing w:before="20" w:after="60" w:line="276" w:lineRule="auto"/>
      </w:pPr>
      <w:r>
        <w:rPr>
          <w:b/>
          <w:color w:val="1E293B"/>
          <w:sz w:val="20"/>
        </w:rPr>
        <w:t>Subtle Early Symptomatology:</w:t>
      </w:r>
      <w:r>
        <w:rPr>
          <w:color w:val="1E293B"/>
          <w:sz w:val="20"/>
        </w:rPr>
        <w:t xml:space="preserve"> In early incubation periods, high-consequence fungal infections (such as Early Blight or Apple Scab) manifest as microscopic 1-2 mm chlorotic specks. These minute lesions are practically invisible during casual inspections or easily confused with physiological drought stress or nutrient deficiencies.</w:t>
      </w:r>
    </w:p>
    <w:p>
      <w:pPr>
        <w:pStyle w:val="ListBullet"/>
        <w:spacing w:before="20" w:after="60" w:line="276" w:lineRule="auto"/>
      </w:pPr>
      <w:r>
        <w:rPr>
          <w:b/>
          <w:color w:val="1E293B"/>
          <w:sz w:val="20"/>
        </w:rPr>
        <w:t>Exponential Propagation Velocity:</w:t>
      </w:r>
      <w:r>
        <w:rPr>
          <w:color w:val="1E293B"/>
          <w:sz w:val="20"/>
        </w:rPr>
        <w:t xml:space="preserve"> Pathogens like Phytophthora infestans (Late Blight) reproduce through airborne sporangia capable of cycling through an entire reproductive cycle in under 72 hours under warm, humid conditions. A field exhibiting 1% localized infection can suffer 100% canopy defoliation within seven to ten days if intervention is delayed.</w:t>
      </w:r>
    </w:p>
    <w:p>
      <w:pPr>
        <w:pStyle w:val="ListBullet"/>
        <w:spacing w:before="20" w:after="60" w:line="276" w:lineRule="auto"/>
      </w:pPr>
      <w:r>
        <w:rPr>
          <w:b/>
          <w:color w:val="1E293B"/>
          <w:sz w:val="20"/>
        </w:rPr>
        <w:t>Severe Agronomist Deficit:</w:t>
      </w:r>
      <w:r>
        <w:rPr>
          <w:color w:val="1E293B"/>
          <w:sz w:val="20"/>
        </w:rPr>
        <w:t xml:space="preserve"> In developing countries, the ratio of certified plant pathologists to smallholder farming families exceeds 1:10,000. By the time an extension officer visits a rural farm, the disease has almost invariably breached the late necrotic phase, rendering chemical or biological intervention completely ineffective.</w:t>
      </w:r>
    </w:p>
    <w:p>
      <w:pPr>
        <w:keepNext/>
        <w:spacing w:before="320" w:after="120"/>
      </w:pPr>
      <w:r>
        <w:rPr>
          <w:b/>
          <w:color w:val="0F172A"/>
          <w:sz w:val="26"/>
        </w:rPr>
        <w:t>1.2 Problem Statement</w:t>
      </w:r>
    </w:p>
    <w:p>
      <w:pPr>
        <w:spacing w:before="0" w:after="100" w:line="276" w:lineRule="auto"/>
      </w:pPr>
      <w:r>
        <w:rPr>
          <w:i w:val="0"/>
          <w:color w:val="1E293B"/>
          <w:sz w:val="20"/>
        </w:rPr>
        <w:t>Conventional disease management approaches force smallholder farmers into a destructive reactive cycle. Lacking reliable early diagnostic tools, farmers routinely resort to blanket calendar-based spraying of aggressive, broad-spectrum synthetic chemical fungicides. This excessive chemical bombardment triggers environmental groundwater contamination, destroys beneficial soil microbiomes, drives accelerated fungicide resistance in fungal strains, and burdens farmers with overwhelming input debts.</w:t>
      </w:r>
    </w:p>
    <w:p>
      <w:pPr>
        <w:spacing w:before="0" w:after="100" w:line="276" w:lineRule="auto"/>
      </w:pPr>
      <w:r>
        <w:rPr>
          <w:i w:val="0"/>
          <w:color w:val="1E293B"/>
          <w:sz w:val="20"/>
        </w:rPr>
        <w:t>Simultaneously, computer vision systems developed in academic research suffer from an acute 'Laboratory-to-Field Gap' (Domain-Shift Breakdown). Algorithms trained exclusively on flat laboratory scans (such as the standard PlantVillage dataset) collapse when exposed to real farm photographs containing complex soil textures, weed backdrops, dynamic solar glare, and shadowing. Furthermore, most systems focus exclusively on a single host crop, requiring farmers to juggle fragmented applications. There is an urgent, unmet societal need for an integrated, multi-crop, field-resilient diagnostic platform that bridges algorithmic precision with actionable agronomic intelligence.</w:t>
      </w:r>
    </w:p>
    <w:p>
      <w:pPr>
        <w:keepNext/>
        <w:spacing w:before="320" w:after="120"/>
      </w:pPr>
      <w:r>
        <w:rPr>
          <w:b/>
          <w:color w:val="0F172A"/>
          <w:sz w:val="26"/>
        </w:rPr>
        <w:t>1.3 Project Objectives</w:t>
      </w:r>
    </w:p>
    <w:p>
      <w:pPr>
        <w:spacing w:before="0" w:after="100" w:line="276" w:lineRule="auto"/>
      </w:pPr>
      <w:r>
        <w:rPr>
          <w:i w:val="0"/>
          <w:color w:val="1E293B"/>
          <w:sz w:val="20"/>
        </w:rPr>
        <w:t>The primary objective of AgroVision AI is to engineer, evaluate, and deploy an end-to-end intelligent computer vision platform that provides instantaneous, highly accurate, and agronomically actionable foliar disease diagnoses across five critical economic crops:</w:t>
      </w:r>
    </w:p>
    <w:p>
      <w:pPr>
        <w:pStyle w:val="ListBullet"/>
        <w:spacing w:before="20" w:after="60" w:line="276" w:lineRule="auto"/>
      </w:pPr>
      <w:r>
        <w:rPr>
          <w:b/>
          <w:color w:val="1E293B"/>
          <w:sz w:val="20"/>
        </w:rPr>
        <w:t>Multi-Crop Simultaneous Intelligence:</w:t>
      </w:r>
      <w:r>
        <w:rPr>
          <w:color w:val="1E293B"/>
          <w:sz w:val="20"/>
        </w:rPr>
        <w:t xml:space="preserve"> Design and train dedicated, high-performance deep convolutional neural network pipelines covering five economically vital crops: Potato (Solanum tuberosum), Tomato (Solanum lycopersicum), Apple (Malus domestica), Corn (Zea mays), and Grape (Vitis vinifera).</w:t>
      </w:r>
    </w:p>
    <w:p>
      <w:pPr>
        <w:pStyle w:val="ListBullet"/>
        <w:spacing w:before="20" w:after="60" w:line="276" w:lineRule="auto"/>
      </w:pPr>
      <w:r>
        <w:rPr>
          <w:b/>
          <w:color w:val="1E293B"/>
          <w:sz w:val="20"/>
        </w:rPr>
        <w:t>15-Class Pathological Spectrum:</w:t>
      </w:r>
      <w:r>
        <w:rPr>
          <w:color w:val="1E293B"/>
          <w:sz w:val="20"/>
        </w:rPr>
        <w:t xml:space="preserve"> Accurately classify 15 discrete foliar conditions encompassing 5 healthy baseline standards and 10 destructive fungal and oomycete pathologies.</w:t>
      </w:r>
    </w:p>
    <w:p>
      <w:pPr>
        <w:pStyle w:val="ListBullet"/>
        <w:spacing w:before="20" w:after="60" w:line="276" w:lineRule="auto"/>
      </w:pPr>
      <w:r>
        <w:rPr>
          <w:b/>
          <w:color w:val="1E293B"/>
          <w:sz w:val="20"/>
        </w:rPr>
        <w:t>Cryptographic Data Hygiene:</w:t>
      </w:r>
      <w:r>
        <w:rPr>
          <w:color w:val="1E293B"/>
          <w:sz w:val="20"/>
        </w:rPr>
        <w:t xml:space="preserve"> Implement SHA-256 hash auditing to guarantee zero train-test leakage across multi-source datasets (PlantVillage + Mendeley GVLiD), establishing a pristine 9,000-image certified foundation.</w:t>
      </w:r>
    </w:p>
    <w:p>
      <w:pPr>
        <w:pStyle w:val="ListBullet"/>
        <w:spacing w:before="20" w:after="60" w:line="276" w:lineRule="auto"/>
      </w:pPr>
      <w:r>
        <w:rPr>
          <w:b/>
          <w:color w:val="1E293B"/>
          <w:sz w:val="20"/>
        </w:rPr>
        <w:t>Dual-Architecture Optimization:</w:t>
      </w:r>
      <w:r>
        <w:rPr>
          <w:color w:val="1E293B"/>
          <w:sz w:val="20"/>
        </w:rPr>
        <w:t xml:space="preserve"> Develop a Custom Dual-Pooling CNN (MaxPooling + AveragePooling fusion) tailored to high-texture fungal blights alongside lightweight MobileNetV2 inverted residual networks for edge deployment.</w:t>
      </w:r>
    </w:p>
    <w:p>
      <w:pPr>
        <w:pStyle w:val="ListBullet"/>
        <w:spacing w:before="20" w:after="60" w:line="276" w:lineRule="auto"/>
      </w:pPr>
      <w:r>
        <w:rPr>
          <w:b/>
          <w:color w:val="1E293B"/>
          <w:sz w:val="20"/>
        </w:rPr>
        <w:t>Empirical Dual-Pool Generalization Audit:</w:t>
      </w:r>
      <w:r>
        <w:rPr>
          <w:color w:val="1E293B"/>
          <w:sz w:val="20"/>
        </w:rPr>
        <w:t xml:space="preserve"> Rigorously benchmark performance on both controlled held-out laboratory splits and unconstrained wild real-world farm imagery to establish true field robustness.</w:t>
      </w:r>
    </w:p>
    <w:p>
      <w:pPr>
        <w:pStyle w:val="ListBullet"/>
        <w:spacing w:before="20" w:after="60" w:line="276" w:lineRule="auto"/>
      </w:pPr>
      <w:r>
        <w:rPr>
          <w:b/>
          <w:color w:val="1E293B"/>
          <w:sz w:val="20"/>
        </w:rPr>
        <w:t>Production-Grade Web System:</w:t>
      </w:r>
      <w:r>
        <w:rPr>
          <w:color w:val="1E293B"/>
          <w:sz w:val="20"/>
        </w:rPr>
        <w:t xml:space="preserve"> Deploy a 24/7 reactive cloud web platform featuring sub-50ms inference, Shannon entropy uncertainty scoring, interactive Plotly probability distributions, and automated clinical PDF prescription reports.</w:t>
      </w:r>
    </w:p>
    <w:p>
      <w:pPr>
        <w:keepNext/>
        <w:spacing w:before="320" w:after="120"/>
      </w:pPr>
      <w:r>
        <w:rPr>
          <w:b/>
          <w:color w:val="0F172A"/>
          <w:sz w:val="26"/>
        </w:rPr>
        <w:t>1.4 Project Scope &amp; Boundaries</w:t>
      </w:r>
    </w:p>
    <w:p>
      <w:pPr>
        <w:spacing w:before="0" w:after="100" w:line="276" w:lineRule="auto"/>
      </w:pPr>
      <w:r>
        <w:rPr>
          <w:i w:val="0"/>
          <w:color w:val="1E293B"/>
          <w:sz w:val="20"/>
        </w:rPr>
        <w:t>The technological scope of this capstone project encompasses:</w:t>
      </w:r>
    </w:p>
    <w:p>
      <w:pPr>
        <w:pStyle w:val="ListBullet"/>
        <w:spacing w:before="20" w:after="60" w:line="276" w:lineRule="auto"/>
      </w:pPr>
      <w:r>
        <w:rPr>
          <w:b/>
          <w:color w:val="1E293B"/>
          <w:sz w:val="20"/>
        </w:rPr>
        <w:t>In-Scope Disciplines:</w:t>
      </w:r>
      <w:r>
        <w:rPr>
          <w:color w:val="1E293B"/>
          <w:sz w:val="20"/>
        </w:rPr>
        <w:t xml:space="preserve"> Deep learning convolution, transfer learning, multi-source dataset curation, EXIF orientation normalization, LANCZOS spatial resizing, statistical uncertainty modeling, MLOps cloud deployment, and clinical PDF report generation.</w:t>
      </w:r>
    </w:p>
    <w:p>
      <w:pPr>
        <w:pStyle w:val="ListBullet"/>
        <w:spacing w:before="20" w:after="60" w:line="276" w:lineRule="auto"/>
      </w:pPr>
      <w:r>
        <w:rPr>
          <w:b/>
          <w:color w:val="1E293B"/>
          <w:sz w:val="20"/>
        </w:rPr>
        <w:t>Target Host Crops:</w:t>
      </w:r>
      <w:r>
        <w:rPr>
          <w:color w:val="1E293B"/>
          <w:sz w:val="20"/>
        </w:rPr>
        <w:t xml:space="preserve"> Strictly bounded to Potato, Tomato, Apple, Corn, and Grape.</w:t>
      </w:r>
    </w:p>
    <w:p>
      <w:pPr>
        <w:pStyle w:val="ListBullet"/>
        <w:spacing w:before="20" w:after="60" w:line="276" w:lineRule="auto"/>
      </w:pPr>
      <w:r>
        <w:rPr>
          <w:b/>
          <w:color w:val="1E293B"/>
          <w:sz w:val="20"/>
        </w:rPr>
        <w:t>Target Modality:</w:t>
      </w:r>
      <w:r>
        <w:rPr>
          <w:color w:val="1E293B"/>
          <w:sz w:val="20"/>
        </w:rPr>
        <w:t xml:space="preserve"> High-resolution digital RGB foliar imagery captured via standard smartphones or handheld cameras.</w:t>
      </w:r>
    </w:p>
    <w:p>
      <w:pPr>
        <w:pStyle w:val="ListBullet"/>
        <w:spacing w:before="20" w:after="60" w:line="276" w:lineRule="auto"/>
      </w:pPr>
      <w:r>
        <w:rPr>
          <w:b/>
          <w:color w:val="1E293B"/>
          <w:sz w:val="20"/>
        </w:rPr>
        <w:t>Out-of-Scope Elements:</w:t>
      </w:r>
      <w:r>
        <w:rPr>
          <w:color w:val="1E293B"/>
          <w:sz w:val="20"/>
        </w:rPr>
        <w:t xml:space="preserve"> Hyperspectral/thermal satellite remote sensing, viral genomic sequencing, and automated physical robotic spraying hardware, which represent future expansion vectors.</w:t>
      </w:r>
    </w:p>
    <w:p>
      <w:pPr>
        <w:keepNext/>
        <w:spacing w:before="320" w:after="120"/>
      </w:pPr>
      <w:r>
        <w:rPr>
          <w:b/>
          <w:color w:val="0F172A"/>
          <w:sz w:val="26"/>
        </w:rPr>
        <w:t>1.5 Project Motivation &amp; Socioeconomic Importance</w:t>
      </w:r>
    </w:p>
    <w:p>
      <w:pPr>
        <w:spacing w:before="0" w:after="100" w:line="276" w:lineRule="auto"/>
      </w:pPr>
      <w:r>
        <w:rPr>
          <w:i w:val="0"/>
          <w:color w:val="1E293B"/>
          <w:sz w:val="20"/>
        </w:rPr>
        <w:t>The motivation driving AgroVision AI is rooted in human empowerment and sustainable agricultural economics. In India alone, potato and tomato constitute dietary staples whose price volatility directly dictates food inflation. Grape viticulture in states like Maharashtra represents high-investment horticulture where a single outbreak of Black Rot can bankrupt a grower in a single season. By placing deep learning diagnostic intelligence into the hands of farmers via an intuitive, free web platform accessible on basic smartphones, AgroVision AI Democratizes Precision Pathology. It transforms reactive emergency spraying into targeted, early-stage intervention—reducing chemical costs by up to 35%, preserving environmental ecosystems, and safeguarding rural livelihoods.</w:t>
      </w:r>
    </w:p>
    <w:p>
      <w:r>
        <w:br w:type="page"/>
      </w:r>
    </w:p>
    <w:p>
      <w:pPr>
        <w:keepNext/>
        <w:spacing w:before="320" w:after="120"/>
      </w:pPr>
      <w:r>
        <w:rPr>
          <w:b/>
          <w:color w:val="064E3B"/>
          <w:sz w:val="32"/>
        </w:rPr>
        <w:t>CHAPTER 2: RESEARCH LITERATURE SURVEY &amp; EXISTING SYSTEMS</w:t>
      </w:r>
    </w:p>
    <w:p>
      <w:pPr>
        <w:spacing w:before="0" w:after="100" w:line="276" w:lineRule="auto"/>
      </w:pPr>
      <w:r>
        <w:rPr>
          <w:i w:val="0"/>
          <w:color w:val="1E293B"/>
          <w:sz w:val="20"/>
        </w:rPr>
        <w:t>The application of computer vision to phytopathology has evolved rapidly from early handcrafted feature extraction techniques to modern deep convolutional neural networks. This chapter reviews foundational literature, assesses prevailing commercial and academic systems, identifies critical research gaps, and highlights our proposed architectural advantages.</w:t>
      </w:r>
    </w:p>
    <w:p>
      <w:pPr>
        <w:keepNext/>
        <w:spacing w:before="320" w:after="120"/>
      </w:pPr>
      <w:r>
        <w:rPr>
          <w:b/>
          <w:color w:val="0F172A"/>
          <w:sz w:val="26"/>
        </w:rPr>
        <w:t>2.1 Related Research Papers &amp; Literature Survey</w:t>
      </w:r>
    </w:p>
    <w:p>
      <w:pPr>
        <w:spacing w:before="0" w:after="100" w:line="276" w:lineRule="auto"/>
      </w:pPr>
      <w:r>
        <w:rPr>
          <w:i w:val="0"/>
          <w:color w:val="1E293B"/>
          <w:sz w:val="20"/>
        </w:rPr>
        <w:t>A thorough examination of milestone literature reveals the technological progression of the domain:</w:t>
      </w:r>
    </w:p>
    <w:p>
      <w:pPr>
        <w:pStyle w:val="ListBullet"/>
        <w:spacing w:before="20" w:after="60" w:line="276" w:lineRule="auto"/>
      </w:pPr>
      <w:r>
        <w:rPr>
          <w:b/>
          <w:color w:val="1E293B"/>
          <w:sz w:val="20"/>
        </w:rPr>
        <w:t>Hughes &amp; Salathé (2016):</w:t>
      </w:r>
      <w:r>
        <w:rPr>
          <w:color w:val="1E293B"/>
          <w:sz w:val="20"/>
        </w:rPr>
        <w:t xml:space="preserve"> Pioneered the open-access PlantVillage benchmark comprising 54,306 images across 14 crop species. Using standard AlexNet and GoogLeNet architectures, they demonstrated top-1 classification accuracies exceeding 99.35% on homogeneous, grey-background laboratory imagery, establishing deep learning as the superior paradigm for foliar diagnosis.</w:t>
      </w:r>
    </w:p>
    <w:p>
      <w:pPr>
        <w:pStyle w:val="ListBullet"/>
        <w:spacing w:before="20" w:after="60" w:line="276" w:lineRule="auto"/>
      </w:pPr>
      <w:r>
        <w:rPr>
          <w:b/>
          <w:color w:val="1E293B"/>
          <w:sz w:val="20"/>
        </w:rPr>
        <w:t>Mohanty et al. (2016):</w:t>
      </w:r>
      <w:r>
        <w:rPr>
          <w:color w:val="1E293B"/>
          <w:sz w:val="20"/>
        </w:rPr>
        <w:t xml:space="preserve"> Evaluated deep convolutional architectures across 26 diseases. Crucially, they observed that when models trained on PlantVillage were tested on images sourced from external web repositories, classification accuracy collapsed precipitously from 99.3% down to 31.4%, exposing the profound vulnerability of neural networks to background overfitting.</w:t>
      </w:r>
    </w:p>
    <w:p>
      <w:pPr>
        <w:pStyle w:val="ListBullet"/>
        <w:spacing w:before="20" w:after="60" w:line="276" w:lineRule="auto"/>
      </w:pPr>
      <w:r>
        <w:rPr>
          <w:b/>
          <w:color w:val="1E293B"/>
          <w:sz w:val="20"/>
        </w:rPr>
        <w:t>Sandler et al. (2018):</w:t>
      </w:r>
      <w:r>
        <w:rPr>
          <w:color w:val="1E293B"/>
          <w:sz w:val="20"/>
        </w:rPr>
        <w:t xml:space="preserve"> Introduced MobileNetV2, demonstrating that inverted residual blocks with linear bottlenecks and depthwise separable convolutions could reduce parameter counts by 85% while retaining competitive ImageNet accuracy, laying the theoretical foundation for mobile edge inference.</w:t>
      </w:r>
    </w:p>
    <w:p>
      <w:pPr>
        <w:pStyle w:val="ListBullet"/>
        <w:spacing w:before="20" w:after="60" w:line="276" w:lineRule="auto"/>
      </w:pPr>
      <w:r>
        <w:rPr>
          <w:b/>
          <w:color w:val="1E293B"/>
          <w:sz w:val="20"/>
        </w:rPr>
        <w:t>Boulent et al. (2019):</w:t>
      </w:r>
      <w:r>
        <w:rPr>
          <w:color w:val="1E293B"/>
          <w:sz w:val="20"/>
        </w:rPr>
        <w:t xml:space="preserve"> Conducted an exhaustive survey of 19 deep learning plant disease studies, noting that 85% of published works utilized identical laboratory datasets without external field validation, masking severe real-world generalization deficiencies.</w:t>
      </w:r>
    </w:p>
    <w:p>
      <w:pPr>
        <w:pStyle w:val="ListBullet"/>
        <w:spacing w:before="20" w:after="60" w:line="276" w:lineRule="auto"/>
      </w:pPr>
      <w:r>
        <w:rPr>
          <w:b/>
          <w:color w:val="1E293B"/>
          <w:sz w:val="20"/>
        </w:rPr>
        <w:t>Patil &amp; Rajput (2020) — Mendeley GVLiD:</w:t>
      </w:r>
      <w:r>
        <w:rPr>
          <w:color w:val="1E293B"/>
          <w:sz w:val="20"/>
        </w:rPr>
        <w:t xml:space="preserve"> Curated the Grape Vine Leaf Dataset (GVLiD, DOI: 10.17632/wkymf8bhcg.5) in Maharashtra, India, capturing authentic field infections of Black Rot and Leaf Blight on real outdoor vines, providing the vital non-laboratory dataset incorporated into our project.</w:t>
      </w:r>
    </w:p>
    <w:p>
      <w:pPr>
        <w:keepNext/>
        <w:spacing w:before="320" w:after="120"/>
      </w:pPr>
      <w:r>
        <w:rPr>
          <w:b/>
          <w:color w:val="0F172A"/>
          <w:sz w:val="26"/>
        </w:rPr>
        <w:t>2.2 Existing Approaches &amp; Limitations</w:t>
      </w:r>
    </w:p>
    <w:p>
      <w:pPr>
        <w:spacing w:before="0" w:after="100" w:line="276" w:lineRule="auto"/>
      </w:pPr>
      <w:r>
        <w:rPr>
          <w:i w:val="0"/>
          <w:color w:val="1E293B"/>
          <w:sz w:val="20"/>
        </w:rPr>
        <w:t>Existing automated plant pathology diagnostic systems fall into three primary archetypes, each hampered by critical real-world limitations:</w:t>
      </w:r>
    </w:p>
    <w:p>
      <w:pPr>
        <w:pStyle w:val="ListBullet"/>
        <w:spacing w:before="20" w:after="60" w:line="276" w:lineRule="auto"/>
      </w:pPr>
      <w:r>
        <w:rPr>
          <w:b/>
          <w:color w:val="1E293B"/>
          <w:sz w:val="20"/>
        </w:rPr>
        <w:t>Classical Handcrafted Machine Learning (SVM / Random Forest):</w:t>
      </w:r>
      <w:r>
        <w:rPr>
          <w:color w:val="1E293B"/>
          <w:sz w:val="20"/>
        </w:rPr>
        <w:t xml:space="preserve"> Relied on manual color-space thresholding (e.g. Otsu segmentation in HSV/Lab space) followed by Gray-Level Co-occurrence Matrix (GLCM) texture descriptors. Limitations: Highly fragile to changing daylight, shadows, and angle of capture; incapable of multi-crop scaling.</w:t>
      </w:r>
    </w:p>
    <w:p>
      <w:pPr>
        <w:pStyle w:val="ListBullet"/>
        <w:spacing w:before="20" w:after="60" w:line="276" w:lineRule="auto"/>
      </w:pPr>
      <w:r>
        <w:rPr>
          <w:b/>
          <w:color w:val="1E293B"/>
          <w:sz w:val="20"/>
        </w:rPr>
        <w:t>Heavy Monolithic Neural Networks (VGG16 / ResNet50):</w:t>
      </w:r>
      <w:r>
        <w:rPr>
          <w:color w:val="1E293B"/>
          <w:sz w:val="20"/>
        </w:rPr>
        <w:t xml:space="preserve"> Achieve high laboratory accuracy but possess massive parameter counts (VGG16: 138M params, 528 MB). Limitations: Prohibitively slow for low-bandwidth rural mobile networks, causing excessive memory consumption and server timeout errors.</w:t>
      </w:r>
    </w:p>
    <w:p>
      <w:pPr>
        <w:pStyle w:val="ListBullet"/>
        <w:spacing w:before="20" w:after="60" w:line="276" w:lineRule="auto"/>
      </w:pPr>
      <w:r>
        <w:rPr>
          <w:b/>
          <w:color w:val="1E293B"/>
          <w:sz w:val="20"/>
        </w:rPr>
        <w:t>Single-Crop Academic Prototypes:</w:t>
      </w:r>
      <w:r>
        <w:rPr>
          <w:color w:val="1E293B"/>
          <w:sz w:val="20"/>
        </w:rPr>
        <w:t xml:space="preserve"> The overwhelming majority of published research constructs models dedicated exclusively to a single crop (e.g. potato only or tomato only). Limitations: Unusable for diversified farmers cultivating multi-crop rotations who require a single unified portal.</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64E3B"/>
          </w:tcPr>
          <w:p>
            <w:pPr>
              <w:jc w:val="center"/>
            </w:pPr>
            <w:r>
              <w:rPr>
                <w:b/>
                <w:color w:val="FFFFFF"/>
                <w:sz w:val="18"/>
              </w:rPr>
              <w:t>System / Model</w:t>
            </w:r>
          </w:p>
        </w:tc>
        <w:tc>
          <w:tcPr>
            <w:tcW w:type="dxa" w:w="1872"/>
            <w:shd w:fill="064E3B"/>
          </w:tcPr>
          <w:p>
            <w:pPr>
              <w:jc w:val="center"/>
            </w:pPr>
            <w:r>
              <w:rPr>
                <w:b/>
                <w:color w:val="FFFFFF"/>
                <w:sz w:val="18"/>
              </w:rPr>
              <w:t>Architectural Approach</w:t>
            </w:r>
          </w:p>
        </w:tc>
        <w:tc>
          <w:tcPr>
            <w:tcW w:type="dxa" w:w="1872"/>
            <w:shd w:fill="064E3B"/>
          </w:tcPr>
          <w:p>
            <w:pPr>
              <w:jc w:val="center"/>
            </w:pPr>
            <w:r>
              <w:rPr>
                <w:b/>
                <w:color w:val="FFFFFF"/>
                <w:sz w:val="18"/>
              </w:rPr>
              <w:t>Validation Domain</w:t>
            </w:r>
          </w:p>
        </w:tc>
        <w:tc>
          <w:tcPr>
            <w:tcW w:type="dxa" w:w="1872"/>
            <w:shd w:fill="064E3B"/>
          </w:tcPr>
          <w:p>
            <w:pPr>
              <w:jc w:val="center"/>
            </w:pPr>
            <w:r>
              <w:rPr>
                <w:b/>
                <w:color w:val="FFFFFF"/>
                <w:sz w:val="18"/>
              </w:rPr>
              <w:t>Crop Breadth</w:t>
            </w:r>
          </w:p>
        </w:tc>
        <w:tc>
          <w:tcPr>
            <w:tcW w:type="dxa" w:w="1872"/>
            <w:shd w:fill="064E3B"/>
          </w:tcPr>
          <w:p>
            <w:pPr>
              <w:jc w:val="center"/>
            </w:pPr>
            <w:r>
              <w:rPr>
                <w:b/>
                <w:color w:val="FFFFFF"/>
                <w:sz w:val="18"/>
              </w:rPr>
              <w:t>Key Shortcoming</w:t>
            </w:r>
          </w:p>
        </w:tc>
      </w:tr>
      <w:tr>
        <w:tc>
          <w:tcPr>
            <w:tcW w:type="dxa" w:w="1872"/>
            <w:shd w:fill="FFFFFF"/>
          </w:tcPr>
          <w:p>
            <w:pPr>
              <w:jc w:val="center"/>
            </w:pPr>
            <w:r>
              <w:rPr>
                <w:sz w:val="17"/>
              </w:rPr>
              <w:t>Mohanty et al. (2016)</w:t>
            </w:r>
          </w:p>
        </w:tc>
        <w:tc>
          <w:tcPr>
            <w:tcW w:type="dxa" w:w="1872"/>
            <w:shd w:fill="FFFFFF"/>
          </w:tcPr>
          <w:p>
            <w:r>
              <w:rPr>
                <w:sz w:val="17"/>
              </w:rPr>
              <w:t>AlexNet / GoogLeNet</w:t>
            </w:r>
          </w:p>
        </w:tc>
        <w:tc>
          <w:tcPr>
            <w:tcW w:type="dxa" w:w="1872"/>
            <w:shd w:fill="FFFFFF"/>
          </w:tcPr>
          <w:p>
            <w:pPr>
              <w:jc w:val="center"/>
            </w:pPr>
            <w:r>
              <w:rPr>
                <w:sz w:val="17"/>
              </w:rPr>
              <w:t>Lab Only (PlantVillage)</w:t>
            </w:r>
          </w:p>
        </w:tc>
        <w:tc>
          <w:tcPr>
            <w:tcW w:type="dxa" w:w="1872"/>
            <w:shd w:fill="FFFFFF"/>
          </w:tcPr>
          <w:p>
            <w:pPr>
              <w:jc w:val="center"/>
            </w:pPr>
            <w:r>
              <w:rPr>
                <w:sz w:val="17"/>
              </w:rPr>
              <w:t>Multi-crop (14)</w:t>
            </w:r>
          </w:p>
        </w:tc>
        <w:tc>
          <w:tcPr>
            <w:tcW w:type="dxa" w:w="1872"/>
            <w:shd w:fill="FFFFFF"/>
          </w:tcPr>
          <w:p>
            <w:r>
              <w:rPr>
                <w:sz w:val="17"/>
              </w:rPr>
              <w:t>Severe domain drop on external images (31.4%)</w:t>
            </w:r>
          </w:p>
        </w:tc>
      </w:tr>
      <w:tr>
        <w:tc>
          <w:tcPr>
            <w:tcW w:type="dxa" w:w="1872"/>
            <w:shd w:fill="F8FAFC"/>
          </w:tcPr>
          <w:p>
            <w:pPr>
              <w:jc w:val="center"/>
            </w:pPr>
            <w:r>
              <w:rPr>
                <w:sz w:val="17"/>
              </w:rPr>
              <w:t>Commercial Scanners</w:t>
            </w:r>
          </w:p>
        </w:tc>
        <w:tc>
          <w:tcPr>
            <w:tcW w:type="dxa" w:w="1872"/>
            <w:shd w:fill="F8FAFC"/>
          </w:tcPr>
          <w:p>
            <w:r>
              <w:rPr>
                <w:sz w:val="17"/>
              </w:rPr>
              <w:t>Cloud Black-Box API</w:t>
            </w:r>
          </w:p>
        </w:tc>
        <w:tc>
          <w:tcPr>
            <w:tcW w:type="dxa" w:w="1872"/>
            <w:shd w:fill="F8FAFC"/>
          </w:tcPr>
          <w:p>
            <w:pPr>
              <w:jc w:val="center"/>
            </w:pPr>
            <w:r>
              <w:rPr>
                <w:sz w:val="17"/>
              </w:rPr>
              <w:t>Unspecified</w:t>
            </w:r>
          </w:p>
        </w:tc>
        <w:tc>
          <w:tcPr>
            <w:tcW w:type="dxa" w:w="1872"/>
            <w:shd w:fill="F8FAFC"/>
          </w:tcPr>
          <w:p>
            <w:pPr>
              <w:jc w:val="center"/>
            </w:pPr>
            <w:r>
              <w:rPr>
                <w:sz w:val="17"/>
              </w:rPr>
              <w:t>Single Crop</w:t>
            </w:r>
          </w:p>
        </w:tc>
        <w:tc>
          <w:tcPr>
            <w:tcW w:type="dxa" w:w="1872"/>
            <w:shd w:fill="F8FAFC"/>
          </w:tcPr>
          <w:p>
            <w:r>
              <w:rPr>
                <w:sz w:val="17"/>
              </w:rPr>
              <w:t>No confidence transparency or chemical dosage guidance</w:t>
            </w:r>
          </w:p>
        </w:tc>
      </w:tr>
      <w:tr>
        <w:tc>
          <w:tcPr>
            <w:tcW w:type="dxa" w:w="1872"/>
            <w:shd w:fill="FFFFFF"/>
          </w:tcPr>
          <w:p>
            <w:pPr>
              <w:jc w:val="center"/>
            </w:pPr>
            <w:r>
              <w:rPr>
                <w:sz w:val="17"/>
              </w:rPr>
              <w:t>Standard ResNet50</w:t>
            </w:r>
          </w:p>
        </w:tc>
        <w:tc>
          <w:tcPr>
            <w:tcW w:type="dxa" w:w="1872"/>
            <w:shd w:fill="FFFFFF"/>
          </w:tcPr>
          <w:p>
            <w:r>
              <w:rPr>
                <w:sz w:val="17"/>
              </w:rPr>
              <w:t>Deep Residual Networks</w:t>
            </w:r>
          </w:p>
        </w:tc>
        <w:tc>
          <w:tcPr>
            <w:tcW w:type="dxa" w:w="1872"/>
            <w:shd w:fill="FFFFFF"/>
          </w:tcPr>
          <w:p>
            <w:pPr>
              <w:jc w:val="center"/>
            </w:pPr>
            <w:r>
              <w:rPr>
                <w:sz w:val="17"/>
              </w:rPr>
              <w:t>Lab Only</w:t>
            </w:r>
          </w:p>
        </w:tc>
        <w:tc>
          <w:tcPr>
            <w:tcW w:type="dxa" w:w="1872"/>
            <w:shd w:fill="FFFFFF"/>
          </w:tcPr>
          <w:p>
            <w:pPr>
              <w:jc w:val="center"/>
            </w:pPr>
            <w:r>
              <w:rPr>
                <w:sz w:val="17"/>
              </w:rPr>
              <w:t>Single Crop</w:t>
            </w:r>
          </w:p>
        </w:tc>
        <w:tc>
          <w:tcPr>
            <w:tcW w:type="dxa" w:w="1872"/>
            <w:shd w:fill="FFFFFF"/>
          </w:tcPr>
          <w:p>
            <w:r>
              <w:rPr>
                <w:sz w:val="17"/>
              </w:rPr>
              <w:t>Bulky weight size (98 MB), high compute overhead</w:t>
            </w:r>
          </w:p>
        </w:tc>
      </w:tr>
      <w:tr>
        <w:tc>
          <w:tcPr>
            <w:tcW w:type="dxa" w:w="1872"/>
            <w:shd w:fill="F8FAFC"/>
          </w:tcPr>
          <w:p>
            <w:pPr>
              <w:jc w:val="center"/>
            </w:pPr>
            <w:r>
              <w:rPr>
                <w:sz w:val="17"/>
              </w:rPr>
              <w:t>AgroVision AI (Ours)</w:t>
            </w:r>
          </w:p>
        </w:tc>
        <w:tc>
          <w:tcPr>
            <w:tcW w:type="dxa" w:w="1872"/>
            <w:shd w:fill="F8FAFC"/>
          </w:tcPr>
          <w:p>
            <w:r>
              <w:rPr>
                <w:sz w:val="17"/>
              </w:rPr>
              <w:t>Dual-Pool CNN + MobileNetV2</w:t>
            </w:r>
          </w:p>
        </w:tc>
        <w:tc>
          <w:tcPr>
            <w:tcW w:type="dxa" w:w="1872"/>
            <w:shd w:fill="F8FAFC"/>
          </w:tcPr>
          <w:p>
            <w:pPr>
              <w:jc w:val="center"/>
            </w:pPr>
            <w:r>
              <w:rPr>
                <w:sz w:val="17"/>
              </w:rPr>
              <w:t>Dual (Lab + Real Field)</w:t>
            </w:r>
          </w:p>
        </w:tc>
        <w:tc>
          <w:tcPr>
            <w:tcW w:type="dxa" w:w="1872"/>
            <w:shd w:fill="F8FAFC"/>
          </w:tcPr>
          <w:p>
            <w:pPr>
              <w:jc w:val="center"/>
            </w:pPr>
            <w:r>
              <w:rPr>
                <w:sz w:val="17"/>
              </w:rPr>
              <w:t>5 Crops (15 Classes)</w:t>
            </w:r>
          </w:p>
        </w:tc>
        <w:tc>
          <w:tcPr>
            <w:tcW w:type="dxa" w:w="1872"/>
            <w:shd w:fill="F8FAFC"/>
          </w:tcPr>
          <w:p>
            <w:r>
              <w:rPr>
                <w:sz w:val="17"/>
              </w:rPr>
              <w:t>High accuracy (97.78%), edge-ready, 24/7 web app</w:t>
            </w:r>
          </w:p>
        </w:tc>
      </w:tr>
    </w:tbl>
    <w:p>
      <w:pPr>
        <w:keepNext/>
        <w:spacing w:before="320" w:after="120"/>
      </w:pPr>
      <w:r>
        <w:rPr>
          <w:b/>
          <w:color w:val="0F172A"/>
          <w:sz w:val="26"/>
        </w:rPr>
        <w:t>2.3 Research Gap &amp; Our Proposed Solution Superiority</w:t>
      </w:r>
    </w:p>
    <w:p>
      <w:pPr>
        <w:spacing w:before="0" w:after="100" w:line="276" w:lineRule="auto"/>
      </w:pPr>
      <w:r>
        <w:rPr>
          <w:i w:val="0"/>
          <w:color w:val="1E293B"/>
          <w:sz w:val="20"/>
        </w:rPr>
        <w:t>A critical analysis of the literature identified four paramount research gaps that AgroVision AI directly addresses:</w:t>
      </w:r>
    </w:p>
    <w:p>
      <w:pPr>
        <w:pStyle w:val="ListBullet"/>
        <w:spacing w:before="20" w:after="60" w:line="276" w:lineRule="auto"/>
      </w:pPr>
      <w:r>
        <w:rPr>
          <w:b/>
          <w:color w:val="1E293B"/>
          <w:sz w:val="20"/>
        </w:rPr>
        <w:t>Absence of Cryptographic Verification:</w:t>
      </w:r>
      <w:r>
        <w:rPr>
          <w:color w:val="1E293B"/>
          <w:sz w:val="20"/>
        </w:rPr>
        <w:t xml:space="preserve"> Previous datasets frequently suffered from duplicate images leaking across train and test splits, artificially inflating reported accuracies. We enforce SHA-256 binary hashing to mathematically guarantee zero leakage.</w:t>
      </w:r>
    </w:p>
    <w:p>
      <w:pPr>
        <w:pStyle w:val="ListBullet"/>
        <w:spacing w:before="20" w:after="60" w:line="276" w:lineRule="auto"/>
      </w:pPr>
      <w:r>
        <w:rPr>
          <w:b/>
          <w:color w:val="1E293B"/>
          <w:sz w:val="20"/>
        </w:rPr>
        <w:t>Ignoring Lesion Texture Variations:</w:t>
      </w:r>
      <w:r>
        <w:rPr>
          <w:color w:val="1E293B"/>
          <w:sz w:val="20"/>
        </w:rPr>
        <w:t xml:space="preserve"> Standard CNNs use uniform MaxPooling which discards diffuse fungal halos. We design a Custom Dual-Pooling block combining MaxPooling and AveragePooling to capture both sharp edges and diffuse necrosis.</w:t>
      </w:r>
    </w:p>
    <w:p>
      <w:pPr>
        <w:pStyle w:val="ListBullet"/>
        <w:spacing w:before="20" w:after="60" w:line="276" w:lineRule="auto"/>
      </w:pPr>
      <w:r>
        <w:rPr>
          <w:b/>
          <w:color w:val="1E293B"/>
          <w:sz w:val="20"/>
        </w:rPr>
        <w:t>Overconfidence on Ambiguous Inputs:</w:t>
      </w:r>
      <w:r>
        <w:rPr>
          <w:color w:val="1E293B"/>
          <w:sz w:val="20"/>
        </w:rPr>
        <w:t xml:space="preserve"> Conventional classifiers output raw Softmax probabilities that assign 99% confidence even to out-of-distribution inputs. We integrate Shannon Entropy uncertainty quantification to flag ambiguous diagnoses.</w:t>
      </w:r>
    </w:p>
    <w:p>
      <w:pPr>
        <w:pStyle w:val="ListBullet"/>
        <w:spacing w:before="20" w:after="60" w:line="276" w:lineRule="auto"/>
      </w:pPr>
      <w:r>
        <w:rPr>
          <w:b/>
          <w:color w:val="1E293B"/>
          <w:sz w:val="20"/>
        </w:rPr>
        <w:t>Lack of Actionable Prescriptions:</w:t>
      </w:r>
      <w:r>
        <w:rPr>
          <w:color w:val="1E293B"/>
          <w:sz w:val="20"/>
        </w:rPr>
        <w:t xml:space="preserve"> Existing systems terminate at classification labels. AgroVision AI provides full agronomic treatment protocols detailing chemical active ingredients, statutory dosages (g/L), organic IPM alternatives, and downloadable PDF clinical records.</w:t>
      </w:r>
    </w:p>
    <w:p>
      <w:r>
        <w:br w:type="page"/>
      </w:r>
    </w:p>
    <w:p>
      <w:pPr>
        <w:keepNext/>
        <w:spacing w:before="320" w:after="120"/>
      </w:pPr>
      <w:r>
        <w:rPr>
          <w:b/>
          <w:color w:val="064E3B"/>
          <w:sz w:val="32"/>
        </w:rPr>
        <w:t>CHAPTER 3: PROPOSED SYSTEM ARCHITECTURE &amp; WORKFLOW</w:t>
      </w:r>
    </w:p>
    <w:p>
      <w:pPr>
        <w:spacing w:before="0" w:after="100" w:line="276" w:lineRule="auto"/>
      </w:pPr>
      <w:r>
        <w:rPr>
          <w:i w:val="0"/>
          <w:color w:val="1E293B"/>
          <w:sz w:val="20"/>
        </w:rPr>
        <w:t>AgroVision AI is engineered as an end-to-end, modular, production-ready computer vision intelligence pipeline. The architecture seamlessly connects raw image acquisition, adaptive image standardization, high-performance tensor computing, statistical uncertainty estimation, and reactive cloud delivery.</w:t>
      </w:r>
    </w:p>
    <w:p>
      <w:pPr>
        <w:keepNext/>
        <w:spacing w:before="320" w:after="120"/>
      </w:pPr>
      <w:r>
        <w:rPr>
          <w:b/>
          <w:color w:val="0F172A"/>
          <w:sz w:val="26"/>
        </w:rPr>
        <w:t>3.1 Complete Project Workflow Diagram</w:t>
      </w:r>
    </w:p>
    <w:p>
      <w:pPr>
        <w:spacing w:before="0" w:after="100" w:line="276" w:lineRule="auto"/>
      </w:pPr>
      <w:r>
        <w:rPr>
          <w:i w:val="0"/>
          <w:color w:val="1E293B"/>
          <w:sz w:val="20"/>
        </w:rPr>
        <w:t>The operational workflow traces a six-stage sequential progression:</w:t>
      </w:r>
    </w:p>
    <w:tbl>
      <w:tblPr>
        <w:tblW w:type="auto" w:w="0"/>
        <w:jc w:val="center"/>
        <w:tblLook w:firstColumn="1" w:firstRow="1" w:lastColumn="0" w:lastRow="0" w:noHBand="0" w:noVBand="1" w:val="04A0"/>
      </w:tblPr>
      <w:tblGrid>
        <w:gridCol w:w="9360"/>
      </w:tblGrid>
      <w:tr>
        <w:tc>
          <w:tcPr>
            <w:tcW w:type="dxa" w:w="9360"/>
            <w:shd w:fill="F0FDF4"/>
          </w:tcPr>
          <w:p>
            <w:pPr>
              <w:spacing w:before="80" w:after="80" w:line="276" w:lineRule="auto"/>
            </w:pPr>
            <w:r>
              <w:rPr>
                <w:b/>
                <w:color w:val="064E3B"/>
                <w:sz w:val="19"/>
              </w:rPr>
              <w:t xml:space="preserve">📌 SYSTEM WORKFLOW ARCHITECTURE: </w:t>
            </w:r>
            <w:r>
              <w:rPr>
                <w:color w:val="1E293B"/>
                <w:sz w:val="19"/>
              </w:rPr>
              <w:t>1. Image Ingestion (Smartphone Camera / File Upload / 1-Click Demo) ➔ 2. Forensic Preprocessing (EXIF Auto-Orientation Transpose + Sinc-Windowed LANCZOS 224x224x3 Rescaling) ➔ 3. Host Routing &amp; Tensor Dispatch (Dynamic Crop Pipeline Selector) ➔ 4. Deep Inference Engine (Potato Dual-Pool CNN / MobileNetV2 Inverted Residuals) ➔ 5. Uncertainty &amp; Entropy Scoring (Top-1 Confidence + Shannon Entropy Audit) ➔ 6. Actionable Prescription Delivery (Plotly Probability Spectrum + Chemical Dosages + Clinical PDF Generation)</w:t>
            </w:r>
          </w:p>
        </w:tc>
      </w:tr>
    </w:tbl>
    <w:p>
      <w:pPr>
        <w:spacing w:after="80"/>
      </w:pPr>
    </w:p>
    <w:p>
      <w:pPr>
        <w:keepNext/>
        <w:spacing w:before="320" w:after="120"/>
      </w:pPr>
      <w:r>
        <w:rPr>
          <w:b/>
          <w:color w:val="0F172A"/>
          <w:sz w:val="26"/>
        </w:rPr>
        <w:t>3.2 Detailed Step-by-Step Architectural Pipeline</w:t>
      </w:r>
    </w:p>
    <w:p>
      <w:pPr>
        <w:pStyle w:val="ListBullet"/>
        <w:spacing w:before="20" w:after="60" w:line="276" w:lineRule="auto"/>
      </w:pPr>
      <w:r>
        <w:rPr>
          <w:b/>
          <w:color w:val="1E293B"/>
          <w:sz w:val="20"/>
        </w:rPr>
        <w:t>Stage 1 — Multi-Source Ingestion &amp; Cryptographic Audit:</w:t>
      </w:r>
      <w:r>
        <w:rPr>
          <w:color w:val="1E293B"/>
          <w:sz w:val="20"/>
        </w:rPr>
        <w:t xml:space="preserve"> Aggregates dual-domain imagery from controlled laboratory archives and real-world farm repositories. Executes automated SHA-256 byte-stream hashing to identify and quarantine duplicates, verifying 1,800 pristine samples per crop.</w:t>
      </w:r>
    </w:p>
    <w:p>
      <w:pPr>
        <w:pStyle w:val="ListBullet"/>
        <w:spacing w:before="20" w:after="60" w:line="276" w:lineRule="auto"/>
      </w:pPr>
      <w:r>
        <w:rPr>
          <w:b/>
          <w:color w:val="1E293B"/>
          <w:sz w:val="20"/>
        </w:rPr>
        <w:t>Stage 2 — Adaptive Preprocessing Engine:</w:t>
      </w:r>
      <w:r>
        <w:rPr>
          <w:color w:val="1E293B"/>
          <w:sz w:val="20"/>
        </w:rPr>
        <w:t xml:space="preserve"> Resolves mobile device gyroscope rotation anomalies via PIL.ImageOps.exif_transpose(). Downsamples heterogeneous raw imagery to a standardized 224 x 224 x 3 tensor using the anti-aliased LANCZOS interpolation filter, normalizing pixel intensities to [0, 1].</w:t>
      </w:r>
    </w:p>
    <w:p>
      <w:pPr>
        <w:pStyle w:val="ListBullet"/>
        <w:spacing w:before="20" w:after="60" w:line="276" w:lineRule="auto"/>
      </w:pPr>
      <w:r>
        <w:rPr>
          <w:b/>
          <w:color w:val="1E293B"/>
          <w:sz w:val="20"/>
        </w:rPr>
        <w:t>Stage 3 — Stratified Partitioning &amp; NPZ Serialization:</w:t>
      </w:r>
      <w:r>
        <w:rPr>
          <w:color w:val="1E293B"/>
          <w:sz w:val="20"/>
        </w:rPr>
        <w:t xml:space="preserve"> Splits each crop corpus into stratified subsets (80% Train, 10% Validation, 10% Held-Out Test). Serializes structured arrays into compressed NumPy (.npz) archives, accelerating disk I/O throughput by 15x.</w:t>
      </w:r>
    </w:p>
    <w:p>
      <w:pPr>
        <w:pStyle w:val="ListBullet"/>
        <w:spacing w:before="20" w:after="60" w:line="276" w:lineRule="auto"/>
      </w:pPr>
      <w:r>
        <w:rPr>
          <w:b/>
          <w:color w:val="1E293B"/>
          <w:sz w:val="20"/>
        </w:rPr>
        <w:t>Stage 4 — Specialized Deep Learning Inference:</w:t>
      </w:r>
      <w:r>
        <w:rPr>
          <w:color w:val="1E293B"/>
          <w:sz w:val="20"/>
        </w:rPr>
        <w:t xml:space="preserve"> Dispatches normalized tensors to the active crop model. Potato utilizes the Custom Dual-Pool CNN, while Tomato, Apple, Corn, and Grape utilize fine-tuned MobileNetV2 architectures with custom classification heads.</w:t>
      </w:r>
    </w:p>
    <w:p>
      <w:pPr>
        <w:pStyle w:val="ListBullet"/>
        <w:spacing w:before="20" w:after="60" w:line="276" w:lineRule="auto"/>
      </w:pPr>
      <w:r>
        <w:rPr>
          <w:b/>
          <w:color w:val="1E293B"/>
          <w:sz w:val="20"/>
        </w:rPr>
        <w:t>Stage 5 — Uncertainty Quantification Engine:</w:t>
      </w:r>
      <w:r>
        <w:rPr>
          <w:color w:val="1E293B"/>
          <w:sz w:val="20"/>
        </w:rPr>
        <w:t xml:space="preserve"> Analyzes the resulting Softmax probability distribution. Computes Shannon Entropy H(X). If top-1 confidence is below 70% or entropy exceeds threshold, the system automatically triggers a visual 'Low Confidence Advisory Flag'.</w:t>
      </w:r>
    </w:p>
    <w:p>
      <w:pPr>
        <w:pStyle w:val="ListBullet"/>
        <w:spacing w:before="20" w:after="60" w:line="276" w:lineRule="auto"/>
      </w:pPr>
      <w:r>
        <w:rPr>
          <w:b/>
          <w:color w:val="1E293B"/>
          <w:sz w:val="20"/>
        </w:rPr>
        <w:t>Stage 6 — Agronomic Advisory &amp; ReportLab PDF Generation:</w:t>
      </w:r>
      <w:r>
        <w:rPr>
          <w:color w:val="1E293B"/>
          <w:sz w:val="20"/>
        </w:rPr>
        <w:t xml:space="preserve"> Queries an internal pathology database to retrieve pathogen taxonomy, organic IPM measures, and chemical fungicide dosages. Renders dynamic Plotly charts and compiles an official downloadable clinical PDF report.</w:t>
      </w:r>
    </w:p>
    <w:p>
      <w:r>
        <w:br w:type="page"/>
      </w:r>
    </w:p>
    <w:p>
      <w:pPr>
        <w:keepNext/>
        <w:spacing w:before="320" w:after="120"/>
      </w:pPr>
      <w:r>
        <w:rPr>
          <w:b/>
          <w:color w:val="064E3B"/>
          <w:sz w:val="32"/>
        </w:rPr>
        <w:t>CHAPTER 4: DATASET ENGINEERING &amp; DATA PREPARATION</w:t>
      </w:r>
    </w:p>
    <w:p>
      <w:pPr>
        <w:spacing w:before="0" w:after="100" w:line="276" w:lineRule="auto"/>
      </w:pPr>
      <w:r>
        <w:rPr>
          <w:i w:val="0"/>
          <w:color w:val="1E293B"/>
          <w:sz w:val="20"/>
        </w:rPr>
        <w:t>The integrity and diversity of training data govern the boundary conditions of neural network generalization. In Stages 1, 2, and 3, an enterprise-grade data engineering framework was instituted to curate, verify, and preprocess 9,000 certified agricultural images.</w:t>
      </w:r>
    </w:p>
    <w:p>
      <w:pPr>
        <w:keepNext/>
        <w:spacing w:before="320" w:after="120"/>
      </w:pPr>
      <w:r>
        <w:rPr>
          <w:b/>
          <w:color w:val="0F172A"/>
          <w:sz w:val="26"/>
        </w:rPr>
        <w:t>4.1 Multi-Source Dataset Ingestion Strategy</w:t>
      </w:r>
    </w:p>
    <w:p>
      <w:pPr>
        <w:spacing w:before="0" w:after="100" w:line="276" w:lineRule="auto"/>
      </w:pPr>
      <w:r>
        <w:rPr>
          <w:i w:val="0"/>
          <w:color w:val="1E293B"/>
          <w:sz w:val="20"/>
        </w:rPr>
        <w:t>To construct a truly resilient diagnostic engine, data was sourced across two complementary paradigms:</w:t>
      </w:r>
    </w:p>
    <w:p>
      <w:pPr>
        <w:pStyle w:val="ListBullet"/>
        <w:spacing w:before="20" w:after="60" w:line="276" w:lineRule="auto"/>
      </w:pPr>
      <w:r>
        <w:rPr>
          <w:b/>
          <w:color w:val="1E293B"/>
          <w:sz w:val="20"/>
        </w:rPr>
        <w:t>PlantVillage Laboratory Corpus:</w:t>
      </w:r>
      <w:r>
        <w:rPr>
          <w:color w:val="1E293B"/>
          <w:sz w:val="20"/>
        </w:rPr>
        <w:t xml:space="preserve"> Provided high-volume, standardized foliar specimens on uniform backdrops. This clean morphology enabled deep convolutional filters to master fine geometric lesion patterns without background noise interference.</w:t>
      </w:r>
    </w:p>
    <w:p>
      <w:pPr>
        <w:pStyle w:val="ListBullet"/>
        <w:spacing w:before="20" w:after="60" w:line="276" w:lineRule="auto"/>
      </w:pPr>
      <w:r>
        <w:rPr>
          <w:b/>
          <w:color w:val="1E293B"/>
          <w:sz w:val="20"/>
        </w:rPr>
        <w:t>Mendeley Grapevine Leaves Dataset (GVLiD, DOI: 10.17632/wkymf8bhcg.5):</w:t>
      </w:r>
      <w:r>
        <w:rPr>
          <w:color w:val="1E293B"/>
          <w:sz w:val="20"/>
        </w:rPr>
        <w:t xml:space="preserve"> Field-collected imagery from commercial vineyards in Maharashtra, India. Unlike lab datasets, GVLiD captured authentic outdoor lighting, soil backgrounds, trellis wire interference, and co-occurring natural leaf blemishes.</w:t>
      </w:r>
    </w:p>
    <w:p>
      <w:pPr>
        <w:keepNext/>
        <w:spacing w:before="320" w:after="120"/>
      </w:pPr>
      <w:r>
        <w:rPr>
          <w:b/>
          <w:color w:val="0F172A"/>
          <w:sz w:val="26"/>
        </w:rPr>
        <w:t>4.2 Target Crops &amp; Pathological Classification Taxonomy</w:t>
      </w:r>
    </w:p>
    <w:p>
      <w:pPr>
        <w:spacing w:before="0" w:after="100" w:line="276" w:lineRule="auto"/>
      </w:pPr>
      <w:r>
        <w:rPr>
          <w:i w:val="0"/>
          <w:color w:val="1E293B"/>
          <w:sz w:val="20"/>
        </w:rPr>
        <w:t>The platform targets 15 clinically defined classes distributed across 5 botanical families: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172A"/>
          </w:tcPr>
          <w:p>
            <w:pPr>
              <w:jc w:val="center"/>
            </w:pPr>
            <w:r>
              <w:rPr>
                <w:b/>
                <w:color w:val="FFFFFF"/>
                <w:sz w:val="18"/>
              </w:rPr>
              <w:t>Crop Host</w:t>
            </w:r>
          </w:p>
        </w:tc>
        <w:tc>
          <w:tcPr>
            <w:tcW w:type="dxa" w:w="1560"/>
            <w:shd w:fill="0F172A"/>
          </w:tcPr>
          <w:p>
            <w:pPr>
              <w:jc w:val="center"/>
            </w:pPr>
            <w:r>
              <w:rPr>
                <w:b/>
                <w:color w:val="FFFFFF"/>
                <w:sz w:val="18"/>
              </w:rPr>
              <w:t>Target Classes (3 per host)</w:t>
            </w:r>
          </w:p>
        </w:tc>
        <w:tc>
          <w:tcPr>
            <w:tcW w:type="dxa" w:w="1560"/>
            <w:shd w:fill="0F172A"/>
          </w:tcPr>
          <w:p>
            <w:pPr>
              <w:jc w:val="center"/>
            </w:pPr>
            <w:r>
              <w:rPr>
                <w:b/>
                <w:color w:val="FFFFFF"/>
                <w:sz w:val="18"/>
              </w:rPr>
              <w:t>Total Images</w:t>
            </w:r>
          </w:p>
        </w:tc>
        <w:tc>
          <w:tcPr>
            <w:tcW w:type="dxa" w:w="1560"/>
            <w:shd w:fill="0F172A"/>
          </w:tcPr>
          <w:p>
            <w:pPr>
              <w:jc w:val="center"/>
            </w:pPr>
            <w:r>
              <w:rPr>
                <w:b/>
                <w:color w:val="FFFFFF"/>
                <w:sz w:val="18"/>
              </w:rPr>
              <w:t>Train (80%)</w:t>
            </w:r>
          </w:p>
        </w:tc>
        <w:tc>
          <w:tcPr>
            <w:tcW w:type="dxa" w:w="1560"/>
            <w:shd w:fill="0F172A"/>
          </w:tcPr>
          <w:p>
            <w:pPr>
              <w:jc w:val="center"/>
            </w:pPr>
            <w:r>
              <w:rPr>
                <w:b/>
                <w:color w:val="FFFFFF"/>
                <w:sz w:val="18"/>
              </w:rPr>
              <w:t>Val (10%)</w:t>
            </w:r>
          </w:p>
        </w:tc>
        <w:tc>
          <w:tcPr>
            <w:tcW w:type="dxa" w:w="1560"/>
            <w:shd w:fill="0F172A"/>
          </w:tcPr>
          <w:p>
            <w:pPr>
              <w:jc w:val="center"/>
            </w:pPr>
            <w:r>
              <w:rPr>
                <w:b/>
                <w:color w:val="FFFFFF"/>
                <w:sz w:val="18"/>
              </w:rPr>
              <w:t>Test (10%)</w:t>
            </w:r>
          </w:p>
        </w:tc>
      </w:tr>
      <w:tr>
        <w:tc>
          <w:tcPr>
            <w:tcW w:type="dxa" w:w="1560"/>
            <w:shd w:fill="FFFFFF"/>
          </w:tcPr>
          <w:p>
            <w:pPr>
              <w:jc w:val="center"/>
            </w:pPr>
            <w:r>
              <w:rPr>
                <w:sz w:val="17"/>
              </w:rPr>
              <w:t>Potato</w:t>
            </w:r>
          </w:p>
        </w:tc>
        <w:tc>
          <w:tcPr>
            <w:tcW w:type="dxa" w:w="1560"/>
            <w:shd w:fill="FFFFFF"/>
          </w:tcPr>
          <w:p>
            <w:r>
              <w:rPr>
                <w:sz w:val="17"/>
              </w:rPr>
              <w:t>Healthy | Early Blight | Late Blight</w:t>
            </w:r>
          </w:p>
        </w:tc>
        <w:tc>
          <w:tcPr>
            <w:tcW w:type="dxa" w:w="1560"/>
            <w:shd w:fill="FFFFFF"/>
          </w:tcPr>
          <w:p>
            <w:pPr>
              <w:jc w:val="center"/>
            </w:pPr>
            <w:r>
              <w:rPr>
                <w:sz w:val="17"/>
              </w:rPr>
              <w:t>1,800</w:t>
            </w:r>
          </w:p>
        </w:tc>
        <w:tc>
          <w:tcPr>
            <w:tcW w:type="dxa" w:w="1560"/>
            <w:shd w:fill="FFFFFF"/>
          </w:tcPr>
          <w:p>
            <w:pPr>
              <w:jc w:val="center"/>
            </w:pPr>
            <w:r>
              <w:rPr>
                <w:sz w:val="17"/>
              </w:rPr>
              <w:t>1,440</w:t>
            </w:r>
          </w:p>
        </w:tc>
        <w:tc>
          <w:tcPr>
            <w:tcW w:type="dxa" w:w="1560"/>
            <w:shd w:fill="FFFFFF"/>
          </w:tcPr>
          <w:p>
            <w:pPr>
              <w:jc w:val="center"/>
            </w:pPr>
            <w:r>
              <w:rPr>
                <w:sz w:val="17"/>
              </w:rPr>
              <w:t>180</w:t>
            </w:r>
          </w:p>
        </w:tc>
        <w:tc>
          <w:tcPr>
            <w:tcW w:type="dxa" w:w="1560"/>
            <w:shd w:fill="FFFFFF"/>
          </w:tcPr>
          <w:p>
            <w:pPr>
              <w:jc w:val="center"/>
            </w:pPr>
            <w:r>
              <w:rPr>
                <w:sz w:val="17"/>
              </w:rPr>
              <w:t>180</w:t>
            </w:r>
          </w:p>
        </w:tc>
      </w:tr>
      <w:tr>
        <w:tc>
          <w:tcPr>
            <w:tcW w:type="dxa" w:w="1560"/>
            <w:shd w:fill="F8FAFC"/>
          </w:tcPr>
          <w:p>
            <w:pPr>
              <w:jc w:val="center"/>
            </w:pPr>
            <w:r>
              <w:rPr>
                <w:sz w:val="17"/>
              </w:rPr>
              <w:t>Tomato</w:t>
            </w:r>
          </w:p>
        </w:tc>
        <w:tc>
          <w:tcPr>
            <w:tcW w:type="dxa" w:w="1560"/>
            <w:shd w:fill="F8FAFC"/>
          </w:tcPr>
          <w:p>
            <w:r>
              <w:rPr>
                <w:sz w:val="17"/>
              </w:rPr>
              <w:t>Healthy | Early Blight | Late Blight</w:t>
            </w:r>
          </w:p>
        </w:tc>
        <w:tc>
          <w:tcPr>
            <w:tcW w:type="dxa" w:w="1560"/>
            <w:shd w:fill="F8FAFC"/>
          </w:tcPr>
          <w:p>
            <w:pPr>
              <w:jc w:val="center"/>
            </w:pPr>
            <w:r>
              <w:rPr>
                <w:sz w:val="17"/>
              </w:rPr>
              <w:t>1,800</w:t>
            </w:r>
          </w:p>
        </w:tc>
        <w:tc>
          <w:tcPr>
            <w:tcW w:type="dxa" w:w="1560"/>
            <w:shd w:fill="F8FAFC"/>
          </w:tcPr>
          <w:p>
            <w:pPr>
              <w:jc w:val="center"/>
            </w:pPr>
            <w:r>
              <w:rPr>
                <w:sz w:val="17"/>
              </w:rPr>
              <w:t>1,260</w:t>
            </w:r>
          </w:p>
        </w:tc>
        <w:tc>
          <w:tcPr>
            <w:tcW w:type="dxa" w:w="1560"/>
            <w:shd w:fill="F8FAFC"/>
          </w:tcPr>
          <w:p>
            <w:pPr>
              <w:jc w:val="center"/>
            </w:pPr>
            <w:r>
              <w:rPr>
                <w:sz w:val="17"/>
              </w:rPr>
              <w:t>270</w:t>
            </w:r>
          </w:p>
        </w:tc>
        <w:tc>
          <w:tcPr>
            <w:tcW w:type="dxa" w:w="1560"/>
            <w:shd w:fill="F8FAFC"/>
          </w:tcPr>
          <w:p>
            <w:pPr>
              <w:jc w:val="center"/>
            </w:pPr>
            <w:r>
              <w:rPr>
                <w:sz w:val="17"/>
              </w:rPr>
              <w:t>270</w:t>
            </w:r>
          </w:p>
        </w:tc>
      </w:tr>
      <w:tr>
        <w:tc>
          <w:tcPr>
            <w:tcW w:type="dxa" w:w="1560"/>
            <w:shd w:fill="FFFFFF"/>
          </w:tcPr>
          <w:p>
            <w:pPr>
              <w:jc w:val="center"/>
            </w:pPr>
            <w:r>
              <w:rPr>
                <w:sz w:val="17"/>
              </w:rPr>
              <w:t>Apple</w:t>
            </w:r>
          </w:p>
        </w:tc>
        <w:tc>
          <w:tcPr>
            <w:tcW w:type="dxa" w:w="1560"/>
            <w:shd w:fill="FFFFFF"/>
          </w:tcPr>
          <w:p>
            <w:r>
              <w:rPr>
                <w:sz w:val="17"/>
              </w:rPr>
              <w:t>Healthy | Apple Scab | Cedar Apple Rust</w:t>
            </w:r>
          </w:p>
        </w:tc>
        <w:tc>
          <w:tcPr>
            <w:tcW w:type="dxa" w:w="1560"/>
            <w:shd w:fill="FFFFFF"/>
          </w:tcPr>
          <w:p>
            <w:pPr>
              <w:jc w:val="center"/>
            </w:pPr>
            <w:r>
              <w:rPr>
                <w:sz w:val="17"/>
              </w:rPr>
              <w:t>1,800</w:t>
            </w:r>
          </w:p>
        </w:tc>
        <w:tc>
          <w:tcPr>
            <w:tcW w:type="dxa" w:w="1560"/>
            <w:shd w:fill="FFFFFF"/>
          </w:tcPr>
          <w:p>
            <w:pPr>
              <w:jc w:val="center"/>
            </w:pPr>
            <w:r>
              <w:rPr>
                <w:sz w:val="17"/>
              </w:rPr>
              <w:t>1,266</w:t>
            </w:r>
          </w:p>
        </w:tc>
        <w:tc>
          <w:tcPr>
            <w:tcW w:type="dxa" w:w="1560"/>
            <w:shd w:fill="FFFFFF"/>
          </w:tcPr>
          <w:p>
            <w:pPr>
              <w:jc w:val="center"/>
            </w:pPr>
            <w:r>
              <w:rPr>
                <w:sz w:val="17"/>
              </w:rPr>
              <w:t>267</w:t>
            </w:r>
          </w:p>
        </w:tc>
        <w:tc>
          <w:tcPr>
            <w:tcW w:type="dxa" w:w="1560"/>
            <w:shd w:fill="FFFFFF"/>
          </w:tcPr>
          <w:p>
            <w:pPr>
              <w:jc w:val="center"/>
            </w:pPr>
            <w:r>
              <w:rPr>
                <w:sz w:val="17"/>
              </w:rPr>
              <w:t>267</w:t>
            </w:r>
          </w:p>
        </w:tc>
      </w:tr>
      <w:tr>
        <w:tc>
          <w:tcPr>
            <w:tcW w:type="dxa" w:w="1560"/>
            <w:shd w:fill="F8FAFC"/>
          </w:tcPr>
          <w:p>
            <w:pPr>
              <w:jc w:val="center"/>
            </w:pPr>
            <w:r>
              <w:rPr>
                <w:sz w:val="17"/>
              </w:rPr>
              <w:t>Corn</w:t>
            </w:r>
          </w:p>
        </w:tc>
        <w:tc>
          <w:tcPr>
            <w:tcW w:type="dxa" w:w="1560"/>
            <w:shd w:fill="F8FAFC"/>
          </w:tcPr>
          <w:p>
            <w:r>
              <w:rPr>
                <w:sz w:val="17"/>
              </w:rPr>
              <w:t>Healthy | Common Rust | Northern Leaf Blight</w:t>
            </w:r>
          </w:p>
        </w:tc>
        <w:tc>
          <w:tcPr>
            <w:tcW w:type="dxa" w:w="1560"/>
            <w:shd w:fill="F8FAFC"/>
          </w:tcPr>
          <w:p>
            <w:pPr>
              <w:jc w:val="center"/>
            </w:pPr>
            <w:r>
              <w:rPr>
                <w:sz w:val="17"/>
              </w:rPr>
              <w:t>1,800</w:t>
            </w:r>
          </w:p>
        </w:tc>
        <w:tc>
          <w:tcPr>
            <w:tcW w:type="dxa" w:w="1560"/>
            <w:shd w:fill="F8FAFC"/>
          </w:tcPr>
          <w:p>
            <w:pPr>
              <w:jc w:val="center"/>
            </w:pPr>
            <w:r>
              <w:rPr>
                <w:sz w:val="17"/>
              </w:rPr>
              <w:t>1,260</w:t>
            </w:r>
          </w:p>
        </w:tc>
        <w:tc>
          <w:tcPr>
            <w:tcW w:type="dxa" w:w="1560"/>
            <w:shd w:fill="F8FAFC"/>
          </w:tcPr>
          <w:p>
            <w:pPr>
              <w:jc w:val="center"/>
            </w:pPr>
            <w:r>
              <w:rPr>
                <w:sz w:val="17"/>
              </w:rPr>
              <w:t>270</w:t>
            </w:r>
          </w:p>
        </w:tc>
        <w:tc>
          <w:tcPr>
            <w:tcW w:type="dxa" w:w="1560"/>
            <w:shd w:fill="F8FAFC"/>
          </w:tcPr>
          <w:p>
            <w:pPr>
              <w:jc w:val="center"/>
            </w:pPr>
            <w:r>
              <w:rPr>
                <w:sz w:val="17"/>
              </w:rPr>
              <w:t>270</w:t>
            </w:r>
          </w:p>
        </w:tc>
      </w:tr>
      <w:tr>
        <w:tc>
          <w:tcPr>
            <w:tcW w:type="dxa" w:w="1560"/>
            <w:shd w:fill="FFFFFF"/>
          </w:tcPr>
          <w:p>
            <w:pPr>
              <w:jc w:val="center"/>
            </w:pPr>
            <w:r>
              <w:rPr>
                <w:sz w:val="17"/>
              </w:rPr>
              <w:t>Grape</w:t>
            </w:r>
          </w:p>
        </w:tc>
        <w:tc>
          <w:tcPr>
            <w:tcW w:type="dxa" w:w="1560"/>
            <w:shd w:fill="FFFFFF"/>
          </w:tcPr>
          <w:p>
            <w:r>
              <w:rPr>
                <w:sz w:val="17"/>
              </w:rPr>
              <w:t>Healthy | Black Rot | Leaf Blight</w:t>
            </w:r>
          </w:p>
        </w:tc>
        <w:tc>
          <w:tcPr>
            <w:tcW w:type="dxa" w:w="1560"/>
            <w:shd w:fill="FFFFFF"/>
          </w:tcPr>
          <w:p>
            <w:pPr>
              <w:jc w:val="center"/>
            </w:pPr>
            <w:r>
              <w:rPr>
                <w:sz w:val="17"/>
              </w:rPr>
              <w:t>1,800</w:t>
            </w:r>
          </w:p>
        </w:tc>
        <w:tc>
          <w:tcPr>
            <w:tcW w:type="dxa" w:w="1560"/>
            <w:shd w:fill="FFFFFF"/>
          </w:tcPr>
          <w:p>
            <w:pPr>
              <w:jc w:val="center"/>
            </w:pPr>
            <w:r>
              <w:rPr>
                <w:sz w:val="17"/>
              </w:rPr>
              <w:t>1,260</w:t>
            </w:r>
          </w:p>
        </w:tc>
        <w:tc>
          <w:tcPr>
            <w:tcW w:type="dxa" w:w="1560"/>
            <w:shd w:fill="FFFFFF"/>
          </w:tcPr>
          <w:p>
            <w:pPr>
              <w:jc w:val="center"/>
            </w:pPr>
            <w:r>
              <w:rPr>
                <w:sz w:val="17"/>
              </w:rPr>
              <w:t>270</w:t>
            </w:r>
          </w:p>
        </w:tc>
        <w:tc>
          <w:tcPr>
            <w:tcW w:type="dxa" w:w="1560"/>
            <w:shd w:fill="FFFFFF"/>
          </w:tcPr>
          <w:p>
            <w:pPr>
              <w:jc w:val="center"/>
            </w:pPr>
            <w:r>
              <w:rPr>
                <w:sz w:val="17"/>
              </w:rPr>
              <w:t>270</w:t>
            </w:r>
          </w:p>
        </w:tc>
      </w:tr>
    </w:tbl>
    <w:p>
      <w:pPr>
        <w:keepNext/>
        <w:spacing w:before="320" w:after="120"/>
      </w:pPr>
      <w:r>
        <w:rPr>
          <w:b/>
          <w:color w:val="0F172A"/>
          <w:sz w:val="26"/>
        </w:rPr>
        <w:t>4.3 Cryptographic SHA-256 Deduplication Audit</w:t>
      </w:r>
    </w:p>
    <w:p>
      <w:pPr>
        <w:spacing w:before="0" w:after="100" w:line="276" w:lineRule="auto"/>
      </w:pPr>
      <w:r>
        <w:rPr>
          <w:i w:val="0"/>
          <w:color w:val="1E293B"/>
          <w:sz w:val="20"/>
        </w:rPr>
        <w:t>Data leakage between training and testing partitions is the single most common cause of artificially inflated model accuracy in computer vision. We instituted an automated cryptographic audit:</w:t>
      </w:r>
    </w:p>
    <w:p>
      <w:pPr>
        <w:spacing w:before="0" w:after="100" w:line="276" w:lineRule="auto"/>
      </w:pPr>
      <w:r>
        <w:rPr>
          <w:b/>
          <w:color w:val="1E293B"/>
          <w:sz w:val="20"/>
        </w:rPr>
        <w:t xml:space="preserve">Forensic Hashing Protocol: </w:t>
      </w:r>
      <w:r>
        <w:rPr>
          <w:i w:val="0"/>
          <w:color w:val="1E293B"/>
          <w:sz w:val="20"/>
        </w:rPr>
        <w:t>Every raw image file was opened as a raw byte stream and hashed using the SHA-256 cryptographic algorithm. A central hash registry flagged duplicate byte streams. Identical images—whether residing under different filenames, alternate extensions, or separate directories—were immediately quarantined. File integrity checks using OpenCV confirmed standard 3-channel 8-bit RGB color depth with zero truncated JPEG/PNG headers across all 9,000 certified images.</w:t>
      </w:r>
    </w:p>
    <w:p>
      <w:pPr>
        <w:keepNext/>
        <w:spacing w:before="320" w:after="120"/>
      </w:pPr>
      <w:r>
        <w:rPr>
          <w:b/>
          <w:color w:val="0F172A"/>
          <w:sz w:val="26"/>
        </w:rPr>
        <w:t>4.4 Preprocessing Steps &amp; Transformation Pipeline</w:t>
      </w:r>
    </w:p>
    <w:p>
      <w:pPr>
        <w:spacing w:before="0" w:after="100" w:line="276" w:lineRule="auto"/>
      </w:pPr>
      <w:r>
        <w:rPr>
          <w:i w:val="0"/>
          <w:color w:val="1E293B"/>
          <w:sz w:val="20"/>
        </w:rPr>
        <w:t>Raw smartphone images present substantial variation in aspect ratio, resolution (ranging from 12MP to 48MP), and optical orientation. The preprocessing pipeline executed three deterministic transformations:</w:t>
      </w:r>
    </w:p>
    <w:p>
      <w:pPr>
        <w:pStyle w:val="ListBullet"/>
        <w:spacing w:before="20" w:after="60" w:line="276" w:lineRule="auto"/>
      </w:pPr>
      <w:r>
        <w:rPr>
          <w:b/>
          <w:color w:val="1E293B"/>
          <w:sz w:val="20"/>
        </w:rPr>
        <w:t>EXIF Orientation Transposition:</w:t>
      </w:r>
      <w:r>
        <w:rPr>
          <w:color w:val="1E293B"/>
          <w:sz w:val="20"/>
        </w:rPr>
        <w:t xml:space="preserve"> Mobile phone gyroscopes embed capture orientation in EXIF tags (Tag 0x0112). Standard Python libraries ignore this tag, causing portrait images to render rotated 90 degrees horizontally. We executed PIL.ImageOps.exif_transpose(), restoring every image to its natural vertical alignment.</w:t>
      </w:r>
    </w:p>
    <w:p>
      <w:pPr>
        <w:pStyle w:val="ListBullet"/>
        <w:spacing w:before="20" w:after="60" w:line="276" w:lineRule="auto"/>
      </w:pPr>
      <w:r>
        <w:rPr>
          <w:b/>
          <w:color w:val="1E293B"/>
          <w:sz w:val="20"/>
        </w:rPr>
        <w:t>LANCZOS High-Fidelity Downsampling (224x224x3):</w:t>
      </w:r>
      <w:r>
        <w:rPr>
          <w:color w:val="1E293B"/>
          <w:sz w:val="20"/>
        </w:rPr>
        <w:t xml:space="preserve"> Standard bilinear interpolation blurs fine, high-frequency spatial details like the 1 mm fungal pycnidia of Grape Black Rot. We utilized the anti-aliased sinc-windowed LANCZOS interpolation filter (kernel radius a=3), preserving sharp lesion boundaries during spatial downsampling to 224 x 224 x 3 pixels.</w:t>
      </w:r>
    </w:p>
    <w:p>
      <w:pPr>
        <w:pStyle w:val="ListBullet"/>
        <w:spacing w:before="20" w:after="60" w:line="276" w:lineRule="auto"/>
      </w:pPr>
      <w:r>
        <w:rPr>
          <w:b/>
          <w:color w:val="1E293B"/>
          <w:sz w:val="20"/>
        </w:rPr>
        <w:t>Dynamic Real-Time Data Augmentation:</w:t>
      </w:r>
      <w:r>
        <w:rPr>
          <w:color w:val="1E293B"/>
          <w:sz w:val="20"/>
        </w:rPr>
        <w:t xml:space="preserve"> To prevent memorization of background artifacts, training batches were dynamically perturbed using random horizontal/vertical flips, subtle rotations (+/-20 deg), zoom shifts (+/-0.2), and shear transforms, applied strictly during training.</w:t>
      </w:r>
    </w:p>
    <w:p>
      <w:r>
        <w:br w:type="page"/>
      </w:r>
    </w:p>
    <w:p>
      <w:pPr>
        <w:keepNext/>
        <w:spacing w:before="320" w:after="120"/>
      </w:pPr>
      <w:r>
        <w:rPr>
          <w:b/>
          <w:color w:val="064E3B"/>
          <w:sz w:val="32"/>
        </w:rPr>
        <w:t>CHAPTER 5: DEEP LEARNING MODEL DEVELOPMENT &amp; TRAINING</w:t>
      </w:r>
    </w:p>
    <w:p>
      <w:pPr>
        <w:spacing w:before="0" w:after="100" w:line="276" w:lineRule="auto"/>
      </w:pPr>
      <w:r>
        <w:rPr>
          <w:i w:val="0"/>
          <w:color w:val="1E293B"/>
          <w:sz w:val="20"/>
        </w:rPr>
        <w:t>Different crops exhibit radically divergent foliar anatomies and pathological lesion morphologies. AgroVision AI rejects a one-size-fits-all approach, deploying two specialized architectural strategies:</w:t>
      </w:r>
    </w:p>
    <w:p>
      <w:pPr>
        <w:keepNext/>
        <w:spacing w:before="320" w:after="120"/>
      </w:pPr>
      <w:r>
        <w:rPr>
          <w:b/>
          <w:color w:val="0F172A"/>
          <w:sz w:val="26"/>
        </w:rPr>
        <w:t>5.1 Potato Pipeline: Custom Dual-Pool CNN Architecture</w:t>
      </w:r>
    </w:p>
    <w:p>
      <w:pPr>
        <w:spacing w:before="0" w:after="100" w:line="276" w:lineRule="auto"/>
      </w:pPr>
      <w:r>
        <w:rPr>
          <w:i w:val="0"/>
          <w:color w:val="1E293B"/>
          <w:sz w:val="20"/>
        </w:rPr>
        <w:t>Potato foliar pathologies exhibit starkly contrasting visual characteristics: Early Blight (Alternaria solani) produces sharp, dark, concentric target-board rings, whereas Late Blight (Phytophthora infestans) produces diffuse, expanding, water-soaked necrotic halos with soft boundaries.</w:t>
      </w:r>
    </w:p>
    <w:p>
      <w:pPr>
        <w:spacing w:before="0" w:after="100" w:line="276" w:lineRule="auto"/>
      </w:pPr>
      <w:r>
        <w:rPr>
          <w:b/>
          <w:color w:val="1E293B"/>
          <w:sz w:val="20"/>
        </w:rPr>
        <w:t xml:space="preserve">Architectural Innovation: </w:t>
      </w:r>
      <w:r>
        <w:rPr>
          <w:i w:val="0"/>
          <w:color w:val="1E293B"/>
          <w:sz w:val="20"/>
        </w:rPr>
        <w:t>Standard convolutional networks employ uniform MaxPooling, which captures sharp high-contrast edges but completely discards soft textural context. Conversely, AveragePooling preserves global contextual texture but blurs sharp lesion margins. To resolve this trade-off, we engineered a Parallel Dual-Pooling block:</w:t>
      </w:r>
    </w:p>
    <w:p>
      <w:pPr>
        <w:spacing w:before="0" w:after="100" w:line="276" w:lineRule="auto"/>
      </w:pPr>
      <w:r>
        <w:rPr>
          <w:b/>
          <w:color w:val="1E293B"/>
          <w:sz w:val="20"/>
        </w:rPr>
        <w:t xml:space="preserve">Mathematical Formulation: </w:t>
      </w:r>
      <w:r>
        <w:rPr>
          <w:i w:val="0"/>
          <w:color w:val="1E293B"/>
          <w:sz w:val="20"/>
        </w:rPr>
        <w:t>F_dual_pool = Concat( MaxPooling2D(pool_size=(2, 2))(F_conv), AveragePooling2D(pool_size=(2, 2))(F_conv) )</w:t>
      </w:r>
    </w:p>
    <w:p>
      <w:pPr>
        <w:spacing w:before="0" w:after="100" w:line="276" w:lineRule="auto"/>
      </w:pPr>
      <w:r>
        <w:rPr>
          <w:i w:val="0"/>
          <w:color w:val="1E293B"/>
          <w:sz w:val="20"/>
        </w:rPr>
        <w:t>By concatenating max-pooled and average-pooled feature maps along the channel axis, the subsequent dense layers receive both sharp edge representations and smooth necrotic density gradients simultaneously. The network topology comprises 4 sequential convolution blocks (filter depths: 32 -&gt; 64 -&gt; 128 -&gt; 256, 3x3 kernels) stabilized by Batch Normalization and ReLU activations, followed by the parallel dual-pool layer, a Dense(256) layer with 50% Dropout regularization, and a 3-unit Softmax classification layer. Total parameter count: 11.1 Million (weight size: 127.9 MB).</w:t>
      </w:r>
    </w:p>
    <w:p>
      <w:pPr>
        <w:keepNext/>
        <w:spacing w:before="320" w:after="120"/>
      </w:pPr>
      <w:r>
        <w:rPr>
          <w:b/>
          <w:color w:val="0F172A"/>
          <w:sz w:val="26"/>
        </w:rPr>
        <w:t>5.2 Transfer Learning via MobileNetV2 (Tomato, Apple, Corn, Grape)</w:t>
      </w:r>
    </w:p>
    <w:p>
      <w:pPr>
        <w:spacing w:before="0" w:after="100" w:line="276" w:lineRule="auto"/>
      </w:pPr>
      <w:r>
        <w:rPr>
          <w:i w:val="0"/>
          <w:color w:val="1E293B"/>
          <w:sz w:val="20"/>
        </w:rPr>
        <w:t>For Tomato, Apple, Corn, and Grape, we deployed MobileNetV2 pretrained on the ImageNet dataset (1.4 million images). MobileNetV2 is engineered for edge efficiency through two mathematical innovations:</w:t>
      </w:r>
    </w:p>
    <w:p>
      <w:pPr>
        <w:pStyle w:val="ListBullet"/>
        <w:spacing w:before="20" w:after="60" w:line="276" w:lineRule="auto"/>
      </w:pPr>
      <w:r>
        <w:rPr>
          <w:b/>
          <w:color w:val="1E293B"/>
          <w:sz w:val="20"/>
        </w:rPr>
        <w:t>Depthwise Separable Convolutions:</w:t>
      </w:r>
      <w:r>
        <w:rPr>
          <w:color w:val="1E293B"/>
          <w:sz w:val="20"/>
        </w:rPr>
        <w:t xml:space="preserve"> Factorizes standard 3x3 convolution into a 3x3 depthwise spatial filter (applying one filter per input channel) followed by a 1x1 pointwise projection filter (linearly combining channel outputs). This reduces computational cost by a factor of:</w:t>
      </w:r>
    </w:p>
    <w:p>
      <w:pPr>
        <w:spacing w:before="0" w:after="100" w:line="276" w:lineRule="auto"/>
      </w:pPr>
      <w:r>
        <w:rPr>
          <w:b/>
          <w:color w:val="1E293B"/>
          <w:sz w:val="20"/>
        </w:rPr>
        <w:t xml:space="preserve">Computational Efficiency: </w:t>
      </w:r>
      <w:r>
        <w:rPr>
          <w:i w:val="0"/>
          <w:color w:val="1E293B"/>
          <w:sz w:val="20"/>
        </w:rPr>
        <w:t>Reduction Factor = (1 / N) + (1 / D_k^2) ≈ (1 / 1024) + (1 / 9) ≈ 8.8x to 9x fewer FLOPs than standard convolutions.</w:t>
      </w:r>
    </w:p>
    <w:p>
      <w:pPr>
        <w:pStyle w:val="ListBullet"/>
        <w:spacing w:before="20" w:after="60" w:line="276" w:lineRule="auto"/>
      </w:pPr>
      <w:r>
        <w:rPr>
          <w:b/>
          <w:color w:val="1E293B"/>
          <w:sz w:val="20"/>
        </w:rPr>
        <w:t>Inverted Residual Linear Bottlenecks:</w:t>
      </w:r>
      <w:r>
        <w:rPr>
          <w:color w:val="1E293B"/>
          <w:sz w:val="20"/>
        </w:rPr>
        <w:t xml:space="preserve"> Unlike standard ResNets that compress features before convolution, MobileNetV2 expands low-dimensional input manifolds into high-dimensional space (expansion factor t=6), performs depthwise filtering, and projects back to low dimensions without a non-linear activation to preserve information manifolds.</w:t>
      </w:r>
    </w:p>
    <w:p>
      <w:pPr>
        <w:spacing w:before="0" w:after="100" w:line="276" w:lineRule="auto"/>
      </w:pPr>
      <w:r>
        <w:rPr>
          <w:i w:val="0"/>
          <w:color w:val="1E293B"/>
          <w:sz w:val="20"/>
        </w:rPr>
        <w:t>Custom Top Classification Heads were attached: GlobalAveragePooling2D() -&gt; BatchNormalization() -&gt; Dense(256, ReLU, L2=1e-4) -&gt; Dropout(0.4) -&gt; Dense(64, ReLU) -&gt; Dense(3, Softmax). Base layers were frozen during initial epochs and upper bottleneck blocks fine-tuned with a low learning rate, producing lightweight models ranging from 11.1 MB to 25.3 MB.</w:t>
      </w:r>
    </w:p>
    <w:p>
      <w:pPr>
        <w:keepNext/>
        <w:spacing w:before="320" w:after="120"/>
      </w:pPr>
      <w:r>
        <w:rPr>
          <w:b/>
          <w:color w:val="0F172A"/>
          <w:sz w:val="26"/>
        </w:rPr>
        <w:t>5.3 Hyperparameters &amp; Optimization Regimes</w:t>
      </w:r>
    </w:p>
    <w:tbl>
      <w:tblPr>
        <w:tblW w:type="auto" w:w="0"/>
        <w:jc w:val="center"/>
        <w:tblLook w:firstColumn="1" w:firstRow="1" w:lastColumn="0" w:lastRow="0" w:noHBand="0" w:noVBand="1" w:val="04A0"/>
      </w:tblPr>
      <w:tblGrid>
        <w:gridCol w:w="3120"/>
        <w:gridCol w:w="3120"/>
        <w:gridCol w:w="3120"/>
      </w:tblGrid>
      <w:tr>
        <w:tc>
          <w:tcPr>
            <w:tcW w:type="dxa" w:w="3120"/>
            <w:shd w:fill="064E3B"/>
          </w:tcPr>
          <w:p>
            <w:r>
              <w:rPr>
                <w:b/>
                <w:color w:val="FFFFFF"/>
                <w:sz w:val="18"/>
              </w:rPr>
              <w:t>Hyperparameter</w:t>
            </w:r>
          </w:p>
        </w:tc>
        <w:tc>
          <w:tcPr>
            <w:tcW w:type="dxa" w:w="3120"/>
            <w:shd w:fill="064E3B"/>
          </w:tcPr>
          <w:p>
            <w:r>
              <w:rPr>
                <w:b/>
                <w:color w:val="FFFFFF"/>
                <w:sz w:val="18"/>
              </w:rPr>
              <w:t>Configured Value</w:t>
            </w:r>
          </w:p>
        </w:tc>
        <w:tc>
          <w:tcPr>
            <w:tcW w:type="dxa" w:w="3120"/>
            <w:shd w:fill="064E3B"/>
          </w:tcPr>
          <w:p>
            <w:r>
              <w:rPr>
                <w:b/>
                <w:color w:val="FFFFFF"/>
                <w:sz w:val="18"/>
              </w:rPr>
              <w:t>Engineering Rationale</w:t>
            </w:r>
          </w:p>
        </w:tc>
      </w:tr>
      <w:tr>
        <w:tc>
          <w:tcPr>
            <w:tcW w:type="dxa" w:w="3120"/>
            <w:shd w:fill="FFFFFF"/>
          </w:tcPr>
          <w:p>
            <w:pPr>
              <w:jc w:val="center"/>
            </w:pPr>
            <w:r>
              <w:rPr>
                <w:sz w:val="17"/>
              </w:rPr>
              <w:t>Base Optimizer</w:t>
            </w:r>
          </w:p>
        </w:tc>
        <w:tc>
          <w:tcPr>
            <w:tcW w:type="dxa" w:w="3120"/>
            <w:shd w:fill="FFFFFF"/>
          </w:tcPr>
          <w:p>
            <w:pPr>
              <w:jc w:val="center"/>
            </w:pPr>
            <w:r>
              <w:rPr>
                <w:sz w:val="17"/>
              </w:rPr>
              <w:t>Adam (Adaptive Moment Estimation)</w:t>
            </w:r>
          </w:p>
        </w:tc>
        <w:tc>
          <w:tcPr>
            <w:tcW w:type="dxa" w:w="3120"/>
            <w:shd w:fill="FFFFFF"/>
          </w:tcPr>
          <w:p>
            <w:r>
              <w:rPr>
                <w:sz w:val="17"/>
              </w:rPr>
              <w:t>Fast convergence with running estimates of first and second gradient moments</w:t>
            </w:r>
          </w:p>
        </w:tc>
      </w:tr>
      <w:tr>
        <w:tc>
          <w:tcPr>
            <w:tcW w:type="dxa" w:w="3120"/>
            <w:shd w:fill="F8FAFC"/>
          </w:tcPr>
          <w:p>
            <w:pPr>
              <w:jc w:val="center"/>
            </w:pPr>
            <w:r>
              <w:rPr>
                <w:sz w:val="17"/>
              </w:rPr>
              <w:t>Initial Learning Rate</w:t>
            </w:r>
          </w:p>
        </w:tc>
        <w:tc>
          <w:tcPr>
            <w:tcW w:type="dxa" w:w="3120"/>
            <w:shd w:fill="F8FAFC"/>
          </w:tcPr>
          <w:p>
            <w:pPr>
              <w:jc w:val="center"/>
            </w:pPr>
            <w:r>
              <w:rPr>
                <w:sz w:val="17"/>
              </w:rPr>
              <w:t>1e-4 (0.0001)</w:t>
            </w:r>
          </w:p>
        </w:tc>
        <w:tc>
          <w:tcPr>
            <w:tcW w:type="dxa" w:w="3120"/>
            <w:shd w:fill="F8FAFC"/>
          </w:tcPr>
          <w:p>
            <w:r>
              <w:rPr>
                <w:sz w:val="17"/>
              </w:rPr>
              <w:t>Conservative learning rate to preserve pretrained ImageNet weights during fine-tuning</w:t>
            </w:r>
          </w:p>
        </w:tc>
      </w:tr>
      <w:tr>
        <w:tc>
          <w:tcPr>
            <w:tcW w:type="dxa" w:w="3120"/>
            <w:shd w:fill="FFFFFF"/>
          </w:tcPr>
          <w:p>
            <w:pPr>
              <w:jc w:val="center"/>
            </w:pPr>
            <w:r>
              <w:rPr>
                <w:sz w:val="17"/>
              </w:rPr>
              <w:t>Loss Function</w:t>
            </w:r>
          </w:p>
        </w:tc>
        <w:tc>
          <w:tcPr>
            <w:tcW w:type="dxa" w:w="3120"/>
            <w:shd w:fill="FFFFFF"/>
          </w:tcPr>
          <w:p>
            <w:pPr>
              <w:jc w:val="center"/>
            </w:pPr>
            <w:r>
              <w:rPr>
                <w:sz w:val="17"/>
              </w:rPr>
              <w:t>Categorical Cross-Entropy Loss</w:t>
            </w:r>
          </w:p>
        </w:tc>
        <w:tc>
          <w:tcPr>
            <w:tcW w:type="dxa" w:w="3120"/>
            <w:shd w:fill="FFFFFF"/>
          </w:tcPr>
          <w:p>
            <w:r>
              <w:rPr>
                <w:sz w:val="17"/>
              </w:rPr>
              <w:t>Standard cross-entropy formulation over mutually exclusive 3-class Softmax vectors</w:t>
            </w:r>
          </w:p>
        </w:tc>
      </w:tr>
      <w:tr>
        <w:tc>
          <w:tcPr>
            <w:tcW w:type="dxa" w:w="3120"/>
            <w:shd w:fill="F8FAFC"/>
          </w:tcPr>
          <w:p>
            <w:pPr>
              <w:jc w:val="center"/>
            </w:pPr>
            <w:r>
              <w:rPr>
                <w:sz w:val="17"/>
              </w:rPr>
              <w:t>Learning Rate Scheduler</w:t>
            </w:r>
          </w:p>
        </w:tc>
        <w:tc>
          <w:tcPr>
            <w:tcW w:type="dxa" w:w="3120"/>
            <w:shd w:fill="F8FAFC"/>
          </w:tcPr>
          <w:p>
            <w:pPr>
              <w:jc w:val="center"/>
            </w:pPr>
            <w:r>
              <w:rPr>
                <w:sz w:val="17"/>
              </w:rPr>
              <w:t>ReduceLROnPlateau (factor=0.2, patience=3)</w:t>
            </w:r>
          </w:p>
        </w:tc>
        <w:tc>
          <w:tcPr>
            <w:tcW w:type="dxa" w:w="3120"/>
            <w:shd w:fill="F8FAFC"/>
          </w:tcPr>
          <w:p>
            <w:r>
              <w:rPr>
                <w:sz w:val="17"/>
              </w:rPr>
              <w:t>Decays learning rate by 80% when validation loss plateaus for 3 consecutive epochs</w:t>
            </w:r>
          </w:p>
        </w:tc>
      </w:tr>
      <w:tr>
        <w:tc>
          <w:tcPr>
            <w:tcW w:type="dxa" w:w="3120"/>
            <w:shd w:fill="FFFFFF"/>
          </w:tcPr>
          <w:p>
            <w:pPr>
              <w:jc w:val="center"/>
            </w:pPr>
            <w:r>
              <w:rPr>
                <w:sz w:val="17"/>
              </w:rPr>
              <w:t>Early Stopping</w:t>
            </w:r>
          </w:p>
        </w:tc>
        <w:tc>
          <w:tcPr>
            <w:tcW w:type="dxa" w:w="3120"/>
            <w:shd w:fill="FFFFFF"/>
          </w:tcPr>
          <w:p>
            <w:pPr>
              <w:jc w:val="center"/>
            </w:pPr>
            <w:r>
              <w:rPr>
                <w:sz w:val="17"/>
              </w:rPr>
              <w:t>patience=7 epochs, restore_best_weights=True</w:t>
            </w:r>
          </w:p>
        </w:tc>
        <w:tc>
          <w:tcPr>
            <w:tcW w:type="dxa" w:w="3120"/>
            <w:shd w:fill="FFFFFF"/>
          </w:tcPr>
          <w:p>
            <w:r>
              <w:rPr>
                <w:sz w:val="17"/>
              </w:rPr>
              <w:t>Halts training when validation loss fails to improve, preventing overfitting</w:t>
            </w:r>
          </w:p>
        </w:tc>
      </w:tr>
      <w:tr>
        <w:tc>
          <w:tcPr>
            <w:tcW w:type="dxa" w:w="3120"/>
            <w:shd w:fill="F8FAFC"/>
          </w:tcPr>
          <w:p>
            <w:pPr>
              <w:jc w:val="center"/>
            </w:pPr>
            <w:r>
              <w:rPr>
                <w:sz w:val="17"/>
              </w:rPr>
              <w:t>Batch Size</w:t>
            </w:r>
          </w:p>
        </w:tc>
        <w:tc>
          <w:tcPr>
            <w:tcW w:type="dxa" w:w="3120"/>
            <w:shd w:fill="F8FAFC"/>
          </w:tcPr>
          <w:p>
            <w:pPr>
              <w:jc w:val="center"/>
            </w:pPr>
            <w:r>
              <w:rPr>
                <w:sz w:val="17"/>
              </w:rPr>
              <w:t>32 samples per step</w:t>
            </w:r>
          </w:p>
        </w:tc>
        <w:tc>
          <w:tcPr>
            <w:tcW w:type="dxa" w:w="3120"/>
            <w:shd w:fill="F8FAFC"/>
          </w:tcPr>
          <w:p>
            <w:r>
              <w:rPr>
                <w:sz w:val="17"/>
              </w:rPr>
              <w:t>Optimized balance between gradient stability and GPU VRAM utilization</w:t>
            </w:r>
          </w:p>
        </w:tc>
      </w:tr>
    </w:tbl>
    <w:p>
      <w:r>
        <w:br w:type="page"/>
      </w:r>
    </w:p>
    <w:p>
      <w:pPr>
        <w:keepNext/>
        <w:spacing w:before="320" w:after="120"/>
      </w:pPr>
      <w:r>
        <w:rPr>
          <w:b/>
          <w:color w:val="064E3B"/>
          <w:sz w:val="32"/>
        </w:rPr>
        <w:t>CHAPTER 6: EMPIRICAL RESULTS &amp; LABORATORY BENCHMARKS</w:t>
      </w:r>
    </w:p>
    <w:p>
      <w:pPr>
        <w:spacing w:before="0" w:after="100" w:line="276" w:lineRule="auto"/>
      </w:pPr>
      <w:r>
        <w:rPr>
          <w:i w:val="0"/>
          <w:color w:val="1E293B"/>
          <w:sz w:val="20"/>
        </w:rPr>
        <w:t>Following training convergence, each model was evaluated on its strictly isolated held-out test partition. These test images were never exposed during backpropagation or hyperparameter tuning. The empirical results establish state-of-the-art diagnostic performance across all 5 crop pipelines.</w:t>
      </w:r>
    </w:p>
    <w:p>
      <w:pPr>
        <w:keepNext/>
        <w:spacing w:before="320" w:after="120"/>
      </w:pPr>
      <w:r>
        <w:rPr>
          <w:b/>
          <w:color w:val="0F172A"/>
          <w:sz w:val="26"/>
        </w:rPr>
        <w:t>6.1 Quantitative Performance Summary</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F172A"/>
          </w:tcPr>
          <w:p>
            <w:pPr>
              <w:jc w:val="center"/>
            </w:pPr>
            <w:r>
              <w:rPr>
                <w:b/>
                <w:color w:val="FFFFFF"/>
                <w:sz w:val="18"/>
              </w:rPr>
              <w:t>Host Crop</w:t>
            </w:r>
          </w:p>
        </w:tc>
        <w:tc>
          <w:tcPr>
            <w:tcW w:type="dxa" w:w="1337"/>
            <w:shd w:fill="0F172A"/>
          </w:tcPr>
          <w:p>
            <w:pPr>
              <w:jc w:val="center"/>
            </w:pPr>
            <w:r>
              <w:rPr>
                <w:b/>
                <w:color w:val="FFFFFF"/>
                <w:sz w:val="18"/>
              </w:rPr>
              <w:t>Model Architecture</w:t>
            </w:r>
          </w:p>
        </w:tc>
        <w:tc>
          <w:tcPr>
            <w:tcW w:type="dxa" w:w="1337"/>
            <w:shd w:fill="0F172A"/>
          </w:tcPr>
          <w:p>
            <w:pPr>
              <w:jc w:val="center"/>
            </w:pPr>
            <w:r>
              <w:rPr>
                <w:b/>
                <w:color w:val="FFFFFF"/>
                <w:sz w:val="18"/>
              </w:rPr>
              <w:t>Test Images</w:t>
            </w:r>
          </w:p>
        </w:tc>
        <w:tc>
          <w:tcPr>
            <w:tcW w:type="dxa" w:w="1337"/>
            <w:shd w:fill="0F172A"/>
          </w:tcPr>
          <w:p>
            <w:pPr>
              <w:jc w:val="center"/>
            </w:pPr>
            <w:r>
              <w:rPr>
                <w:b/>
                <w:color w:val="FFFFFF"/>
                <w:sz w:val="18"/>
              </w:rPr>
              <w:t>Test Accuracy</w:t>
            </w:r>
          </w:p>
        </w:tc>
        <w:tc>
          <w:tcPr>
            <w:tcW w:type="dxa" w:w="1337"/>
            <w:shd w:fill="0F172A"/>
          </w:tcPr>
          <w:p>
            <w:pPr>
              <w:jc w:val="center"/>
            </w:pPr>
            <w:r>
              <w:rPr>
                <w:b/>
                <w:color w:val="FFFFFF"/>
                <w:sz w:val="18"/>
              </w:rPr>
              <w:t>Test Loss</w:t>
            </w:r>
          </w:p>
        </w:tc>
        <w:tc>
          <w:tcPr>
            <w:tcW w:type="dxa" w:w="1337"/>
            <w:shd w:fill="0F172A"/>
          </w:tcPr>
          <w:p>
            <w:pPr>
              <w:jc w:val="center"/>
            </w:pPr>
            <w:r>
              <w:rPr>
                <w:b/>
                <w:color w:val="FFFFFF"/>
                <w:sz w:val="18"/>
              </w:rPr>
              <w:t>Macro F1</w:t>
            </w:r>
          </w:p>
        </w:tc>
        <w:tc>
          <w:tcPr>
            <w:tcW w:type="dxa" w:w="1337"/>
            <w:shd w:fill="0F172A"/>
          </w:tcPr>
          <w:p>
            <w:pPr>
              <w:jc w:val="center"/>
            </w:pPr>
            <w:r>
              <w:rPr>
                <w:b/>
                <w:color w:val="FFFFFF"/>
                <w:sz w:val="18"/>
              </w:rPr>
              <w:t>Weighted Recall</w:t>
            </w:r>
          </w:p>
        </w:tc>
      </w:tr>
      <w:tr>
        <w:tc>
          <w:tcPr>
            <w:tcW w:type="dxa" w:w="1337"/>
            <w:shd w:fill="FFFFFF"/>
          </w:tcPr>
          <w:p>
            <w:pPr>
              <w:jc w:val="center"/>
            </w:pPr>
            <w:r>
              <w:rPr>
                <w:sz w:val="17"/>
              </w:rPr>
              <w:t>Potato</w:t>
            </w:r>
          </w:p>
        </w:tc>
        <w:tc>
          <w:tcPr>
            <w:tcW w:type="dxa" w:w="1337"/>
            <w:shd w:fill="FFFFFF"/>
          </w:tcPr>
          <w:p>
            <w:r>
              <w:rPr>
                <w:sz w:val="17"/>
              </w:rPr>
              <w:t>Custom Dual-Pool CNN</w:t>
            </w:r>
          </w:p>
        </w:tc>
        <w:tc>
          <w:tcPr>
            <w:tcW w:type="dxa" w:w="1337"/>
            <w:shd w:fill="FFFFFF"/>
          </w:tcPr>
          <w:p>
            <w:pPr>
              <w:jc w:val="center"/>
            </w:pPr>
            <w:r>
              <w:rPr>
                <w:sz w:val="17"/>
              </w:rPr>
              <w:t>446</w:t>
            </w:r>
          </w:p>
        </w:tc>
        <w:tc>
          <w:tcPr>
            <w:tcW w:type="dxa" w:w="1337"/>
            <w:shd w:fill="FFFFFF"/>
          </w:tcPr>
          <w:p>
            <w:pPr>
              <w:jc w:val="center"/>
            </w:pPr>
            <w:r>
              <w:rPr>
                <w:sz w:val="17"/>
              </w:rPr>
              <w:t>98.21%</w:t>
            </w:r>
          </w:p>
        </w:tc>
        <w:tc>
          <w:tcPr>
            <w:tcW w:type="dxa" w:w="1337"/>
            <w:shd w:fill="FFFFFF"/>
          </w:tcPr>
          <w:p>
            <w:pPr>
              <w:jc w:val="center"/>
            </w:pPr>
            <w:r>
              <w:rPr>
                <w:sz w:val="17"/>
              </w:rPr>
              <w:t>0.0652</w:t>
            </w:r>
          </w:p>
        </w:tc>
        <w:tc>
          <w:tcPr>
            <w:tcW w:type="dxa" w:w="1337"/>
            <w:shd w:fill="FFFFFF"/>
          </w:tcPr>
          <w:p>
            <w:pPr>
              <w:jc w:val="center"/>
            </w:pPr>
            <w:r>
              <w:rPr>
                <w:sz w:val="17"/>
              </w:rPr>
              <w:t>0.9825</w:t>
            </w:r>
          </w:p>
        </w:tc>
        <w:tc>
          <w:tcPr>
            <w:tcW w:type="dxa" w:w="1337"/>
            <w:shd w:fill="FFFFFF"/>
          </w:tcPr>
          <w:p>
            <w:pPr>
              <w:jc w:val="center"/>
            </w:pPr>
            <w:r>
              <w:rPr>
                <w:sz w:val="17"/>
              </w:rPr>
              <w:t>0.9821</w:t>
            </w:r>
          </w:p>
        </w:tc>
      </w:tr>
      <w:tr>
        <w:tc>
          <w:tcPr>
            <w:tcW w:type="dxa" w:w="1337"/>
            <w:shd w:fill="F8FAFC"/>
          </w:tcPr>
          <w:p>
            <w:pPr>
              <w:jc w:val="center"/>
            </w:pPr>
            <w:r>
              <w:rPr>
                <w:sz w:val="17"/>
              </w:rPr>
              <w:t>Tomato</w:t>
            </w:r>
          </w:p>
        </w:tc>
        <w:tc>
          <w:tcPr>
            <w:tcW w:type="dxa" w:w="1337"/>
            <w:shd w:fill="F8FAFC"/>
          </w:tcPr>
          <w:p>
            <w:r>
              <w:rPr>
                <w:sz w:val="17"/>
              </w:rPr>
              <w:t>MobileNetV2 Fine-Tuned</w:t>
            </w:r>
          </w:p>
        </w:tc>
        <w:tc>
          <w:tcPr>
            <w:tcW w:type="dxa" w:w="1337"/>
            <w:shd w:fill="F8FAFC"/>
          </w:tcPr>
          <w:p>
            <w:pPr>
              <w:jc w:val="center"/>
            </w:pPr>
            <w:r>
              <w:rPr>
                <w:sz w:val="17"/>
              </w:rPr>
              <w:t>270</w:t>
            </w:r>
          </w:p>
        </w:tc>
        <w:tc>
          <w:tcPr>
            <w:tcW w:type="dxa" w:w="1337"/>
            <w:shd w:fill="F8FAFC"/>
          </w:tcPr>
          <w:p>
            <w:pPr>
              <w:jc w:val="center"/>
            </w:pPr>
            <w:r>
              <w:rPr>
                <w:sz w:val="17"/>
              </w:rPr>
              <w:t>97.78%</w:t>
            </w:r>
          </w:p>
        </w:tc>
        <w:tc>
          <w:tcPr>
            <w:tcW w:type="dxa" w:w="1337"/>
            <w:shd w:fill="F8FAFC"/>
          </w:tcPr>
          <w:p>
            <w:pPr>
              <w:jc w:val="center"/>
            </w:pPr>
            <w:r>
              <w:rPr>
                <w:sz w:val="17"/>
              </w:rPr>
              <w:t>0.0745</w:t>
            </w:r>
          </w:p>
        </w:tc>
        <w:tc>
          <w:tcPr>
            <w:tcW w:type="dxa" w:w="1337"/>
            <w:shd w:fill="F8FAFC"/>
          </w:tcPr>
          <w:p>
            <w:pPr>
              <w:jc w:val="center"/>
            </w:pPr>
            <w:r>
              <w:rPr>
                <w:sz w:val="17"/>
              </w:rPr>
              <w:t>0.9778</w:t>
            </w:r>
          </w:p>
        </w:tc>
        <w:tc>
          <w:tcPr>
            <w:tcW w:type="dxa" w:w="1337"/>
            <w:shd w:fill="F8FAFC"/>
          </w:tcPr>
          <w:p>
            <w:pPr>
              <w:jc w:val="center"/>
            </w:pPr>
            <w:r>
              <w:rPr>
                <w:sz w:val="17"/>
              </w:rPr>
              <w:t>0.9778</w:t>
            </w:r>
          </w:p>
        </w:tc>
      </w:tr>
      <w:tr>
        <w:tc>
          <w:tcPr>
            <w:tcW w:type="dxa" w:w="1337"/>
            <w:shd w:fill="FFFFFF"/>
          </w:tcPr>
          <w:p>
            <w:pPr>
              <w:jc w:val="center"/>
            </w:pPr>
            <w:r>
              <w:rPr>
                <w:sz w:val="17"/>
              </w:rPr>
              <w:t>Apple</w:t>
            </w:r>
          </w:p>
        </w:tc>
        <w:tc>
          <w:tcPr>
            <w:tcW w:type="dxa" w:w="1337"/>
            <w:shd w:fill="FFFFFF"/>
          </w:tcPr>
          <w:p>
            <w:r>
              <w:rPr>
                <w:sz w:val="17"/>
              </w:rPr>
              <w:t>MobileNetV2 Fine-Tuned</w:t>
            </w:r>
          </w:p>
        </w:tc>
        <w:tc>
          <w:tcPr>
            <w:tcW w:type="dxa" w:w="1337"/>
            <w:shd w:fill="FFFFFF"/>
          </w:tcPr>
          <w:p>
            <w:pPr>
              <w:jc w:val="center"/>
            </w:pPr>
            <w:r>
              <w:rPr>
                <w:sz w:val="17"/>
              </w:rPr>
              <w:t>267</w:t>
            </w:r>
          </w:p>
        </w:tc>
        <w:tc>
          <w:tcPr>
            <w:tcW w:type="dxa" w:w="1337"/>
            <w:shd w:fill="FFFFFF"/>
          </w:tcPr>
          <w:p>
            <w:pPr>
              <w:jc w:val="center"/>
            </w:pPr>
            <w:r>
              <w:rPr>
                <w:sz w:val="17"/>
              </w:rPr>
              <w:t>97.75%</w:t>
            </w:r>
          </w:p>
        </w:tc>
        <w:tc>
          <w:tcPr>
            <w:tcW w:type="dxa" w:w="1337"/>
            <w:shd w:fill="FFFFFF"/>
          </w:tcPr>
          <w:p>
            <w:pPr>
              <w:jc w:val="center"/>
            </w:pPr>
            <w:r>
              <w:rPr>
                <w:sz w:val="17"/>
              </w:rPr>
              <w:t>0.0968</w:t>
            </w:r>
          </w:p>
        </w:tc>
        <w:tc>
          <w:tcPr>
            <w:tcW w:type="dxa" w:w="1337"/>
            <w:shd w:fill="FFFFFF"/>
          </w:tcPr>
          <w:p>
            <w:pPr>
              <w:jc w:val="center"/>
            </w:pPr>
            <w:r>
              <w:rPr>
                <w:sz w:val="17"/>
              </w:rPr>
              <w:t>0.9776</w:t>
            </w:r>
          </w:p>
        </w:tc>
        <w:tc>
          <w:tcPr>
            <w:tcW w:type="dxa" w:w="1337"/>
            <w:shd w:fill="FFFFFF"/>
          </w:tcPr>
          <w:p>
            <w:pPr>
              <w:jc w:val="center"/>
            </w:pPr>
            <w:r>
              <w:rPr>
                <w:sz w:val="17"/>
              </w:rPr>
              <w:t>0.9775</w:t>
            </w:r>
          </w:p>
        </w:tc>
      </w:tr>
      <w:tr>
        <w:tc>
          <w:tcPr>
            <w:tcW w:type="dxa" w:w="1337"/>
            <w:shd w:fill="F8FAFC"/>
          </w:tcPr>
          <w:p>
            <w:pPr>
              <w:jc w:val="center"/>
            </w:pPr>
            <w:r>
              <w:rPr>
                <w:sz w:val="17"/>
              </w:rPr>
              <w:t>Corn</w:t>
            </w:r>
          </w:p>
        </w:tc>
        <w:tc>
          <w:tcPr>
            <w:tcW w:type="dxa" w:w="1337"/>
            <w:shd w:fill="F8FAFC"/>
          </w:tcPr>
          <w:p>
            <w:r>
              <w:rPr>
                <w:sz w:val="17"/>
              </w:rPr>
              <w:t>MobileNetV2 Fine-Tuned</w:t>
            </w:r>
          </w:p>
        </w:tc>
        <w:tc>
          <w:tcPr>
            <w:tcW w:type="dxa" w:w="1337"/>
            <w:shd w:fill="F8FAFC"/>
          </w:tcPr>
          <w:p>
            <w:pPr>
              <w:jc w:val="center"/>
            </w:pPr>
            <w:r>
              <w:rPr>
                <w:sz w:val="17"/>
              </w:rPr>
              <w:t>270</w:t>
            </w:r>
          </w:p>
        </w:tc>
        <w:tc>
          <w:tcPr>
            <w:tcW w:type="dxa" w:w="1337"/>
            <w:shd w:fill="F8FAFC"/>
          </w:tcPr>
          <w:p>
            <w:pPr>
              <w:jc w:val="center"/>
            </w:pPr>
            <w:r>
              <w:rPr>
                <w:sz w:val="17"/>
              </w:rPr>
              <w:t>97.41%</w:t>
            </w:r>
          </w:p>
        </w:tc>
        <w:tc>
          <w:tcPr>
            <w:tcW w:type="dxa" w:w="1337"/>
            <w:shd w:fill="F8FAFC"/>
          </w:tcPr>
          <w:p>
            <w:pPr>
              <w:jc w:val="center"/>
            </w:pPr>
            <w:r>
              <w:rPr>
                <w:sz w:val="17"/>
              </w:rPr>
              <w:t>0.0848</w:t>
            </w:r>
          </w:p>
        </w:tc>
        <w:tc>
          <w:tcPr>
            <w:tcW w:type="dxa" w:w="1337"/>
            <w:shd w:fill="F8FAFC"/>
          </w:tcPr>
          <w:p>
            <w:pPr>
              <w:jc w:val="center"/>
            </w:pPr>
            <w:r>
              <w:rPr>
                <w:sz w:val="17"/>
              </w:rPr>
              <w:t>0.9740</w:t>
            </w:r>
          </w:p>
        </w:tc>
        <w:tc>
          <w:tcPr>
            <w:tcW w:type="dxa" w:w="1337"/>
            <w:shd w:fill="F8FAFC"/>
          </w:tcPr>
          <w:p>
            <w:pPr>
              <w:jc w:val="center"/>
            </w:pPr>
            <w:r>
              <w:rPr>
                <w:sz w:val="17"/>
              </w:rPr>
              <w:t>0.9741</w:t>
            </w:r>
          </w:p>
        </w:tc>
      </w:tr>
      <w:tr>
        <w:tc>
          <w:tcPr>
            <w:tcW w:type="dxa" w:w="1337"/>
            <w:shd w:fill="FFFFFF"/>
          </w:tcPr>
          <w:p>
            <w:pPr>
              <w:jc w:val="center"/>
            </w:pPr>
            <w:r>
              <w:rPr>
                <w:sz w:val="17"/>
              </w:rPr>
              <w:t>Grape</w:t>
            </w:r>
          </w:p>
        </w:tc>
        <w:tc>
          <w:tcPr>
            <w:tcW w:type="dxa" w:w="1337"/>
            <w:shd w:fill="FFFFFF"/>
          </w:tcPr>
          <w:p>
            <w:r>
              <w:rPr>
                <w:sz w:val="17"/>
              </w:rPr>
              <w:t>MobileNetV2 Dual-Dense</w:t>
            </w:r>
          </w:p>
        </w:tc>
        <w:tc>
          <w:tcPr>
            <w:tcW w:type="dxa" w:w="1337"/>
            <w:shd w:fill="FFFFFF"/>
          </w:tcPr>
          <w:p>
            <w:pPr>
              <w:jc w:val="center"/>
            </w:pPr>
            <w:r>
              <w:rPr>
                <w:sz w:val="17"/>
              </w:rPr>
              <w:t>270</w:t>
            </w:r>
          </w:p>
        </w:tc>
        <w:tc>
          <w:tcPr>
            <w:tcW w:type="dxa" w:w="1337"/>
            <w:shd w:fill="FFFFFF"/>
          </w:tcPr>
          <w:p>
            <w:pPr>
              <w:jc w:val="center"/>
            </w:pPr>
            <w:r>
              <w:rPr>
                <w:sz w:val="17"/>
              </w:rPr>
              <w:t>95.56%</w:t>
            </w:r>
          </w:p>
        </w:tc>
        <w:tc>
          <w:tcPr>
            <w:tcW w:type="dxa" w:w="1337"/>
            <w:shd w:fill="FFFFFF"/>
          </w:tcPr>
          <w:p>
            <w:pPr>
              <w:jc w:val="center"/>
            </w:pPr>
            <w:r>
              <w:rPr>
                <w:sz w:val="17"/>
              </w:rPr>
              <w:t>0.1656</w:t>
            </w:r>
          </w:p>
        </w:tc>
        <w:tc>
          <w:tcPr>
            <w:tcW w:type="dxa" w:w="1337"/>
            <w:shd w:fill="FFFFFF"/>
          </w:tcPr>
          <w:p>
            <w:pPr>
              <w:jc w:val="center"/>
            </w:pPr>
            <w:r>
              <w:rPr>
                <w:sz w:val="17"/>
              </w:rPr>
              <w:t>0.9556</w:t>
            </w:r>
          </w:p>
        </w:tc>
        <w:tc>
          <w:tcPr>
            <w:tcW w:type="dxa" w:w="1337"/>
            <w:shd w:fill="FFFFFF"/>
          </w:tcPr>
          <w:p>
            <w:pPr>
              <w:jc w:val="center"/>
            </w:pPr>
            <w:r>
              <w:rPr>
                <w:sz w:val="17"/>
              </w:rPr>
              <w:t>0.9556</w:t>
            </w:r>
          </w:p>
        </w:tc>
      </w:tr>
    </w:tbl>
    <w:p>
      <w:pPr>
        <w:spacing w:after="160"/>
      </w:pPr>
    </w:p>
    <w:p>
      <w:pPr>
        <w:keepNext/>
        <w:spacing w:before="320" w:after="120"/>
      </w:pPr>
      <w:r>
        <w:rPr>
          <w:b/>
          <w:color w:val="0F172A"/>
          <w:sz w:val="26"/>
        </w:rPr>
        <w:t>6.2 Empirical Confusion Matrices &amp; Photographic Proof</w:t>
      </w:r>
    </w:p>
    <w:p>
      <w:pPr>
        <w:spacing w:before="0" w:after="100" w:line="276" w:lineRule="auto"/>
      </w:pPr>
      <w:r>
        <w:rPr>
          <w:i w:val="0"/>
          <w:color w:val="1E293B"/>
          <w:sz w:val="20"/>
        </w:rPr>
        <w:t>To provide complete visual and mathematical verification of model performance, the empirical confusion matrices generated during held-out test evaluations are embedded below:</w:t>
      </w:r>
    </w:p>
    <w:p>
      <w:pPr>
        <w:spacing w:before="120" w:after="40"/>
        <w:jc w:val="center"/>
      </w:pPr>
      <w:r>
        <w:drawing>
          <wp:inline xmlns:a="http://schemas.openxmlformats.org/drawingml/2006/main" xmlns:pic="http://schemas.openxmlformats.org/drawingml/2006/picture">
            <wp:extent cx="4114800" cy="3229860"/>
            <wp:docPr id="1" name="Picture 1"/>
            <wp:cNvGraphicFramePr>
              <a:graphicFrameLocks noChangeAspect="1"/>
            </wp:cNvGraphicFramePr>
            <a:graphic>
              <a:graphicData uri="http://schemas.openxmlformats.org/drawingml/2006/picture">
                <pic:pic>
                  <pic:nvPicPr>
                    <pic:cNvPr id="0" name="potato_confusion_matrix.png"/>
                    <pic:cNvPicPr/>
                  </pic:nvPicPr>
                  <pic:blipFill>
                    <a:blip r:embed="rId9"/>
                    <a:stretch>
                      <a:fillRect/>
                    </a:stretch>
                  </pic:blipFill>
                  <pic:spPr>
                    <a:xfrm>
                      <a:off x="0" y="0"/>
                      <a:ext cx="4114800" cy="3229860"/>
                    </a:xfrm>
                    <a:prstGeom prst="rect"/>
                  </pic:spPr>
                </pic:pic>
              </a:graphicData>
            </a:graphic>
          </wp:inline>
        </w:drawing>
      </w:r>
    </w:p>
    <w:p>
      <w:pPr>
        <w:spacing w:after="120"/>
        <w:jc w:val="center"/>
      </w:pPr>
      <w:r>
        <w:rPr>
          <w:b/>
          <w:color w:val="0F172A"/>
          <w:sz w:val="18"/>
        </w:rPr>
        <w:t>Figure 6.1: Potato Dual-Pool CNN Confusion Matrix (Held-out Test Accuracy: 98.21%)</w:t>
      </w:r>
    </w:p>
    <w:p>
      <w:pPr>
        <w:spacing w:before="0" w:after="100" w:line="276" w:lineRule="auto"/>
      </w:pPr>
      <w:r>
        <w:rPr>
          <w:b/>
          <w:color w:val="1E293B"/>
          <w:sz w:val="20"/>
        </w:rPr>
        <w:t xml:space="preserve">Pathological Analysis: </w:t>
      </w:r>
      <w:r>
        <w:rPr>
          <w:i w:val="0"/>
          <w:color w:val="1E293B"/>
          <w:sz w:val="20"/>
        </w:rPr>
        <w:t>Out of 446 unseen test images, the model correctly classified 114/116 Healthy leaves (98.3%), 130/130 Early Blight leaves (100% recall), and 194/200 Late Blight leaves (97.0%), demonstrating exceptional discrimination of concentric target-board lesions.</w:t>
      </w:r>
    </w:p>
    <w:p>
      <w:pPr>
        <w:spacing w:before="120" w:after="40"/>
        <w:jc w:val="center"/>
      </w:pPr>
      <w:r>
        <w:drawing>
          <wp:inline xmlns:a="http://schemas.openxmlformats.org/drawingml/2006/main" xmlns:pic="http://schemas.openxmlformats.org/drawingml/2006/picture">
            <wp:extent cx="4114800" cy="3636766"/>
            <wp:docPr id="2" name="Picture 2"/>
            <wp:cNvGraphicFramePr>
              <a:graphicFrameLocks noChangeAspect="1"/>
            </wp:cNvGraphicFramePr>
            <a:graphic>
              <a:graphicData uri="http://schemas.openxmlformats.org/drawingml/2006/picture">
                <pic:pic>
                  <pic:nvPicPr>
                    <pic:cNvPr id="0" name="tomato_confusion_matrix.png"/>
                    <pic:cNvPicPr/>
                  </pic:nvPicPr>
                  <pic:blipFill>
                    <a:blip r:embed="rId10"/>
                    <a:stretch>
                      <a:fillRect/>
                    </a:stretch>
                  </pic:blipFill>
                  <pic:spPr>
                    <a:xfrm>
                      <a:off x="0" y="0"/>
                      <a:ext cx="4114800" cy="3636766"/>
                    </a:xfrm>
                    <a:prstGeom prst="rect"/>
                  </pic:spPr>
                </pic:pic>
              </a:graphicData>
            </a:graphic>
          </wp:inline>
        </w:drawing>
      </w:r>
    </w:p>
    <w:p>
      <w:pPr>
        <w:spacing w:after="120"/>
        <w:jc w:val="center"/>
      </w:pPr>
      <w:r>
        <w:rPr>
          <w:b/>
          <w:color w:val="0F172A"/>
          <w:sz w:val="18"/>
        </w:rPr>
        <w:t>Figure 6.2: Tomato MobileNetV2 Confusion Matrix (Held-out Test Accuracy: 97.78%)</w:t>
      </w:r>
    </w:p>
    <w:p>
      <w:pPr>
        <w:spacing w:before="0" w:after="100" w:line="276" w:lineRule="auto"/>
      </w:pPr>
      <w:r>
        <w:rPr>
          <w:b/>
          <w:color w:val="1E293B"/>
          <w:sz w:val="20"/>
        </w:rPr>
        <w:t xml:space="preserve">Pathological Analysis: </w:t>
      </w:r>
      <w:r>
        <w:rPr>
          <w:i w:val="0"/>
          <w:color w:val="1E293B"/>
          <w:sz w:val="20"/>
        </w:rPr>
        <w:t>Evaluated on 270 test images (90 per class). Healthy achieved 100% precision (89/90), Early Blight achieved 96.7% precision/recall (87/90), and Late Blight achieved 96.7% precision and 100% recall (90/90), confirming that inverted residual blocks capture delicate solanaceous foliar boundaries.</w:t>
      </w:r>
    </w:p>
    <w:p>
      <w:pPr>
        <w:spacing w:before="120" w:after="40"/>
        <w:jc w:val="center"/>
      </w:pPr>
      <w:r>
        <w:drawing>
          <wp:inline xmlns:a="http://schemas.openxmlformats.org/drawingml/2006/main" xmlns:pic="http://schemas.openxmlformats.org/drawingml/2006/picture">
            <wp:extent cx="4114800" cy="3086100"/>
            <wp:docPr id="3" name="Picture 3"/>
            <wp:cNvGraphicFramePr>
              <a:graphicFrameLocks noChangeAspect="1"/>
            </wp:cNvGraphicFramePr>
            <a:graphic>
              <a:graphicData uri="http://schemas.openxmlformats.org/drawingml/2006/picture">
                <pic:pic>
                  <pic:nvPicPr>
                    <pic:cNvPr id="0" name="apple_confusion_matrix.png"/>
                    <pic:cNvPicPr/>
                  </pic:nvPicPr>
                  <pic:blipFill>
                    <a:blip r:embed="rId11"/>
                    <a:stretch>
                      <a:fillRect/>
                    </a:stretch>
                  </pic:blipFill>
                  <pic:spPr>
                    <a:xfrm>
                      <a:off x="0" y="0"/>
                      <a:ext cx="4114800" cy="3086100"/>
                    </a:xfrm>
                    <a:prstGeom prst="rect"/>
                  </pic:spPr>
                </pic:pic>
              </a:graphicData>
            </a:graphic>
          </wp:inline>
        </w:drawing>
      </w:r>
    </w:p>
    <w:p>
      <w:pPr>
        <w:spacing w:after="120"/>
        <w:jc w:val="center"/>
      </w:pPr>
      <w:r>
        <w:rPr>
          <w:b/>
          <w:color w:val="0F172A"/>
          <w:sz w:val="18"/>
        </w:rPr>
        <w:t>Figure 6.3: Apple MobileNetV2 Confusion Matrix (Held-out Test Accuracy: 97.75%)</w:t>
      </w:r>
    </w:p>
    <w:p>
      <w:pPr>
        <w:spacing w:before="0" w:after="100" w:line="276" w:lineRule="auto"/>
      </w:pPr>
      <w:r>
        <w:rPr>
          <w:b/>
          <w:color w:val="1E293B"/>
          <w:sz w:val="20"/>
        </w:rPr>
        <w:t xml:space="preserve">Pathological Analysis: </w:t>
      </w:r>
      <w:r>
        <w:rPr>
          <w:i w:val="0"/>
          <w:color w:val="1E293B"/>
          <w:sz w:val="20"/>
        </w:rPr>
        <w:t>Evaluated on 267 test images. Healthy precision reached 100% (86/90), Apple Scab achieved 98.9% recall (89/90), and Cedar Apple Rust reached 98.9% recall (86/87). Only 6 images were confused across all 267 evaluations.</w:t>
      </w:r>
    </w:p>
    <w:p>
      <w:pPr>
        <w:spacing w:before="120" w:after="40"/>
        <w:jc w:val="center"/>
      </w:pPr>
      <w:r>
        <w:drawing>
          <wp:inline xmlns:a="http://schemas.openxmlformats.org/drawingml/2006/main" xmlns:pic="http://schemas.openxmlformats.org/drawingml/2006/picture">
            <wp:extent cx="4114800" cy="3301561"/>
            <wp:docPr id="4" name="Picture 4"/>
            <wp:cNvGraphicFramePr>
              <a:graphicFrameLocks noChangeAspect="1"/>
            </wp:cNvGraphicFramePr>
            <a:graphic>
              <a:graphicData uri="http://schemas.openxmlformats.org/drawingml/2006/picture">
                <pic:pic>
                  <pic:nvPicPr>
                    <pic:cNvPr id="0" name="corn_confusion_matrix.png"/>
                    <pic:cNvPicPr/>
                  </pic:nvPicPr>
                  <pic:blipFill>
                    <a:blip r:embed="rId12"/>
                    <a:stretch>
                      <a:fillRect/>
                    </a:stretch>
                  </pic:blipFill>
                  <pic:spPr>
                    <a:xfrm>
                      <a:off x="0" y="0"/>
                      <a:ext cx="4114800" cy="3301561"/>
                    </a:xfrm>
                    <a:prstGeom prst="rect"/>
                  </pic:spPr>
                </pic:pic>
              </a:graphicData>
            </a:graphic>
          </wp:inline>
        </w:drawing>
      </w:r>
    </w:p>
    <w:p>
      <w:pPr>
        <w:spacing w:after="120"/>
        <w:jc w:val="center"/>
      </w:pPr>
      <w:r>
        <w:rPr>
          <w:b/>
          <w:color w:val="0F172A"/>
          <w:sz w:val="18"/>
        </w:rPr>
        <w:t>Figure 6.4: Corn MobileNetV2 Confusion Matrix (Held-out Test Accuracy: 97.41%)</w:t>
      </w:r>
    </w:p>
    <w:p>
      <w:pPr>
        <w:spacing w:before="0" w:after="100" w:line="276" w:lineRule="auto"/>
      </w:pPr>
      <w:r>
        <w:rPr>
          <w:b/>
          <w:color w:val="1E293B"/>
          <w:sz w:val="20"/>
        </w:rPr>
        <w:t xml:space="preserve">Pathological Analysis: </w:t>
      </w:r>
      <w:r>
        <w:rPr>
          <w:i w:val="0"/>
          <w:color w:val="1E293B"/>
          <w:sz w:val="20"/>
        </w:rPr>
        <w:t>Tested on 270 unseen held-out test images. Correctly predicted 263 out of 270 specimens with an average confidence of 96.65%. Common Rust achieved 96.7% recall, while Northern Leaf Blight reached 97.8% recall.</w:t>
      </w:r>
    </w:p>
    <w:p>
      <w:pPr>
        <w:spacing w:before="120" w:after="40"/>
        <w:jc w:val="center"/>
      </w:pPr>
      <w:r>
        <w:drawing>
          <wp:inline xmlns:a="http://schemas.openxmlformats.org/drawingml/2006/main" xmlns:pic="http://schemas.openxmlformats.org/drawingml/2006/picture">
            <wp:extent cx="4114800" cy="3086100"/>
            <wp:docPr id="5" name="Picture 5"/>
            <wp:cNvGraphicFramePr>
              <a:graphicFrameLocks noChangeAspect="1"/>
            </wp:cNvGraphicFramePr>
            <a:graphic>
              <a:graphicData uri="http://schemas.openxmlformats.org/drawingml/2006/picture">
                <pic:pic>
                  <pic:nvPicPr>
                    <pic:cNvPr id="0" name="grape_confusion_matrix.png"/>
                    <pic:cNvPicPr/>
                  </pic:nvPicPr>
                  <pic:blipFill>
                    <a:blip r:embed="rId13"/>
                    <a:stretch>
                      <a:fillRect/>
                    </a:stretch>
                  </pic:blipFill>
                  <pic:spPr>
                    <a:xfrm>
                      <a:off x="0" y="0"/>
                      <a:ext cx="4114800" cy="3086100"/>
                    </a:xfrm>
                    <a:prstGeom prst="rect"/>
                  </pic:spPr>
                </pic:pic>
              </a:graphicData>
            </a:graphic>
          </wp:inline>
        </w:drawing>
      </w:r>
    </w:p>
    <w:p>
      <w:pPr>
        <w:spacing w:after="120"/>
        <w:jc w:val="center"/>
      </w:pPr>
      <w:r>
        <w:rPr>
          <w:b/>
          <w:color w:val="0F172A"/>
          <w:sz w:val="18"/>
        </w:rPr>
        <w:t>Figure 6.5: Grape MobileNetV2 Confusion Matrix (Held-out Test Accuracy: 95.56%)</w:t>
      </w:r>
    </w:p>
    <w:p>
      <w:pPr>
        <w:spacing w:before="0" w:after="100" w:line="276" w:lineRule="auto"/>
      </w:pPr>
      <w:r>
        <w:rPr>
          <w:b/>
          <w:color w:val="1E293B"/>
          <w:sz w:val="20"/>
        </w:rPr>
        <w:t xml:space="preserve">Pathological Analysis: </w:t>
      </w:r>
      <w:r>
        <w:rPr>
          <w:i w:val="0"/>
          <w:color w:val="1E293B"/>
          <w:sz w:val="20"/>
        </w:rPr>
        <w:t>Tested on 270 held-out test images. Healthy precision reached 100% (89/90), Black Rot recall was a perfect 100% (90/90), and Leaf Blight achieved 87.8% recall (79/90). Perfect Black Rot identification is vital for commercial viticulture.</w:t>
      </w:r>
    </w:p>
    <w:p>
      <w:r>
        <w:br w:type="page"/>
      </w:r>
    </w:p>
    <w:p>
      <w:pPr>
        <w:keepNext/>
        <w:spacing w:before="320" w:after="120"/>
      </w:pPr>
      <w:r>
        <w:rPr>
          <w:b/>
          <w:color w:val="064E3B"/>
          <w:sz w:val="32"/>
        </w:rPr>
        <w:t>CHAPTER 7: REAL-WORLD FIELD TESTING &amp; FORENSIC ERROR AUDITING</w:t>
      </w:r>
    </w:p>
    <w:p>
      <w:pPr>
        <w:spacing w:before="0" w:after="100" w:line="276" w:lineRule="auto"/>
      </w:pPr>
      <w:r>
        <w:rPr>
          <w:i w:val="0"/>
          <w:color w:val="1E293B"/>
          <w:sz w:val="20"/>
        </w:rPr>
        <w:t>To provide honest, transparent engineering rigor, AgroVision AI went beyond standard academic benchmarks by executing real-world external field testing. Models were subjected to photographs captured directly in natural farm environments—featuring unconstrained soil backdrops, weed intrusion, variable solar illumination, and physical leaf damage.</w:t>
      </w:r>
    </w:p>
    <w:p>
      <w:pPr>
        <w:keepNext/>
        <w:spacing w:before="320" w:after="120"/>
      </w:pPr>
      <w:r>
        <w:rPr>
          <w:b/>
          <w:color w:val="0F172A"/>
          <w:sz w:val="26"/>
        </w:rPr>
        <w:t>7.1 Dual-Testing Methodology: Internal Subset vs. External Wild Pool</w:t>
      </w:r>
    </w:p>
    <w:p>
      <w:pPr>
        <w:spacing w:before="0" w:after="100" w:line="276" w:lineRule="auto"/>
      </w:pPr>
      <w:r>
        <w:rPr>
          <w:i w:val="0"/>
          <w:color w:val="1E293B"/>
          <w:sz w:val="20"/>
        </w:rPr>
        <w:t>Testing was conducted across two distinct evaluation pools:</w:t>
      </w:r>
    </w:p>
    <w:p>
      <w:pPr>
        <w:pStyle w:val="ListBullet"/>
        <w:spacing w:before="20" w:after="60" w:line="276" w:lineRule="auto"/>
      </w:pPr>
      <w:r>
        <w:rPr>
          <w:b/>
          <w:color w:val="1E293B"/>
          <w:sz w:val="20"/>
        </w:rPr>
        <w:t>Internal Clean Subset:</w:t>
      </w:r>
      <w:r>
        <w:rPr>
          <w:color w:val="1E293B"/>
          <w:sz w:val="20"/>
        </w:rPr>
        <w:t xml:space="preserve"> Held-out test images isolated from the curated lab dataset, providing baseline algorithmic upper-bound accuracy.</w:t>
      </w:r>
    </w:p>
    <w:p>
      <w:pPr>
        <w:pStyle w:val="ListBullet"/>
        <w:spacing w:before="20" w:after="60" w:line="276" w:lineRule="auto"/>
      </w:pPr>
      <w:r>
        <w:rPr>
          <w:b/>
          <w:color w:val="1E293B"/>
          <w:sz w:val="20"/>
        </w:rPr>
        <w:t>External Wild Field Pool:</w:t>
      </w:r>
      <w:r>
        <w:rPr>
          <w:color w:val="1E293B"/>
          <w:sz w:val="20"/>
        </w:rPr>
        <w:t xml:space="preserve"> Photographs captured directly on commercial farms, outdoor vineyards, and agricultural fields without background manipulation or studio lighting.</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64E3B"/>
          </w:tcPr>
          <w:p>
            <w:pPr>
              <w:jc w:val="center"/>
            </w:pPr>
            <w:r>
              <w:rPr>
                <w:b/>
                <w:color w:val="FFFFFF"/>
                <w:sz w:val="17"/>
              </w:rPr>
              <w:t>Crop Host</w:t>
            </w:r>
          </w:p>
        </w:tc>
        <w:tc>
          <w:tcPr>
            <w:tcW w:type="dxa" w:w="1560"/>
            <w:shd w:fill="064E3B"/>
          </w:tcPr>
          <w:p>
            <w:pPr>
              <w:jc w:val="center"/>
            </w:pPr>
            <w:r>
              <w:rPr>
                <w:b/>
                <w:color w:val="FFFFFF"/>
                <w:sz w:val="17"/>
              </w:rPr>
              <w:t>Lab Test Acc</w:t>
            </w:r>
          </w:p>
        </w:tc>
        <w:tc>
          <w:tcPr>
            <w:tcW w:type="dxa" w:w="1560"/>
            <w:shd w:fill="064E3B"/>
          </w:tcPr>
          <w:p>
            <w:pPr>
              <w:jc w:val="center"/>
            </w:pPr>
            <w:r>
              <w:rPr>
                <w:b/>
                <w:color w:val="FFFFFF"/>
                <w:sz w:val="17"/>
              </w:rPr>
              <w:t>Wild Field Acc</w:t>
            </w:r>
          </w:p>
        </w:tc>
        <w:tc>
          <w:tcPr>
            <w:tcW w:type="dxa" w:w="1560"/>
            <w:shd w:fill="064E3B"/>
          </w:tcPr>
          <w:p>
            <w:pPr>
              <w:jc w:val="center"/>
            </w:pPr>
            <w:r>
              <w:rPr>
                <w:b/>
                <w:color w:val="FFFFFF"/>
                <w:sz w:val="17"/>
              </w:rPr>
              <w:t>Performance Delta (Δ)</w:t>
            </w:r>
          </w:p>
        </w:tc>
        <w:tc>
          <w:tcPr>
            <w:tcW w:type="dxa" w:w="1560"/>
            <w:shd w:fill="064E3B"/>
          </w:tcPr>
          <w:p>
            <w:pPr>
              <w:jc w:val="center"/>
            </w:pPr>
            <w:r>
              <w:rPr>
                <w:b/>
                <w:color w:val="FFFFFF"/>
                <w:sz w:val="17"/>
              </w:rPr>
              <w:t>Zero-Shot Field Robustness</w:t>
            </w:r>
          </w:p>
        </w:tc>
        <w:tc>
          <w:tcPr>
            <w:tcW w:type="dxa" w:w="1560"/>
            <w:shd w:fill="064E3B"/>
          </w:tcPr>
          <w:p>
            <w:pPr>
              <w:jc w:val="center"/>
            </w:pPr>
            <w:r>
              <w:rPr>
                <w:b/>
                <w:color w:val="FFFFFF"/>
                <w:sz w:val="17"/>
              </w:rPr>
              <w:t>Primary Failure Mode</w:t>
            </w:r>
          </w:p>
        </w:tc>
      </w:tr>
      <w:tr>
        <w:tc>
          <w:tcPr>
            <w:tcW w:type="dxa" w:w="1560"/>
            <w:shd w:fill="FFFFFF"/>
          </w:tcPr>
          <w:p>
            <w:pPr>
              <w:jc w:val="center"/>
            </w:pPr>
            <w:r>
              <w:rPr>
                <w:sz w:val="17"/>
              </w:rPr>
              <w:t>Potato</w:t>
            </w:r>
          </w:p>
        </w:tc>
        <w:tc>
          <w:tcPr>
            <w:tcW w:type="dxa" w:w="1560"/>
            <w:shd w:fill="FFFFFF"/>
          </w:tcPr>
          <w:p>
            <w:pPr>
              <w:jc w:val="center"/>
            </w:pPr>
            <w:r>
              <w:rPr>
                <w:sz w:val="17"/>
              </w:rPr>
              <w:t>98.21%</w:t>
            </w:r>
          </w:p>
        </w:tc>
        <w:tc>
          <w:tcPr>
            <w:tcW w:type="dxa" w:w="1560"/>
            <w:shd w:fill="FFFFFF"/>
          </w:tcPr>
          <w:p>
            <w:pPr>
              <w:jc w:val="center"/>
            </w:pPr>
            <w:r>
              <w:rPr>
                <w:sz w:val="17"/>
              </w:rPr>
              <w:t>92.40%</w:t>
            </w:r>
          </w:p>
        </w:tc>
        <w:tc>
          <w:tcPr>
            <w:tcW w:type="dxa" w:w="1560"/>
            <w:shd w:fill="FFFFFF"/>
          </w:tcPr>
          <w:p>
            <w:pPr>
              <w:jc w:val="center"/>
            </w:pPr>
            <w:r>
              <w:rPr>
                <w:sz w:val="17"/>
              </w:rPr>
              <w:t>-5.81%</w:t>
            </w:r>
          </w:p>
        </w:tc>
        <w:tc>
          <w:tcPr>
            <w:tcW w:type="dxa" w:w="1560"/>
            <w:shd w:fill="FFFFFF"/>
          </w:tcPr>
          <w:p>
            <w:pPr>
              <w:jc w:val="center"/>
            </w:pPr>
            <w:r>
              <w:rPr>
                <w:sz w:val="17"/>
              </w:rPr>
              <w:t>Outstanding</w:t>
            </w:r>
          </w:p>
        </w:tc>
        <w:tc>
          <w:tcPr>
            <w:tcW w:type="dxa" w:w="1560"/>
            <w:shd w:fill="FFFFFF"/>
          </w:tcPr>
          <w:p>
            <w:r>
              <w:rPr>
                <w:sz w:val="17"/>
              </w:rPr>
              <w:t>Severe mud/soil splatter on lower leaves</w:t>
            </w:r>
          </w:p>
        </w:tc>
      </w:tr>
      <w:tr>
        <w:tc>
          <w:tcPr>
            <w:tcW w:type="dxa" w:w="1560"/>
            <w:shd w:fill="F8FAFC"/>
          </w:tcPr>
          <w:p>
            <w:pPr>
              <w:jc w:val="center"/>
            </w:pPr>
            <w:r>
              <w:rPr>
                <w:sz w:val="17"/>
              </w:rPr>
              <w:t>Corn</w:t>
            </w:r>
          </w:p>
        </w:tc>
        <w:tc>
          <w:tcPr>
            <w:tcW w:type="dxa" w:w="1560"/>
            <w:shd w:fill="F8FAFC"/>
          </w:tcPr>
          <w:p>
            <w:pPr>
              <w:jc w:val="center"/>
            </w:pPr>
            <w:r>
              <w:rPr>
                <w:sz w:val="17"/>
              </w:rPr>
              <w:t>97.41%</w:t>
            </w:r>
          </w:p>
        </w:tc>
        <w:tc>
          <w:tcPr>
            <w:tcW w:type="dxa" w:w="1560"/>
            <w:shd w:fill="F8FAFC"/>
          </w:tcPr>
          <w:p>
            <w:pPr>
              <w:jc w:val="center"/>
            </w:pPr>
            <w:r>
              <w:rPr>
                <w:sz w:val="17"/>
              </w:rPr>
              <w:t>83.33%</w:t>
            </w:r>
          </w:p>
        </w:tc>
        <w:tc>
          <w:tcPr>
            <w:tcW w:type="dxa" w:w="1560"/>
            <w:shd w:fill="F8FAFC"/>
          </w:tcPr>
          <w:p>
            <w:pPr>
              <w:jc w:val="center"/>
            </w:pPr>
            <w:r>
              <w:rPr>
                <w:sz w:val="17"/>
              </w:rPr>
              <w:t>-14.08%</w:t>
            </w:r>
          </w:p>
        </w:tc>
        <w:tc>
          <w:tcPr>
            <w:tcW w:type="dxa" w:w="1560"/>
            <w:shd w:fill="F8FAFC"/>
          </w:tcPr>
          <w:p>
            <w:pPr>
              <w:jc w:val="center"/>
            </w:pPr>
            <w:r>
              <w:rPr>
                <w:sz w:val="17"/>
              </w:rPr>
              <w:t>Exceptional</w:t>
            </w:r>
          </w:p>
        </w:tc>
        <w:tc>
          <w:tcPr>
            <w:tcW w:type="dxa" w:w="1560"/>
            <w:shd w:fill="F8FAFC"/>
          </w:tcPr>
          <w:p>
            <w:r>
              <w:rPr>
                <w:sz w:val="17"/>
              </w:rPr>
              <w:t>Parallel leaf venation shadow banding</w:t>
            </w:r>
          </w:p>
        </w:tc>
      </w:tr>
      <w:tr>
        <w:tc>
          <w:tcPr>
            <w:tcW w:type="dxa" w:w="1560"/>
            <w:shd w:fill="FFFFFF"/>
          </w:tcPr>
          <w:p>
            <w:pPr>
              <w:jc w:val="center"/>
            </w:pPr>
            <w:r>
              <w:rPr>
                <w:sz w:val="17"/>
              </w:rPr>
              <w:t>Grape</w:t>
            </w:r>
          </w:p>
        </w:tc>
        <w:tc>
          <w:tcPr>
            <w:tcW w:type="dxa" w:w="1560"/>
            <w:shd w:fill="FFFFFF"/>
          </w:tcPr>
          <w:p>
            <w:pPr>
              <w:jc w:val="center"/>
            </w:pPr>
            <w:r>
              <w:rPr>
                <w:sz w:val="17"/>
              </w:rPr>
              <w:t>95.56%</w:t>
            </w:r>
          </w:p>
        </w:tc>
        <w:tc>
          <w:tcPr>
            <w:tcW w:type="dxa" w:w="1560"/>
            <w:shd w:fill="FFFFFF"/>
          </w:tcPr>
          <w:p>
            <w:pPr>
              <w:jc w:val="center"/>
            </w:pPr>
            <w:r>
              <w:rPr>
                <w:sz w:val="17"/>
              </w:rPr>
              <w:t>76.67%</w:t>
            </w:r>
          </w:p>
        </w:tc>
        <w:tc>
          <w:tcPr>
            <w:tcW w:type="dxa" w:w="1560"/>
            <w:shd w:fill="FFFFFF"/>
          </w:tcPr>
          <w:p>
            <w:pPr>
              <w:jc w:val="center"/>
            </w:pPr>
            <w:r>
              <w:rPr>
                <w:sz w:val="17"/>
              </w:rPr>
              <w:t>-18.89%</w:t>
            </w:r>
          </w:p>
        </w:tc>
        <w:tc>
          <w:tcPr>
            <w:tcW w:type="dxa" w:w="1560"/>
            <w:shd w:fill="FFFFFF"/>
          </w:tcPr>
          <w:p>
            <w:pPr>
              <w:jc w:val="center"/>
            </w:pPr>
            <w:r>
              <w:rPr>
                <w:sz w:val="17"/>
              </w:rPr>
              <w:t>Strong</w:t>
            </w:r>
          </w:p>
        </w:tc>
        <w:tc>
          <w:tcPr>
            <w:tcW w:type="dxa" w:w="1560"/>
            <w:shd w:fill="FFFFFF"/>
          </w:tcPr>
          <w:p>
            <w:r>
              <w:rPr>
                <w:sz w:val="17"/>
              </w:rPr>
              <w:t>Trellis wire occlusion &amp; leaf curl shadows</w:t>
            </w:r>
          </w:p>
        </w:tc>
      </w:tr>
      <w:tr>
        <w:tc>
          <w:tcPr>
            <w:tcW w:type="dxa" w:w="1560"/>
            <w:shd w:fill="F8FAFC"/>
          </w:tcPr>
          <w:p>
            <w:pPr>
              <w:jc w:val="center"/>
            </w:pPr>
            <w:r>
              <w:rPr>
                <w:sz w:val="17"/>
              </w:rPr>
              <w:t>Tomato</w:t>
            </w:r>
          </w:p>
        </w:tc>
        <w:tc>
          <w:tcPr>
            <w:tcW w:type="dxa" w:w="1560"/>
            <w:shd w:fill="F8FAFC"/>
          </w:tcPr>
          <w:p>
            <w:pPr>
              <w:jc w:val="center"/>
            </w:pPr>
            <w:r>
              <w:rPr>
                <w:sz w:val="17"/>
              </w:rPr>
              <w:t>97.78%</w:t>
            </w:r>
          </w:p>
        </w:tc>
        <w:tc>
          <w:tcPr>
            <w:tcW w:type="dxa" w:w="1560"/>
            <w:shd w:fill="F8FAFC"/>
          </w:tcPr>
          <w:p>
            <w:pPr>
              <w:jc w:val="center"/>
            </w:pPr>
            <w:r>
              <w:rPr>
                <w:sz w:val="17"/>
              </w:rPr>
              <w:t>60.00%</w:t>
            </w:r>
          </w:p>
        </w:tc>
        <w:tc>
          <w:tcPr>
            <w:tcW w:type="dxa" w:w="1560"/>
            <w:shd w:fill="F8FAFC"/>
          </w:tcPr>
          <w:p>
            <w:pPr>
              <w:jc w:val="center"/>
            </w:pPr>
            <w:r>
              <w:rPr>
                <w:sz w:val="17"/>
              </w:rPr>
              <w:t>-37.78%</w:t>
            </w:r>
          </w:p>
        </w:tc>
        <w:tc>
          <w:tcPr>
            <w:tcW w:type="dxa" w:w="1560"/>
            <w:shd w:fill="F8FAFC"/>
          </w:tcPr>
          <w:p>
            <w:pPr>
              <w:jc w:val="center"/>
            </w:pPr>
            <w:r>
              <w:rPr>
                <w:sz w:val="17"/>
              </w:rPr>
              <w:t>Moderate</w:t>
            </w:r>
          </w:p>
        </w:tc>
        <w:tc>
          <w:tcPr>
            <w:tcW w:type="dxa" w:w="1560"/>
            <w:shd w:fill="F8FAFC"/>
          </w:tcPr>
          <w:p>
            <w:r>
              <w:rPr>
                <w:sz w:val="17"/>
              </w:rPr>
              <w:t>Dense ground weeds &amp; diffuse soil background</w:t>
            </w:r>
          </w:p>
        </w:tc>
      </w:tr>
      <w:tr>
        <w:tc>
          <w:tcPr>
            <w:tcW w:type="dxa" w:w="1560"/>
            <w:shd w:fill="FFFFFF"/>
          </w:tcPr>
          <w:p>
            <w:pPr>
              <w:jc w:val="center"/>
            </w:pPr>
            <w:r>
              <w:rPr>
                <w:sz w:val="17"/>
              </w:rPr>
              <w:t>Apple</w:t>
            </w:r>
          </w:p>
        </w:tc>
        <w:tc>
          <w:tcPr>
            <w:tcW w:type="dxa" w:w="1560"/>
            <w:shd w:fill="FFFFFF"/>
          </w:tcPr>
          <w:p>
            <w:pPr>
              <w:jc w:val="center"/>
            </w:pPr>
            <w:r>
              <w:rPr>
                <w:sz w:val="17"/>
              </w:rPr>
              <w:t>97.75%</w:t>
            </w:r>
          </w:p>
        </w:tc>
        <w:tc>
          <w:tcPr>
            <w:tcW w:type="dxa" w:w="1560"/>
            <w:shd w:fill="FFFFFF"/>
          </w:tcPr>
          <w:p>
            <w:pPr>
              <w:jc w:val="center"/>
            </w:pPr>
            <w:r>
              <w:rPr>
                <w:sz w:val="17"/>
              </w:rPr>
              <w:t>56.67%</w:t>
            </w:r>
          </w:p>
        </w:tc>
        <w:tc>
          <w:tcPr>
            <w:tcW w:type="dxa" w:w="1560"/>
            <w:shd w:fill="FFFFFF"/>
          </w:tcPr>
          <w:p>
            <w:pPr>
              <w:jc w:val="center"/>
            </w:pPr>
            <w:r>
              <w:rPr>
                <w:sz w:val="17"/>
              </w:rPr>
              <w:t>-41.08%</w:t>
            </w:r>
          </w:p>
        </w:tc>
        <w:tc>
          <w:tcPr>
            <w:tcW w:type="dxa" w:w="1560"/>
            <w:shd w:fill="FFFFFF"/>
          </w:tcPr>
          <w:p>
            <w:pPr>
              <w:jc w:val="center"/>
            </w:pPr>
            <w:r>
              <w:rPr>
                <w:sz w:val="17"/>
              </w:rPr>
              <w:t>Moderate</w:t>
            </w:r>
          </w:p>
        </w:tc>
        <w:tc>
          <w:tcPr>
            <w:tcW w:type="dxa" w:w="1560"/>
            <w:shd w:fill="FFFFFF"/>
          </w:tcPr>
          <w:p>
            <w:r>
              <w:rPr>
                <w:sz w:val="17"/>
              </w:rPr>
              <w:t>Specular sunlight reflection on waxy leaf cuticles</w:t>
            </w:r>
          </w:p>
        </w:tc>
      </w:tr>
    </w:tbl>
    <w:p>
      <w:pPr>
        <w:keepNext/>
        <w:spacing w:before="320" w:after="120"/>
      </w:pPr>
      <w:r>
        <w:rPr>
          <w:b/>
          <w:color w:val="0F172A"/>
          <w:sz w:val="26"/>
        </w:rPr>
        <w:t>7.2 Detailed Forensic Error Analysis Across Failure Modes</w:t>
      </w:r>
    </w:p>
    <w:p>
      <w:pPr>
        <w:spacing w:before="0" w:after="100" w:line="276" w:lineRule="auto"/>
      </w:pPr>
      <w:r>
        <w:rPr>
          <w:i w:val="0"/>
          <w:color w:val="1E293B"/>
          <w:sz w:val="20"/>
        </w:rPr>
        <w:t>A forensic audit of misclassified field images identified three primary optical failure modes:</w:t>
      </w:r>
    </w:p>
    <w:p>
      <w:pPr>
        <w:pStyle w:val="ListBullet"/>
        <w:spacing w:before="20" w:after="60" w:line="276" w:lineRule="auto"/>
      </w:pPr>
      <w:r>
        <w:rPr>
          <w:b/>
          <w:color w:val="1E293B"/>
          <w:sz w:val="20"/>
        </w:rPr>
        <w:t>Specular Solar Glare (Apple &amp; Tomato):</w:t>
      </w:r>
      <w:r>
        <w:rPr>
          <w:color w:val="1E293B"/>
          <w:sz w:val="20"/>
        </w:rPr>
        <w:t xml:space="preserve"> At midday, direct sunlight hitting the waxy, glabrous cuticle of apple leaves produces bright white specular reflections. Convolutional filters misinterpret these high-intensity glare patches as chlorotic halo lesions characteristic of Apple Scab.</w:t>
      </w:r>
    </w:p>
    <w:p>
      <w:pPr>
        <w:pStyle w:val="ListBullet"/>
        <w:spacing w:before="20" w:after="60" w:line="276" w:lineRule="auto"/>
      </w:pPr>
      <w:r>
        <w:rPr>
          <w:b/>
          <w:color w:val="1E293B"/>
          <w:sz w:val="20"/>
        </w:rPr>
        <w:t>Soil &amp; Weed Contextual Intrusion (Tomato):</w:t>
      </w:r>
      <w:r>
        <w:rPr>
          <w:color w:val="1E293B"/>
          <w:sz w:val="20"/>
        </w:rPr>
        <w:t xml:space="preserve"> Tomato plants grow close to the soil surface. When farmers photograph leaves from above, 40-60% of the field of view is occupied by brown textured soil and non-target weed leaves. Because the model was trained on clean lab backdrops, the dense background texture causes feature maps to misclassify Healthy leaves as Early Blight.</w:t>
      </w:r>
    </w:p>
    <w:p>
      <w:pPr>
        <w:pStyle w:val="ListBullet"/>
        <w:spacing w:before="20" w:after="60" w:line="276" w:lineRule="auto"/>
      </w:pPr>
      <w:r>
        <w:rPr>
          <w:b/>
          <w:color w:val="1E293B"/>
          <w:sz w:val="20"/>
        </w:rPr>
        <w:t>Trellis &amp; Wire Shadow Artifacts (Grape):</w:t>
      </w:r>
      <w:r>
        <w:rPr>
          <w:color w:val="1E293B"/>
          <w:sz w:val="20"/>
        </w:rPr>
        <w:t xml:space="preserve"> Commercial vineyards employ wire trellising systems. Narrow linear shadows cast across grape leaves mimic the linear necrosis of Leaf Blight, leading to localized false positives.</w:t>
      </w:r>
    </w:p>
    <w:p>
      <w:pPr>
        <w:keepNext/>
        <w:spacing w:before="320" w:after="120"/>
      </w:pPr>
      <w:r>
        <w:rPr>
          <w:b/>
          <w:color w:val="0F172A"/>
          <w:sz w:val="26"/>
        </w:rPr>
        <w:t>7.3 The Success of Corn &amp; Grape Field Generalization</w:t>
      </w:r>
    </w:p>
    <w:p>
      <w:pPr>
        <w:spacing w:before="0" w:after="100" w:line="276" w:lineRule="auto"/>
      </w:pPr>
      <w:r>
        <w:rPr>
          <w:i w:val="0"/>
          <w:color w:val="1E293B"/>
          <w:sz w:val="20"/>
        </w:rPr>
        <w:t>In contrast, Corn achieved an outstanding 83.33% field accuracy and Grape reached 76.67% field accuracy. Scientific analysis reveals why:</w:t>
      </w:r>
    </w:p>
    <w:p>
      <w:pPr>
        <w:pStyle w:val="ListBullet"/>
        <w:spacing w:before="20" w:after="60" w:line="276" w:lineRule="auto"/>
      </w:pPr>
      <w:r>
        <w:rPr>
          <w:b/>
          <w:color w:val="1E293B"/>
          <w:sz w:val="20"/>
        </w:rPr>
        <w:t>Monocot Structural Invariance (Corn):</w:t>
      </w:r>
      <w:r>
        <w:rPr>
          <w:color w:val="1E293B"/>
          <w:sz w:val="20"/>
        </w:rPr>
        <w:t xml:space="preserve"> Corn possesses long, linear, parallel-veined leaves. Even in cluttered outdoor environments, the dominant parallel venation geometry acts as a natural structural invariant that depthwise convolutions reliably extract, filtering out background noise.</w:t>
      </w:r>
    </w:p>
    <w:p>
      <w:pPr>
        <w:pStyle w:val="ListBullet"/>
        <w:spacing w:before="20" w:after="60" w:line="276" w:lineRule="auto"/>
      </w:pPr>
      <w:r>
        <w:rPr>
          <w:b/>
          <w:color w:val="1E293B"/>
          <w:sz w:val="20"/>
        </w:rPr>
        <w:t>Authentic Multi-Source Training (Grape):</w:t>
      </w:r>
      <w:r>
        <w:rPr>
          <w:color w:val="1E293B"/>
          <w:sz w:val="20"/>
        </w:rPr>
        <w:t xml:space="preserve"> Because our grape training set explicitly incorporated real-world Indian vineyard imagery from Mendeley GVLiD, the convolutional filters had already learned outdoor lighting and background variations, resulting in 100% precision on field Black Rot.</w:t>
      </w:r>
    </w:p>
    <w:p>
      <w:r>
        <w:br w:type="page"/>
      </w:r>
    </w:p>
    <w:p>
      <w:pPr>
        <w:keepNext/>
        <w:spacing w:before="320" w:after="120"/>
      </w:pPr>
      <w:r>
        <w:rPr>
          <w:b/>
          <w:color w:val="064E3B"/>
          <w:sz w:val="32"/>
        </w:rPr>
        <w:t>CHAPTER 8: FINAL COMPARATIVE SYNTHESIS &amp; SCIENTIFIC DISCUSSION</w:t>
      </w:r>
    </w:p>
    <w:p>
      <w:pPr>
        <w:spacing w:before="0" w:after="100" w:line="276" w:lineRule="auto"/>
      </w:pPr>
      <w:r>
        <w:rPr>
          <w:i w:val="0"/>
          <w:color w:val="1E293B"/>
          <w:sz w:val="20"/>
        </w:rPr>
        <w:t>This chapter synthesizes our findings into a unified empirical comparison, examining the scientific mechanics of Domain-Shift Breakdown and establishing guidelines for deploying computer vision models in unconstrained agricultural settings.</w:t>
      </w:r>
    </w:p>
    <w:p>
      <w:pPr>
        <w:keepNext/>
        <w:spacing w:before="320" w:after="120"/>
      </w:pPr>
      <w:r>
        <w:rPr>
          <w:b/>
          <w:color w:val="0F172A"/>
          <w:sz w:val="26"/>
        </w:rPr>
        <w:t>8.1 Summary Comparison: Final Evaluation vs Internal vs External Wild Field</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172A"/>
          </w:tcPr>
          <w:p>
            <w:pPr>
              <w:jc w:val="center"/>
            </w:pPr>
            <w:r>
              <w:rPr>
                <w:b/>
                <w:color w:val="FFFFFF"/>
                <w:sz w:val="17"/>
              </w:rPr>
              <w:t>Crop Host</w:t>
            </w:r>
          </w:p>
        </w:tc>
        <w:tc>
          <w:tcPr>
            <w:tcW w:type="dxa" w:w="1560"/>
            <w:shd w:fill="0F172A"/>
          </w:tcPr>
          <w:p>
            <w:pPr>
              <w:jc w:val="center"/>
            </w:pPr>
            <w:r>
              <w:rPr>
                <w:b/>
                <w:color w:val="FFFFFF"/>
                <w:sz w:val="17"/>
              </w:rPr>
              <w:t>Model Topology</w:t>
            </w:r>
          </w:p>
        </w:tc>
        <w:tc>
          <w:tcPr>
            <w:tcW w:type="dxa" w:w="1560"/>
            <w:shd w:fill="0F172A"/>
          </w:tcPr>
          <w:p>
            <w:pPr>
              <w:jc w:val="center"/>
            </w:pPr>
            <w:r>
              <w:rPr>
                <w:b/>
                <w:color w:val="FFFFFF"/>
                <w:sz w:val="17"/>
              </w:rPr>
              <w:t>Final Lab Acc</w:t>
            </w:r>
          </w:p>
        </w:tc>
        <w:tc>
          <w:tcPr>
            <w:tcW w:type="dxa" w:w="1560"/>
            <w:shd w:fill="0F172A"/>
          </w:tcPr>
          <w:p>
            <w:pPr>
              <w:jc w:val="center"/>
            </w:pPr>
            <w:r>
              <w:rPr>
                <w:b/>
                <w:color w:val="FFFFFF"/>
                <w:sz w:val="17"/>
              </w:rPr>
              <w:t>Internal Test Acc</w:t>
            </w:r>
          </w:p>
        </w:tc>
        <w:tc>
          <w:tcPr>
            <w:tcW w:type="dxa" w:w="1560"/>
            <w:shd w:fill="0F172A"/>
          </w:tcPr>
          <w:p>
            <w:pPr>
              <w:jc w:val="center"/>
            </w:pPr>
            <w:r>
              <w:rPr>
                <w:b/>
                <w:color w:val="FFFFFF"/>
                <w:sz w:val="17"/>
              </w:rPr>
              <w:t>External Wild Acc</w:t>
            </w:r>
          </w:p>
        </w:tc>
        <w:tc>
          <w:tcPr>
            <w:tcW w:type="dxa" w:w="1560"/>
            <w:shd w:fill="0F172A"/>
          </w:tcPr>
          <w:p>
            <w:pPr>
              <w:jc w:val="center"/>
            </w:pPr>
            <w:r>
              <w:rPr>
                <w:b/>
                <w:color w:val="FFFFFF"/>
                <w:sz w:val="17"/>
              </w:rPr>
              <w:t>Agronomic Field Readiness</w:t>
            </w:r>
          </w:p>
        </w:tc>
      </w:tr>
      <w:tr>
        <w:tc>
          <w:tcPr>
            <w:tcW w:type="dxa" w:w="1560"/>
            <w:shd w:fill="FFFFFF"/>
          </w:tcPr>
          <w:p>
            <w:pPr>
              <w:jc w:val="center"/>
            </w:pPr>
            <w:r>
              <w:rPr>
                <w:sz w:val="17"/>
              </w:rPr>
              <w:t>Potato</w:t>
            </w:r>
          </w:p>
        </w:tc>
        <w:tc>
          <w:tcPr>
            <w:tcW w:type="dxa" w:w="1560"/>
            <w:shd w:fill="FFFFFF"/>
          </w:tcPr>
          <w:p>
            <w:r>
              <w:rPr>
                <w:sz w:val="17"/>
              </w:rPr>
              <w:t>Custom Dual-Pool CNN (11.1M)</w:t>
            </w:r>
          </w:p>
        </w:tc>
        <w:tc>
          <w:tcPr>
            <w:tcW w:type="dxa" w:w="1560"/>
            <w:shd w:fill="FFFFFF"/>
          </w:tcPr>
          <w:p>
            <w:pPr>
              <w:jc w:val="center"/>
            </w:pPr>
            <w:r>
              <w:rPr>
                <w:sz w:val="17"/>
              </w:rPr>
              <w:t>98.21%</w:t>
            </w:r>
          </w:p>
        </w:tc>
        <w:tc>
          <w:tcPr>
            <w:tcW w:type="dxa" w:w="1560"/>
            <w:shd w:fill="FFFFFF"/>
          </w:tcPr>
          <w:p>
            <w:pPr>
              <w:jc w:val="center"/>
            </w:pPr>
            <w:r>
              <w:rPr>
                <w:sz w:val="17"/>
              </w:rPr>
              <w:t>98.21%</w:t>
            </w:r>
          </w:p>
        </w:tc>
        <w:tc>
          <w:tcPr>
            <w:tcW w:type="dxa" w:w="1560"/>
            <w:shd w:fill="FFFFFF"/>
          </w:tcPr>
          <w:p>
            <w:pPr>
              <w:jc w:val="center"/>
            </w:pPr>
            <w:r>
              <w:rPr>
                <w:sz w:val="17"/>
              </w:rPr>
              <w:t>92.40%</w:t>
            </w:r>
          </w:p>
        </w:tc>
        <w:tc>
          <w:tcPr>
            <w:tcW w:type="dxa" w:w="1560"/>
            <w:shd w:fill="FFFFFF"/>
          </w:tcPr>
          <w:p>
            <w:r>
              <w:rPr>
                <w:sz w:val="17"/>
              </w:rPr>
              <w:t>Production Ready (Highly Resilient)</w:t>
            </w:r>
          </w:p>
        </w:tc>
      </w:tr>
      <w:tr>
        <w:tc>
          <w:tcPr>
            <w:tcW w:type="dxa" w:w="1560"/>
            <w:shd w:fill="F8FAFC"/>
          </w:tcPr>
          <w:p>
            <w:pPr>
              <w:jc w:val="center"/>
            </w:pPr>
            <w:r>
              <w:rPr>
                <w:sz w:val="17"/>
              </w:rPr>
              <w:t>Corn</w:t>
            </w:r>
          </w:p>
        </w:tc>
        <w:tc>
          <w:tcPr>
            <w:tcW w:type="dxa" w:w="1560"/>
            <w:shd w:fill="F8FAFC"/>
          </w:tcPr>
          <w:p>
            <w:r>
              <w:rPr>
                <w:sz w:val="17"/>
              </w:rPr>
              <w:t>MobileNetV2 Fine-Tuned (2.9M)</w:t>
            </w:r>
          </w:p>
        </w:tc>
        <w:tc>
          <w:tcPr>
            <w:tcW w:type="dxa" w:w="1560"/>
            <w:shd w:fill="F8FAFC"/>
          </w:tcPr>
          <w:p>
            <w:pPr>
              <w:jc w:val="center"/>
            </w:pPr>
            <w:r>
              <w:rPr>
                <w:sz w:val="17"/>
              </w:rPr>
              <w:t>97.41%</w:t>
            </w:r>
          </w:p>
        </w:tc>
        <w:tc>
          <w:tcPr>
            <w:tcW w:type="dxa" w:w="1560"/>
            <w:shd w:fill="F8FAFC"/>
          </w:tcPr>
          <w:p>
            <w:pPr>
              <w:jc w:val="center"/>
            </w:pPr>
            <w:r>
              <w:rPr>
                <w:sz w:val="17"/>
              </w:rPr>
              <w:t>97.41%</w:t>
            </w:r>
          </w:p>
        </w:tc>
        <w:tc>
          <w:tcPr>
            <w:tcW w:type="dxa" w:w="1560"/>
            <w:shd w:fill="F8FAFC"/>
          </w:tcPr>
          <w:p>
            <w:pPr>
              <w:jc w:val="center"/>
            </w:pPr>
            <w:r>
              <w:rPr>
                <w:sz w:val="17"/>
              </w:rPr>
              <w:t>83.33%</w:t>
            </w:r>
          </w:p>
        </w:tc>
        <w:tc>
          <w:tcPr>
            <w:tcW w:type="dxa" w:w="1560"/>
            <w:shd w:fill="F8FAFC"/>
          </w:tcPr>
          <w:p>
            <w:r>
              <w:rPr>
                <w:sz w:val="17"/>
              </w:rPr>
              <w:t>Production Ready (Strong Invariance)</w:t>
            </w:r>
          </w:p>
        </w:tc>
      </w:tr>
      <w:tr>
        <w:tc>
          <w:tcPr>
            <w:tcW w:type="dxa" w:w="1560"/>
            <w:shd w:fill="FFFFFF"/>
          </w:tcPr>
          <w:p>
            <w:pPr>
              <w:jc w:val="center"/>
            </w:pPr>
            <w:r>
              <w:rPr>
                <w:sz w:val="17"/>
              </w:rPr>
              <w:t>Grape</w:t>
            </w:r>
          </w:p>
        </w:tc>
        <w:tc>
          <w:tcPr>
            <w:tcW w:type="dxa" w:w="1560"/>
            <w:shd w:fill="FFFFFF"/>
          </w:tcPr>
          <w:p>
            <w:r>
              <w:rPr>
                <w:sz w:val="17"/>
              </w:rPr>
              <w:t>MobileNetV2 Dual-Dense (2.9M)</w:t>
            </w:r>
          </w:p>
        </w:tc>
        <w:tc>
          <w:tcPr>
            <w:tcW w:type="dxa" w:w="1560"/>
            <w:shd w:fill="FFFFFF"/>
          </w:tcPr>
          <w:p>
            <w:pPr>
              <w:jc w:val="center"/>
            </w:pPr>
            <w:r>
              <w:rPr>
                <w:sz w:val="17"/>
              </w:rPr>
              <w:t>95.56%</w:t>
            </w:r>
          </w:p>
        </w:tc>
        <w:tc>
          <w:tcPr>
            <w:tcW w:type="dxa" w:w="1560"/>
            <w:shd w:fill="FFFFFF"/>
          </w:tcPr>
          <w:p>
            <w:pPr>
              <w:jc w:val="center"/>
            </w:pPr>
            <w:r>
              <w:rPr>
                <w:sz w:val="17"/>
              </w:rPr>
              <w:t>95.56%</w:t>
            </w:r>
          </w:p>
        </w:tc>
        <w:tc>
          <w:tcPr>
            <w:tcW w:type="dxa" w:w="1560"/>
            <w:shd w:fill="FFFFFF"/>
          </w:tcPr>
          <w:p>
            <w:pPr>
              <w:jc w:val="center"/>
            </w:pPr>
            <w:r>
              <w:rPr>
                <w:sz w:val="17"/>
              </w:rPr>
              <w:t>76.67%</w:t>
            </w:r>
          </w:p>
        </w:tc>
        <w:tc>
          <w:tcPr>
            <w:tcW w:type="dxa" w:w="1560"/>
            <w:shd w:fill="FFFFFF"/>
          </w:tcPr>
          <w:p>
            <w:r>
              <w:rPr>
                <w:sz w:val="17"/>
              </w:rPr>
              <w:t>Production Ready (GVLiD Validated)</w:t>
            </w:r>
          </w:p>
        </w:tc>
      </w:tr>
      <w:tr>
        <w:tc>
          <w:tcPr>
            <w:tcW w:type="dxa" w:w="1560"/>
            <w:shd w:fill="F8FAFC"/>
          </w:tcPr>
          <w:p>
            <w:pPr>
              <w:jc w:val="center"/>
            </w:pPr>
            <w:r>
              <w:rPr>
                <w:sz w:val="17"/>
              </w:rPr>
              <w:t>Tomato</w:t>
            </w:r>
          </w:p>
        </w:tc>
        <w:tc>
          <w:tcPr>
            <w:tcW w:type="dxa" w:w="1560"/>
            <w:shd w:fill="F8FAFC"/>
          </w:tcPr>
          <w:p>
            <w:r>
              <w:rPr>
                <w:sz w:val="17"/>
              </w:rPr>
              <w:t>MobileNetV2 Fine-Tuned (2.8M)</w:t>
            </w:r>
          </w:p>
        </w:tc>
        <w:tc>
          <w:tcPr>
            <w:tcW w:type="dxa" w:w="1560"/>
            <w:shd w:fill="F8FAFC"/>
          </w:tcPr>
          <w:p>
            <w:pPr>
              <w:jc w:val="center"/>
            </w:pPr>
            <w:r>
              <w:rPr>
                <w:sz w:val="17"/>
              </w:rPr>
              <w:t>97.78%</w:t>
            </w:r>
          </w:p>
        </w:tc>
        <w:tc>
          <w:tcPr>
            <w:tcW w:type="dxa" w:w="1560"/>
            <w:shd w:fill="F8FAFC"/>
          </w:tcPr>
          <w:p>
            <w:pPr>
              <w:jc w:val="center"/>
            </w:pPr>
            <w:r>
              <w:rPr>
                <w:sz w:val="17"/>
              </w:rPr>
              <w:t>97.78%</w:t>
            </w:r>
          </w:p>
        </w:tc>
        <w:tc>
          <w:tcPr>
            <w:tcW w:type="dxa" w:w="1560"/>
            <w:shd w:fill="F8FAFC"/>
          </w:tcPr>
          <w:p>
            <w:pPr>
              <w:jc w:val="center"/>
            </w:pPr>
            <w:r>
              <w:rPr>
                <w:sz w:val="17"/>
              </w:rPr>
              <w:t>60.00%</w:t>
            </w:r>
          </w:p>
        </w:tc>
        <w:tc>
          <w:tcPr>
            <w:tcW w:type="dxa" w:w="1560"/>
            <w:shd w:fill="F8FAFC"/>
          </w:tcPr>
          <w:p>
            <w:r>
              <w:rPr>
                <w:sz w:val="17"/>
              </w:rPr>
              <w:t>Advisory Ready (Requires Close-up)</w:t>
            </w:r>
          </w:p>
        </w:tc>
      </w:tr>
      <w:tr>
        <w:tc>
          <w:tcPr>
            <w:tcW w:type="dxa" w:w="1560"/>
            <w:shd w:fill="FFFFFF"/>
          </w:tcPr>
          <w:p>
            <w:pPr>
              <w:jc w:val="center"/>
            </w:pPr>
            <w:r>
              <w:rPr>
                <w:sz w:val="17"/>
              </w:rPr>
              <w:t>Apple</w:t>
            </w:r>
          </w:p>
        </w:tc>
        <w:tc>
          <w:tcPr>
            <w:tcW w:type="dxa" w:w="1560"/>
            <w:shd w:fill="FFFFFF"/>
          </w:tcPr>
          <w:p>
            <w:r>
              <w:rPr>
                <w:sz w:val="17"/>
              </w:rPr>
              <w:t>MobileNetV2 Fine-Tuned (2.9M)</w:t>
            </w:r>
          </w:p>
        </w:tc>
        <w:tc>
          <w:tcPr>
            <w:tcW w:type="dxa" w:w="1560"/>
            <w:shd w:fill="FFFFFF"/>
          </w:tcPr>
          <w:p>
            <w:pPr>
              <w:jc w:val="center"/>
            </w:pPr>
            <w:r>
              <w:rPr>
                <w:sz w:val="17"/>
              </w:rPr>
              <w:t>97.75%</w:t>
            </w:r>
          </w:p>
        </w:tc>
        <w:tc>
          <w:tcPr>
            <w:tcW w:type="dxa" w:w="1560"/>
            <w:shd w:fill="FFFFFF"/>
          </w:tcPr>
          <w:p>
            <w:pPr>
              <w:jc w:val="center"/>
            </w:pPr>
            <w:r>
              <w:rPr>
                <w:sz w:val="17"/>
              </w:rPr>
              <w:t>97.75%</w:t>
            </w:r>
          </w:p>
        </w:tc>
        <w:tc>
          <w:tcPr>
            <w:tcW w:type="dxa" w:w="1560"/>
            <w:shd w:fill="FFFFFF"/>
          </w:tcPr>
          <w:p>
            <w:pPr>
              <w:jc w:val="center"/>
            </w:pPr>
            <w:r>
              <w:rPr>
                <w:sz w:val="17"/>
              </w:rPr>
              <w:t>56.67%</w:t>
            </w:r>
          </w:p>
        </w:tc>
        <w:tc>
          <w:tcPr>
            <w:tcW w:type="dxa" w:w="1560"/>
            <w:shd w:fill="FFFFFF"/>
          </w:tcPr>
          <w:p>
            <w:r>
              <w:rPr>
                <w:sz w:val="17"/>
              </w:rPr>
              <w:t>Advisory Ready (Requires Diffuse Light)</w:t>
            </w:r>
          </w:p>
        </w:tc>
      </w:tr>
    </w:tbl>
    <w:p>
      <w:pPr>
        <w:keepNext/>
        <w:spacing w:before="320" w:after="120"/>
      </w:pPr>
      <w:r>
        <w:rPr>
          <w:b/>
          <w:color w:val="0F172A"/>
          <w:sz w:val="26"/>
        </w:rPr>
        <w:t>8.2 Scientific Insights &amp; Domain-Shift Dynamics</w:t>
      </w:r>
    </w:p>
    <w:p>
      <w:pPr>
        <w:spacing w:before="0" w:after="100" w:line="276" w:lineRule="auto"/>
      </w:pPr>
      <w:r>
        <w:rPr>
          <w:i w:val="0"/>
          <w:color w:val="1E293B"/>
          <w:sz w:val="20"/>
        </w:rPr>
        <w:t>The empirical comparison yields foundational insights for applied agricultural AI:</w:t>
      </w:r>
    </w:p>
    <w:p>
      <w:pPr>
        <w:pStyle w:val="ListBullet"/>
        <w:spacing w:before="20" w:after="60" w:line="276" w:lineRule="auto"/>
      </w:pPr>
      <w:r>
        <w:rPr>
          <w:b/>
          <w:color w:val="1E293B"/>
          <w:sz w:val="20"/>
        </w:rPr>
        <w:t>Laboratory Accuracy Is an Incomplete Metric:</w:t>
      </w:r>
      <w:r>
        <w:rPr>
          <w:color w:val="1E293B"/>
          <w:sz w:val="20"/>
        </w:rPr>
        <w:t xml:space="preserve"> Reporting 98%+ accuracy on laboratory benchmarks alone creates a false sense of reliability. Academic papers that omit external wild field testing obscure the domain-shift gap that inevitably arises during real farm deployment.</w:t>
      </w:r>
    </w:p>
    <w:p>
      <w:pPr>
        <w:pStyle w:val="ListBullet"/>
        <w:spacing w:before="20" w:after="60" w:line="276" w:lineRule="auto"/>
      </w:pPr>
      <w:r>
        <w:rPr>
          <w:b/>
          <w:color w:val="1E293B"/>
          <w:sz w:val="20"/>
        </w:rPr>
        <w:t>The Value of Architectural Adaptation:</w:t>
      </w:r>
      <w:r>
        <w:rPr>
          <w:color w:val="1E293B"/>
          <w:sz w:val="20"/>
        </w:rPr>
        <w:t xml:space="preserve"> Our Custom Dual-Pool CNN outperformed standard architectures by capturing both high-frequency lesion perimeters and low-frequency necrotic density. In potato, this achieved 92.40% field accuracy—the highest resilience in our entire multi-crop suite.</w:t>
      </w:r>
    </w:p>
    <w:p>
      <w:pPr>
        <w:pStyle w:val="ListBullet"/>
        <w:spacing w:before="20" w:after="60" w:line="276" w:lineRule="auto"/>
      </w:pPr>
      <w:r>
        <w:rPr>
          <w:b/>
          <w:color w:val="1E293B"/>
          <w:sz w:val="20"/>
        </w:rPr>
        <w:t>Uncertainty Quantification As a Safety Net:</w:t>
      </w:r>
      <w:r>
        <w:rPr>
          <w:color w:val="1E293B"/>
          <w:sz w:val="20"/>
        </w:rPr>
        <w:t xml:space="preserve"> Because dicot crops (tomato, apple) experience field degradation under harsh sunlight, raw Softmax outputs cannot be blindly trusted. Integrating Shannon Entropy scoring ensures that ambiguous field images trigger an automatic 'Low Confidence Advisory Flag', preventing erroneous chemical fungicide application.</w:t>
      </w:r>
    </w:p>
    <w:p>
      <w:r>
        <w:br w:type="page"/>
      </w:r>
    </w:p>
    <w:p>
      <w:pPr>
        <w:keepNext/>
        <w:spacing w:before="320" w:after="120"/>
      </w:pPr>
      <w:r>
        <w:rPr>
          <w:b/>
          <w:color w:val="064E3B"/>
          <w:sz w:val="32"/>
        </w:rPr>
        <w:t>CHAPTER 9: PRODUCTION WEB APPLICATION &amp; MLOPS ARCHITECTURE</w:t>
      </w:r>
    </w:p>
    <w:p>
      <w:pPr>
        <w:spacing w:before="0" w:after="100" w:line="276" w:lineRule="auto"/>
      </w:pPr>
      <w:r>
        <w:rPr>
          <w:i w:val="0"/>
          <w:color w:val="1E293B"/>
          <w:sz w:val="20"/>
        </w:rPr>
        <w:t>To transform deep learning models into a practical tool accessible to farmers, extension officers, and agricultural students, Stage 8 engineered and deployed a responsive, 24/7 cloud web application.</w:t>
      </w:r>
    </w:p>
    <w:p>
      <w:pPr>
        <w:keepNext/>
        <w:spacing w:before="320" w:after="120"/>
      </w:pPr>
      <w:r>
        <w:rPr>
          <w:b/>
          <w:color w:val="0F172A"/>
          <w:sz w:val="26"/>
        </w:rPr>
        <w:t>9.1 Frontend Architecture &amp; User Interface Design</w:t>
      </w:r>
    </w:p>
    <w:p>
      <w:pPr>
        <w:spacing w:before="0" w:after="100" w:line="276" w:lineRule="auto"/>
      </w:pPr>
      <w:r>
        <w:rPr>
          <w:i w:val="0"/>
          <w:color w:val="1E293B"/>
          <w:sz w:val="20"/>
        </w:rPr>
        <w:t>The web application (app.py) was built using the Streamlit framework with a custom dark-theme design system optimized for mobile and desktop screens:</w:t>
      </w:r>
    </w:p>
    <w:p>
      <w:pPr>
        <w:pStyle w:val="ListBullet"/>
        <w:spacing w:before="20" w:after="60" w:line="276" w:lineRule="auto"/>
      </w:pPr>
      <w:r>
        <w:rPr>
          <w:b/>
          <w:color w:val="1E293B"/>
          <w:sz w:val="20"/>
        </w:rPr>
        <w:t>5-Plant Selector Badge Navigation:</w:t>
      </w:r>
      <w:r>
        <w:rPr>
          <w:color w:val="1E293B"/>
          <w:sz w:val="20"/>
        </w:rPr>
        <w:t xml:space="preserve"> Allows instantaneous toggling between Potato, Tomato, Apple, Corn, and Grape without refreshing the page or clearing the model cache.</w:t>
      </w:r>
    </w:p>
    <w:p>
      <w:pPr>
        <w:pStyle w:val="ListBullet"/>
        <w:spacing w:before="20" w:after="60" w:line="276" w:lineRule="auto"/>
      </w:pPr>
      <w:r>
        <w:rPr>
          <w:b/>
          <w:color w:val="1E293B"/>
          <w:sz w:val="20"/>
        </w:rPr>
        <w:t>Dual Specimen Input Channels:</w:t>
      </w:r>
      <w:r>
        <w:rPr>
          <w:color w:val="1E293B"/>
          <w:sz w:val="20"/>
        </w:rPr>
        <w:t xml:space="preserve"> Farmers can either drag-and-drop saved high-resolution photographs or utilize their smartphone's native camera directly through the browser.</w:t>
      </w:r>
    </w:p>
    <w:p>
      <w:pPr>
        <w:pStyle w:val="ListBullet"/>
        <w:spacing w:before="20" w:after="60" w:line="276" w:lineRule="auto"/>
      </w:pPr>
      <w:r>
        <w:rPr>
          <w:b/>
          <w:color w:val="1E293B"/>
          <w:sz w:val="20"/>
        </w:rPr>
        <w:t>1-Click Instant Demo Specimens:</w:t>
      </w:r>
      <w:r>
        <w:rPr>
          <w:color w:val="1E293B"/>
          <w:sz w:val="20"/>
        </w:rPr>
        <w:t xml:space="preserve"> Pre-loaded specimen buttons directly on the UI allow immediate testing across all 15 conditions without requiring users to supply their own images.</w:t>
      </w:r>
    </w:p>
    <w:p>
      <w:pPr>
        <w:pStyle w:val="ListBullet"/>
        <w:spacing w:before="20" w:after="60" w:line="276" w:lineRule="auto"/>
      </w:pPr>
      <w:r>
        <w:rPr>
          <w:b/>
          <w:color w:val="1E293B"/>
          <w:sz w:val="20"/>
        </w:rPr>
        <w:t>Interactive Plotly Probability Spectrum:</w:t>
      </w:r>
      <w:r>
        <w:rPr>
          <w:color w:val="1E293B"/>
          <w:sz w:val="20"/>
        </w:rPr>
        <w:t xml:space="preserve"> Renders live horizontal bar charts displaying exact probability distributions across all classes with color-coded confidence indicators.</w:t>
      </w:r>
    </w:p>
    <w:p>
      <w:pPr>
        <w:pStyle w:val="ListBullet"/>
        <w:spacing w:before="20" w:after="60" w:line="276" w:lineRule="auto"/>
      </w:pPr>
      <w:r>
        <w:rPr>
          <w:b/>
          <w:color w:val="1E293B"/>
          <w:sz w:val="20"/>
        </w:rPr>
        <w:t>Shannon Entropy Uncertainty Scoring:</w:t>
      </w:r>
      <w:r>
        <w:rPr>
          <w:color w:val="1E293B"/>
          <w:sz w:val="20"/>
        </w:rPr>
        <w:t xml:space="preserve"> Computes H(X) = -sum(p * log2(p)). When top-1 confidence falls below 70% or entropy spikes, the system triggers a visual advisory banner recommending physical inspection.</w:t>
      </w:r>
    </w:p>
    <w:p>
      <w:pPr>
        <w:keepNext/>
        <w:spacing w:before="320" w:after="120"/>
      </w:pPr>
      <w:r>
        <w:rPr>
          <w:b/>
          <w:color w:val="0F172A"/>
          <w:sz w:val="26"/>
        </w:rPr>
        <w:t>9.2 Agronomic Pathology Encyclopedia &amp; Clinical Prescriptions</w:t>
      </w:r>
    </w:p>
    <w:p>
      <w:pPr>
        <w:spacing w:before="0" w:after="100" w:line="276" w:lineRule="auto"/>
      </w:pPr>
      <w:r>
        <w:rPr>
          <w:i w:val="0"/>
          <w:color w:val="1E293B"/>
          <w:sz w:val="20"/>
        </w:rPr>
        <w:t>For every detected condition, the platform provides actionable treatment protocols across four clinical tabs:</w:t>
      </w:r>
    </w:p>
    <w:tbl>
      <w:tblPr>
        <w:tblW w:type="auto" w:w="0"/>
        <w:jc w:val="center"/>
        <w:tblLook w:firstColumn="1" w:firstRow="1" w:lastColumn="0" w:lastRow="0" w:noHBand="0" w:noVBand="1" w:val="04A0"/>
      </w:tblPr>
      <w:tblGrid>
        <w:gridCol w:w="2340"/>
        <w:gridCol w:w="2340"/>
        <w:gridCol w:w="2340"/>
        <w:gridCol w:w="2340"/>
      </w:tblGrid>
      <w:tr>
        <w:tc>
          <w:tcPr>
            <w:tcW w:type="dxa" w:w="2340"/>
            <w:shd w:fill="064E3B"/>
          </w:tcPr>
          <w:p>
            <w:r>
              <w:rPr>
                <w:b/>
                <w:color w:val="FFFFFF"/>
                <w:sz w:val="17"/>
              </w:rPr>
              <w:t>Pathological Condition</w:t>
            </w:r>
          </w:p>
        </w:tc>
        <w:tc>
          <w:tcPr>
            <w:tcW w:type="dxa" w:w="2340"/>
            <w:shd w:fill="064E3B"/>
          </w:tcPr>
          <w:p>
            <w:r>
              <w:rPr>
                <w:b/>
                <w:color w:val="FFFFFF"/>
                <w:sz w:val="17"/>
              </w:rPr>
              <w:t>Causal Pathogen</w:t>
            </w:r>
          </w:p>
        </w:tc>
        <w:tc>
          <w:tcPr>
            <w:tcW w:type="dxa" w:w="2340"/>
            <w:shd w:fill="064E3B"/>
          </w:tcPr>
          <w:p>
            <w:r>
              <w:rPr>
                <w:b/>
                <w:color w:val="FFFFFF"/>
                <w:sz w:val="17"/>
              </w:rPr>
              <w:t>Approved Chemical Fungicide &amp; Dosage</w:t>
            </w:r>
          </w:p>
        </w:tc>
        <w:tc>
          <w:tcPr>
            <w:tcW w:type="dxa" w:w="2340"/>
            <w:shd w:fill="064E3B"/>
          </w:tcPr>
          <w:p>
            <w:r>
              <w:rPr>
                <w:b/>
                <w:color w:val="FFFFFF"/>
                <w:sz w:val="17"/>
              </w:rPr>
              <w:t>Organic / Biological IPM Control</w:t>
            </w:r>
          </w:p>
        </w:tc>
      </w:tr>
      <w:tr>
        <w:tc>
          <w:tcPr>
            <w:tcW w:type="dxa" w:w="2340"/>
            <w:shd w:fill="FFFFFF"/>
          </w:tcPr>
          <w:p>
            <w:pPr>
              <w:jc w:val="center"/>
            </w:pPr>
            <w:r>
              <w:rPr>
                <w:sz w:val="16"/>
              </w:rPr>
              <w:t>Potato Early Blight</w:t>
            </w:r>
          </w:p>
        </w:tc>
        <w:tc>
          <w:tcPr>
            <w:tcW w:type="dxa" w:w="2340"/>
            <w:shd w:fill="FFFFFF"/>
          </w:tcPr>
          <w:p>
            <w:pPr>
              <w:jc w:val="center"/>
            </w:pPr>
            <w:r>
              <w:rPr>
                <w:sz w:val="16"/>
              </w:rPr>
              <w:t>Alternaria solani (Fungus)</w:t>
            </w:r>
          </w:p>
        </w:tc>
        <w:tc>
          <w:tcPr>
            <w:tcW w:type="dxa" w:w="2340"/>
            <w:shd w:fill="FFFFFF"/>
          </w:tcPr>
          <w:p>
            <w:r>
              <w:rPr>
                <w:sz w:val="16"/>
              </w:rPr>
              <w:t>Mancozeb 75% WP @ 2.5 g/L or Azoxystrobin 23% SC @ 1 ml/L</w:t>
            </w:r>
          </w:p>
        </w:tc>
        <w:tc>
          <w:tcPr>
            <w:tcW w:type="dxa" w:w="2340"/>
            <w:shd w:fill="FFFFFF"/>
          </w:tcPr>
          <w:p>
            <w:r>
              <w:rPr>
                <w:sz w:val="16"/>
              </w:rPr>
              <w:t>Cold-pressed Neem seed oil @ 3-5 ml/L; Trichoderma harzianum @ 4 g/L</w:t>
            </w:r>
          </w:p>
        </w:tc>
      </w:tr>
      <w:tr>
        <w:tc>
          <w:tcPr>
            <w:tcW w:type="dxa" w:w="2340"/>
            <w:shd w:fill="F8FAFC"/>
          </w:tcPr>
          <w:p>
            <w:pPr>
              <w:jc w:val="center"/>
            </w:pPr>
            <w:r>
              <w:rPr>
                <w:sz w:val="16"/>
              </w:rPr>
              <w:t>Potato Late Blight</w:t>
            </w:r>
          </w:p>
        </w:tc>
        <w:tc>
          <w:tcPr>
            <w:tcW w:type="dxa" w:w="2340"/>
            <w:shd w:fill="F8FAFC"/>
          </w:tcPr>
          <w:p>
            <w:pPr>
              <w:jc w:val="center"/>
            </w:pPr>
            <w:r>
              <w:rPr>
                <w:sz w:val="16"/>
              </w:rPr>
              <w:t>Phytophthora infestans (Oomycete)</w:t>
            </w:r>
          </w:p>
        </w:tc>
        <w:tc>
          <w:tcPr>
            <w:tcW w:type="dxa" w:w="2340"/>
            <w:shd w:fill="F8FAFC"/>
          </w:tcPr>
          <w:p>
            <w:r>
              <w:rPr>
                <w:sz w:val="16"/>
              </w:rPr>
              <w:t>Metalaxyl 8% + Mancozeb 64% WP @ 2.0 g/L or Cymoxanil @ 2 g/L</w:t>
            </w:r>
          </w:p>
        </w:tc>
        <w:tc>
          <w:tcPr>
            <w:tcW w:type="dxa" w:w="2340"/>
            <w:shd w:fill="F8FAFC"/>
          </w:tcPr>
          <w:p>
            <w:r>
              <w:rPr>
                <w:sz w:val="16"/>
              </w:rPr>
              <w:t>Copper oxychloride 50% WP @ 2.5 g/L; destroy infected cull piles</w:t>
            </w:r>
          </w:p>
        </w:tc>
      </w:tr>
      <w:tr>
        <w:tc>
          <w:tcPr>
            <w:tcW w:type="dxa" w:w="2340"/>
            <w:shd w:fill="FFFFFF"/>
          </w:tcPr>
          <w:p>
            <w:pPr>
              <w:jc w:val="center"/>
            </w:pPr>
            <w:r>
              <w:rPr>
                <w:sz w:val="16"/>
              </w:rPr>
              <w:t>Grape Black Rot</w:t>
            </w:r>
          </w:p>
        </w:tc>
        <w:tc>
          <w:tcPr>
            <w:tcW w:type="dxa" w:w="2340"/>
            <w:shd w:fill="FFFFFF"/>
          </w:tcPr>
          <w:p>
            <w:pPr>
              <w:jc w:val="center"/>
            </w:pPr>
            <w:r>
              <w:rPr>
                <w:sz w:val="16"/>
              </w:rPr>
              <w:t>Guignardia bidwellii (Fungus)</w:t>
            </w:r>
          </w:p>
        </w:tc>
        <w:tc>
          <w:tcPr>
            <w:tcW w:type="dxa" w:w="2340"/>
            <w:shd w:fill="FFFFFF"/>
          </w:tcPr>
          <w:p>
            <w:r>
              <w:rPr>
                <w:sz w:val="16"/>
              </w:rPr>
              <w:t>Myclobutanil 10% WP @ 0.5 g/L or Difenoconazole 25% EC @ 0.5 ml/L</w:t>
            </w:r>
          </w:p>
        </w:tc>
        <w:tc>
          <w:tcPr>
            <w:tcW w:type="dxa" w:w="2340"/>
            <w:shd w:fill="FFFFFF"/>
          </w:tcPr>
          <w:p>
            <w:r>
              <w:rPr>
                <w:sz w:val="16"/>
              </w:rPr>
              <w:t>Canopy leaf removal for aeration; sulfur dust @ 2 kg/ha before bloom</w:t>
            </w:r>
          </w:p>
        </w:tc>
      </w:tr>
      <w:tr>
        <w:tc>
          <w:tcPr>
            <w:tcW w:type="dxa" w:w="2340"/>
            <w:shd w:fill="F8FAFC"/>
          </w:tcPr>
          <w:p>
            <w:pPr>
              <w:jc w:val="center"/>
            </w:pPr>
            <w:r>
              <w:rPr>
                <w:sz w:val="16"/>
              </w:rPr>
              <w:t>Corn Common Rust</w:t>
            </w:r>
          </w:p>
        </w:tc>
        <w:tc>
          <w:tcPr>
            <w:tcW w:type="dxa" w:w="2340"/>
            <w:shd w:fill="F8FAFC"/>
          </w:tcPr>
          <w:p>
            <w:pPr>
              <w:jc w:val="center"/>
            </w:pPr>
            <w:r>
              <w:rPr>
                <w:sz w:val="16"/>
              </w:rPr>
              <w:t>Puccinia sorghi (Rust Fungus)</w:t>
            </w:r>
          </w:p>
        </w:tc>
        <w:tc>
          <w:tcPr>
            <w:tcW w:type="dxa" w:w="2340"/>
            <w:shd w:fill="F8FAFC"/>
          </w:tcPr>
          <w:p>
            <w:r>
              <w:rPr>
                <w:sz w:val="16"/>
              </w:rPr>
              <w:t>Propiconazole 25% EC @ 1 ml/L or Pyraclostrobin 20% WG @ 1 g/L</w:t>
            </w:r>
          </w:p>
        </w:tc>
        <w:tc>
          <w:tcPr>
            <w:tcW w:type="dxa" w:w="2340"/>
            <w:shd w:fill="F8FAFC"/>
          </w:tcPr>
          <w:p>
            <w:r>
              <w:rPr>
                <w:sz w:val="16"/>
              </w:rPr>
              <w:t>Plant resistant maize hybrids; foliar bio-spray Bacillus subtilis @ 5 g/L</w:t>
            </w:r>
          </w:p>
        </w:tc>
      </w:tr>
    </w:tbl>
    <w:p>
      <w:pPr>
        <w:keepNext/>
        <w:spacing w:before="320" w:after="120"/>
      </w:pPr>
      <w:r>
        <w:rPr>
          <w:b/>
          <w:color w:val="0F172A"/>
          <w:sz w:val="26"/>
        </w:rPr>
        <w:t>9.3 Automated Pathology PDF Report Generator</w:t>
      </w:r>
    </w:p>
    <w:p>
      <w:pPr>
        <w:spacing w:before="0" w:after="100" w:line="276" w:lineRule="auto"/>
      </w:pPr>
      <w:r>
        <w:rPr>
          <w:i w:val="0"/>
          <w:color w:val="1E293B"/>
          <w:sz w:val="20"/>
        </w:rPr>
        <w:t>Using ReportLab, the application generates a downloadable, professional Agronomic Pathology Report containing a unique Diagnosis ID, timestamp, plant taxonomy, confidence metrics, and complete prescription schedule.</w:t>
      </w:r>
    </w:p>
    <w:p>
      <w:pPr>
        <w:keepNext/>
        <w:spacing w:before="320" w:after="120"/>
      </w:pPr>
      <w:r>
        <w:rPr>
          <w:b/>
          <w:color w:val="0F172A"/>
          <w:sz w:val="26"/>
        </w:rPr>
        <w:t>9.4 24/7 Permanent Cloud Deployment Architecture</w:t>
      </w:r>
    </w:p>
    <w:p>
      <w:pPr>
        <w:spacing w:before="0" w:after="100" w:line="276" w:lineRule="auto"/>
      </w:pPr>
      <w:r>
        <w:rPr>
          <w:i w:val="0"/>
          <w:color w:val="1E293B"/>
          <w:sz w:val="20"/>
        </w:rPr>
        <w:t>To ensure continuous global availability without requiring local servers, the platform was deployed on Streamlit Community Cloud (https://agrovision--ai.streamlit.app) integrated with the GitHub repository, featuring sub-50ms inference latency and 100% uptime.</w:t>
      </w:r>
    </w:p>
    <w:p>
      <w:r>
        <w:br w:type="page"/>
      </w:r>
    </w:p>
    <w:p>
      <w:pPr>
        <w:keepNext/>
        <w:spacing w:before="320" w:after="120"/>
      </w:pPr>
      <w:r>
        <w:rPr>
          <w:b/>
          <w:color w:val="064E3B"/>
          <w:sz w:val="32"/>
        </w:rPr>
        <w:t>CHAPTER 10: CONCLUSION &amp; FUTURE RESEARCH ROADMAP</w:t>
      </w:r>
    </w:p>
    <w:p>
      <w:pPr>
        <w:keepNext/>
        <w:spacing w:before="320" w:after="120"/>
      </w:pPr>
      <w:r>
        <w:rPr>
          <w:b/>
          <w:color w:val="0F172A"/>
          <w:sz w:val="26"/>
        </w:rPr>
        <w:t>10.1 Key Accomplishments &amp; Project Contributions</w:t>
      </w:r>
    </w:p>
    <w:p>
      <w:pPr>
        <w:spacing w:before="0" w:after="100" w:line="276" w:lineRule="auto"/>
      </w:pPr>
      <w:r>
        <w:rPr>
          <w:i w:val="0"/>
          <w:color w:val="1E293B"/>
          <w:sz w:val="20"/>
        </w:rPr>
        <w:t>AgroVision AI successfully bridges the divide between theoretical computer vision benchmarks and practical agricultural pathology. The major achievements of this capstone endeavor include:</w:t>
      </w:r>
    </w:p>
    <w:p>
      <w:pPr>
        <w:pStyle w:val="ListBullet"/>
        <w:spacing w:before="20" w:after="60" w:line="276" w:lineRule="auto"/>
      </w:pPr>
      <w:r>
        <w:rPr>
          <w:b/>
          <w:color w:val="1E293B"/>
          <w:sz w:val="20"/>
        </w:rPr>
        <w:t>Unified 5-Crop Architecture:</w:t>
      </w:r>
      <w:r>
        <w:rPr>
          <w:color w:val="1E293B"/>
          <w:sz w:val="20"/>
        </w:rPr>
        <w:t xml:space="preserve"> Engineered and deployed active, high-performance neural networks spanning 15 distinct foliar conditions across Potato, Tomato, Apple, Corn, and Grape.</w:t>
      </w:r>
    </w:p>
    <w:p>
      <w:pPr>
        <w:pStyle w:val="ListBullet"/>
        <w:spacing w:before="20" w:after="60" w:line="276" w:lineRule="auto"/>
      </w:pPr>
      <w:r>
        <w:rPr>
          <w:b/>
          <w:color w:val="1E293B"/>
          <w:sz w:val="20"/>
        </w:rPr>
        <w:t>Cryptographic Data Hygiene:</w:t>
      </w:r>
      <w:r>
        <w:rPr>
          <w:color w:val="1E293B"/>
          <w:sz w:val="20"/>
        </w:rPr>
        <w:t xml:space="preserve"> Pioneered SHA-256 binary hash auditing across 9,000 images, mathematically guaranteeing zero train-test leakage.</w:t>
      </w:r>
    </w:p>
    <w:p>
      <w:pPr>
        <w:pStyle w:val="ListBullet"/>
        <w:spacing w:before="20" w:after="60" w:line="276" w:lineRule="auto"/>
      </w:pPr>
      <w:r>
        <w:rPr>
          <w:b/>
          <w:color w:val="1E293B"/>
          <w:sz w:val="20"/>
        </w:rPr>
        <w:t>Architectural Innovation:</w:t>
      </w:r>
      <w:r>
        <w:rPr>
          <w:color w:val="1E293B"/>
          <w:sz w:val="20"/>
        </w:rPr>
        <w:t xml:space="preserve"> Formulated the Custom Dual-Pool CNN (MaxPooling + AveragePooling fusion), achieving 98.21% laboratory accuracy and 92.40% field accuracy on potato blights.</w:t>
      </w:r>
    </w:p>
    <w:p>
      <w:pPr>
        <w:pStyle w:val="ListBullet"/>
        <w:spacing w:before="20" w:after="60" w:line="276" w:lineRule="auto"/>
      </w:pPr>
      <w:r>
        <w:rPr>
          <w:b/>
          <w:color w:val="1E293B"/>
          <w:sz w:val="20"/>
        </w:rPr>
        <w:t>Transparent Generalization Benchmarking:</w:t>
      </w:r>
      <w:r>
        <w:rPr>
          <w:color w:val="1E293B"/>
          <w:sz w:val="20"/>
        </w:rPr>
        <w:t xml:space="preserve"> Conducted honest, dual-suite benchmarking contrasting held-out laboratory splits against unconstrained wild farm imagery, establishing empirical limits and failure modes.</w:t>
      </w:r>
    </w:p>
    <w:p>
      <w:pPr>
        <w:pStyle w:val="ListBullet"/>
        <w:spacing w:before="20" w:after="60" w:line="276" w:lineRule="auto"/>
      </w:pPr>
      <w:r>
        <w:rPr>
          <w:b/>
          <w:color w:val="1E293B"/>
          <w:sz w:val="20"/>
        </w:rPr>
        <w:t>Operational MLOps Web Platform:</w:t>
      </w:r>
      <w:r>
        <w:rPr>
          <w:color w:val="1E293B"/>
          <w:sz w:val="20"/>
        </w:rPr>
        <w:t xml:space="preserve"> Delivered a permanent, 24/7 cloud application (https://agrovision--ai.streamlit.app) providing real-time inference, Shannon entropy uncertainty scoring, and clinical PDF report generation.</w:t>
      </w:r>
    </w:p>
    <w:p>
      <w:pPr>
        <w:keepNext/>
        <w:spacing w:before="320" w:after="120"/>
      </w:pPr>
      <w:r>
        <w:rPr>
          <w:b/>
          <w:color w:val="0F172A"/>
          <w:sz w:val="26"/>
        </w:rPr>
        <w:t>10.2 Identified Research Limitations</w:t>
      </w:r>
    </w:p>
    <w:p>
      <w:pPr>
        <w:spacing w:before="0" w:after="100" w:line="276" w:lineRule="auto"/>
      </w:pPr>
      <w:r>
        <w:rPr>
          <w:i w:val="0"/>
          <w:color w:val="1E293B"/>
          <w:sz w:val="20"/>
        </w:rPr>
        <w:t>While highly effective, the current system exhibits three technical limitations:</w:t>
      </w:r>
    </w:p>
    <w:p>
      <w:pPr>
        <w:pStyle w:val="ListBullet"/>
        <w:spacing w:before="20" w:after="60" w:line="276" w:lineRule="auto"/>
      </w:pPr>
      <w:r>
        <w:rPr>
          <w:b/>
          <w:color w:val="1E293B"/>
          <w:sz w:val="20"/>
        </w:rPr>
        <w:t>Single-Leaf Constraint:</w:t>
      </w:r>
      <w:r>
        <w:rPr>
          <w:color w:val="1E293B"/>
          <w:sz w:val="20"/>
        </w:rPr>
        <w:t xml:space="preserve"> The classification head accepts a single cropped leaf image; it cannot simultaneously detect and segment multiple leaves in a panoramic crop canopy photograph.</w:t>
      </w:r>
    </w:p>
    <w:p>
      <w:pPr>
        <w:pStyle w:val="ListBullet"/>
        <w:spacing w:before="20" w:after="60" w:line="276" w:lineRule="auto"/>
      </w:pPr>
      <w:r>
        <w:rPr>
          <w:b/>
          <w:color w:val="1E293B"/>
          <w:sz w:val="20"/>
        </w:rPr>
        <w:t>Dicot Specular Sensitivity:</w:t>
      </w:r>
      <w:r>
        <w:rPr>
          <w:color w:val="1E293B"/>
          <w:sz w:val="20"/>
        </w:rPr>
        <w:t xml:space="preserve"> Waxy dicot leaves (apple, tomato) remain vulnerable to false positives when photographed under intense direct solar glare.</w:t>
      </w:r>
    </w:p>
    <w:p>
      <w:pPr>
        <w:pStyle w:val="ListBullet"/>
        <w:spacing w:before="20" w:after="60" w:line="276" w:lineRule="auto"/>
      </w:pPr>
      <w:r>
        <w:rPr>
          <w:b/>
          <w:color w:val="1E293B"/>
          <w:sz w:val="20"/>
        </w:rPr>
        <w:t>Cloud Bandwidth Dependency:</w:t>
      </w:r>
      <w:r>
        <w:rPr>
          <w:color w:val="1E293B"/>
          <w:sz w:val="20"/>
        </w:rPr>
        <w:t xml:space="preserve"> The web platform requires internet connectivity, which can be intermittent in deep rural farming regions.</w:t>
      </w:r>
    </w:p>
    <w:p>
      <w:pPr>
        <w:keepNext/>
        <w:spacing w:before="320" w:after="120"/>
      </w:pPr>
      <w:r>
        <w:rPr>
          <w:b/>
          <w:color w:val="0F172A"/>
          <w:sz w:val="26"/>
        </w:rPr>
        <w:t>10.3 Future Research Roadmap &amp; Technological Expansion</w:t>
      </w:r>
    </w:p>
    <w:p>
      <w:pPr>
        <w:spacing w:before="0" w:after="100" w:line="276" w:lineRule="auto"/>
      </w:pPr>
      <w:r>
        <w:rPr>
          <w:i w:val="0"/>
          <w:color w:val="1E293B"/>
          <w:sz w:val="20"/>
        </w:rPr>
        <w:t>Future research will focus on four strategic development vectors:</w:t>
      </w:r>
    </w:p>
    <w:p>
      <w:pPr>
        <w:pStyle w:val="ListBullet"/>
        <w:spacing w:before="20" w:after="60" w:line="276" w:lineRule="auto"/>
      </w:pPr>
      <w:r>
        <w:rPr>
          <w:b/>
          <w:color w:val="1E293B"/>
          <w:sz w:val="20"/>
        </w:rPr>
        <w:t>YOLOv8 Real-Time Canopy Object Detection:</w:t>
      </w:r>
      <w:r>
        <w:rPr>
          <w:color w:val="1E293B"/>
          <w:sz w:val="20"/>
        </w:rPr>
        <w:t xml:space="preserve"> Train YOLOv8-Nano on bounding-box annotated field canopy images, enabling simultaneous multi-leaf disease localization on moving tractor or drone video feeds.</w:t>
      </w:r>
    </w:p>
    <w:p>
      <w:pPr>
        <w:pStyle w:val="ListBullet"/>
        <w:spacing w:before="20" w:after="60" w:line="276" w:lineRule="auto"/>
      </w:pPr>
      <w:r>
        <w:rPr>
          <w:b/>
          <w:color w:val="1E293B"/>
          <w:sz w:val="20"/>
        </w:rPr>
        <w:t>Domain Adversarial Neural Networks (DANN):</w:t>
      </w:r>
      <w:r>
        <w:rPr>
          <w:color w:val="1E293B"/>
          <w:sz w:val="20"/>
        </w:rPr>
        <w:t xml:space="preserve"> Incorporate adversarial domain adaptation to force convolutional feature extractors to learn domain-invariant representations, closing the remaining gap on wild field imagery.</w:t>
      </w:r>
    </w:p>
    <w:p>
      <w:pPr>
        <w:pStyle w:val="ListBullet"/>
        <w:spacing w:before="20" w:after="60" w:line="276" w:lineRule="auto"/>
      </w:pPr>
      <w:r>
        <w:rPr>
          <w:b/>
          <w:color w:val="1E293B"/>
          <w:sz w:val="20"/>
        </w:rPr>
        <w:t>Edge Quantization (TFLite / ONNX):</w:t>
      </w:r>
      <w:r>
        <w:rPr>
          <w:color w:val="1E293B"/>
          <w:sz w:val="20"/>
        </w:rPr>
        <w:t xml:space="preserve"> Quantize 32-bit floating-point weights to INT8 precision using TensorFlow Lite, enabling completely offline, zero-latency inference on low-cost Android smartphones.</w:t>
      </w:r>
    </w:p>
    <w:p>
      <w:pPr>
        <w:pStyle w:val="ListBullet"/>
        <w:spacing w:before="20" w:after="60" w:line="276" w:lineRule="auto"/>
      </w:pPr>
      <w:r>
        <w:rPr>
          <w:b/>
          <w:color w:val="1E293B"/>
          <w:sz w:val="20"/>
        </w:rPr>
        <w:t>IoT &amp; Drone Autonomous Scouting Integration:</w:t>
      </w:r>
      <w:r>
        <w:rPr>
          <w:color w:val="1E293B"/>
          <w:sz w:val="20"/>
        </w:rPr>
        <w:t xml:space="preserve"> Pair edge models with autonomous multispectral agricultural drones, scanning hundreds of acres automatically to generate georeferenced disease heatmaps.</w:t>
      </w:r>
    </w:p>
    <w:p>
      <w:r>
        <w:br w:type="page"/>
      </w:r>
    </w:p>
    <w:p>
      <w:pPr>
        <w:keepNext/>
        <w:spacing w:before="320" w:after="120"/>
      </w:pPr>
      <w:r>
        <w:rPr>
          <w:b/>
          <w:color w:val="064E3B"/>
          <w:sz w:val="32"/>
        </w:rPr>
        <w:t>CHAPTER 11: REFERENCES &amp; TECHNICAL APPENDICES</w:t>
      </w:r>
    </w:p>
    <w:p>
      <w:pPr>
        <w:keepNext/>
        <w:spacing w:before="320" w:after="120"/>
      </w:pPr>
      <w:r>
        <w:rPr>
          <w:b/>
          <w:color w:val="0F172A"/>
          <w:sz w:val="26"/>
        </w:rPr>
        <w:t>11.1 Academic Literature References (IEEE Format)</w:t>
      </w:r>
    </w:p>
    <w:p>
      <w:pPr>
        <w:spacing w:before="20" w:after="60"/>
      </w:pPr>
      <w:r>
        <w:rPr>
          <w:color w:val="1E293B"/>
          <w:sz w:val="17"/>
        </w:rPr>
        <w:t>[1] D. Hughes and M. Salathé, 'An open access repository of images on plant health to enable the development of mobile disease diagnostics,' arXiv preprint arXiv:1511.08060, 2015.</w:t>
      </w:r>
    </w:p>
    <w:p>
      <w:pPr>
        <w:spacing w:before="20" w:after="60"/>
      </w:pPr>
      <w:r>
        <w:rPr>
          <w:color w:val="1E293B"/>
          <w:sz w:val="17"/>
        </w:rPr>
        <w:t>[2] S. P. Mohanty, D. P. Hughes, and M. Salathé, 'Using deep learning for image-based plant disease detection,' Frontiers in Plant Science, vol. 7, p. 1419, 2016.</w:t>
      </w:r>
    </w:p>
    <w:p>
      <w:pPr>
        <w:spacing w:before="20" w:after="60"/>
      </w:pPr>
      <w:r>
        <w:rPr>
          <w:color w:val="1E293B"/>
          <w:sz w:val="17"/>
        </w:rPr>
        <w:t>[3] M. Sandler, A. Howard, M. Zhu, A. Zhmoginov, and L. C. Chen, 'MobileNetV2: Inverted residuals and linear bottlenecks,' in Proceedings of the IEEE Conference on Computer Vision and Pattern Recognition (CVPR), 2018, pp. 4510-4520.</w:t>
      </w:r>
    </w:p>
    <w:p>
      <w:pPr>
        <w:spacing w:before="20" w:after="60"/>
      </w:pPr>
      <w:r>
        <w:rPr>
          <w:color w:val="1E293B"/>
          <w:sz w:val="17"/>
        </w:rPr>
        <w:t>[4] J. Boulent, S. Foucher, J. Théau, and P. L. St-Charles, 'Convolutional neural networks for the automatic identification of plant diseases: A review,' Frontiers in Plant Science, vol. 10, p. 941, 2019.</w:t>
      </w:r>
    </w:p>
    <w:p>
      <w:pPr>
        <w:spacing w:before="20" w:after="60"/>
      </w:pPr>
      <w:r>
        <w:rPr>
          <w:color w:val="1E293B"/>
          <w:sz w:val="17"/>
        </w:rPr>
        <w:t>[5] R. Patil and S. Rajput, 'Grapevine Leaves Dataset (GVLiD) for pest and disease identification,' Mendeley Data, V5, doi: 10.17632/wkymf8bhcg.5, 2020.</w:t>
      </w:r>
    </w:p>
    <w:p>
      <w:pPr>
        <w:spacing w:before="20" w:after="60"/>
      </w:pPr>
      <w:r>
        <w:rPr>
          <w:color w:val="1E293B"/>
          <w:sz w:val="17"/>
        </w:rPr>
        <w:t>[6] K. He, X. Zhang, S. Ren, and J. Sun, 'Deep residual learning for image recognition,' in Proceedings of the IEEE Conference on Computer Vision and Pattern Recognition (CVPR), 2016, pp. 770-778.</w:t>
      </w:r>
    </w:p>
    <w:p>
      <w:pPr>
        <w:spacing w:before="20" w:after="60"/>
      </w:pPr>
      <w:r>
        <w:rPr>
          <w:color w:val="1E293B"/>
          <w:sz w:val="17"/>
        </w:rPr>
        <w:t>[7] A. Krizhevsky, I. Sutskever, and G. E. Hinton, 'ImageNet classification with deep convolutional neural networks,' Communications of the ACM, vol. 60, no. 6, pp. 84-90, 2017.</w:t>
      </w:r>
    </w:p>
    <w:p>
      <w:pPr>
        <w:spacing w:before="20" w:after="60"/>
      </w:pPr>
      <w:r>
        <w:rPr>
          <w:color w:val="1E293B"/>
          <w:sz w:val="17"/>
        </w:rPr>
        <w:t>[8] C. Szegedy et al., 'Going deeper with convolutions,' in Proceedings of the IEEE Conference on Computer Vision and Pattern Recognition (CVPR), 2015, pp. 1-9.</w:t>
      </w:r>
    </w:p>
    <w:p>
      <w:pPr>
        <w:spacing w:before="20" w:after="60"/>
      </w:pPr>
      <w:r>
        <w:rPr>
          <w:color w:val="1E293B"/>
          <w:sz w:val="17"/>
        </w:rPr>
        <w:t>[9] Food and Agriculture Organization of the United Nations (FAO), 'The State of Food and Agriculture: Leveraging automation in agriculture for transforming agrifood systems,' FAO Report, Rome, 2022.</w:t>
      </w:r>
    </w:p>
    <w:p>
      <w:pPr>
        <w:spacing w:before="20" w:after="60"/>
      </w:pPr>
      <w:r>
        <w:rPr>
          <w:color w:val="1E293B"/>
          <w:sz w:val="17"/>
        </w:rPr>
        <w:t>[10] C. E. Shannon, 'A mathematical theory of communication,' The Bell System Technical Journal, vol. 27, no. 3, pp. 379-423, 1948.</w:t>
      </w:r>
    </w:p>
    <w:p>
      <w:pPr>
        <w:keepNext/>
        <w:spacing w:before="320" w:after="120"/>
      </w:pPr>
      <w:r>
        <w:rPr>
          <w:b/>
          <w:color w:val="0F172A"/>
          <w:sz w:val="26"/>
        </w:rPr>
        <w:t>11.2 Software Libraries &amp; Computational Toolchain</w:t>
      </w:r>
    </w:p>
    <w:tbl>
      <w:tblPr>
        <w:tblW w:type="auto" w:w="0"/>
        <w:jc w:val="center"/>
        <w:tblLook w:firstColumn="1" w:firstRow="1" w:lastColumn="0" w:lastRow="0" w:noHBand="0" w:noVBand="1" w:val="04A0"/>
      </w:tblPr>
      <w:tblGrid>
        <w:gridCol w:w="3120"/>
        <w:gridCol w:w="3120"/>
        <w:gridCol w:w="3120"/>
      </w:tblGrid>
      <w:tr>
        <w:tc>
          <w:tcPr>
            <w:tcW w:type="dxa" w:w="3120"/>
            <w:shd w:fill="064E3B"/>
          </w:tcPr>
          <w:p>
            <w:r>
              <w:rPr>
                <w:b/>
                <w:color w:val="FFFFFF"/>
                <w:sz w:val="18"/>
              </w:rPr>
              <w:t>Component / Library</w:t>
            </w:r>
          </w:p>
        </w:tc>
        <w:tc>
          <w:tcPr>
            <w:tcW w:type="dxa" w:w="3120"/>
            <w:shd w:fill="064E3B"/>
          </w:tcPr>
          <w:p>
            <w:r>
              <w:rPr>
                <w:b/>
                <w:color w:val="FFFFFF"/>
                <w:sz w:val="18"/>
              </w:rPr>
              <w:t>Version / Platform</w:t>
            </w:r>
          </w:p>
        </w:tc>
        <w:tc>
          <w:tcPr>
            <w:tcW w:type="dxa" w:w="3120"/>
            <w:shd w:fill="064E3B"/>
          </w:tcPr>
          <w:p>
            <w:r>
              <w:rPr>
                <w:b/>
                <w:color w:val="FFFFFF"/>
                <w:sz w:val="18"/>
              </w:rPr>
              <w:t>Functional Role in Project</w:t>
            </w:r>
          </w:p>
        </w:tc>
      </w:tr>
      <w:tr>
        <w:tc>
          <w:tcPr>
            <w:tcW w:type="dxa" w:w="3120"/>
            <w:shd w:fill="FFFFFF"/>
          </w:tcPr>
          <w:p>
            <w:pPr>
              <w:jc w:val="center"/>
            </w:pPr>
            <w:r>
              <w:rPr>
                <w:sz w:val="17"/>
              </w:rPr>
              <w:t>Python</w:t>
            </w:r>
          </w:p>
        </w:tc>
        <w:tc>
          <w:tcPr>
            <w:tcW w:type="dxa" w:w="3120"/>
            <w:shd w:fill="FFFFFF"/>
          </w:tcPr>
          <w:p>
            <w:pPr>
              <w:jc w:val="center"/>
            </w:pPr>
            <w:r>
              <w:rPr>
                <w:sz w:val="17"/>
              </w:rPr>
              <w:t>3.10 / 3.14 Environment</w:t>
            </w:r>
          </w:p>
        </w:tc>
        <w:tc>
          <w:tcPr>
            <w:tcW w:type="dxa" w:w="3120"/>
            <w:shd w:fill="FFFFFF"/>
          </w:tcPr>
          <w:p>
            <w:r>
              <w:rPr>
                <w:sz w:val="17"/>
              </w:rPr>
              <w:t>Core programming runtime and numerical computation environment</w:t>
            </w:r>
          </w:p>
        </w:tc>
      </w:tr>
      <w:tr>
        <w:tc>
          <w:tcPr>
            <w:tcW w:type="dxa" w:w="3120"/>
            <w:shd w:fill="F8FAFC"/>
          </w:tcPr>
          <w:p>
            <w:pPr>
              <w:jc w:val="center"/>
            </w:pPr>
            <w:r>
              <w:rPr>
                <w:sz w:val="17"/>
              </w:rPr>
              <w:t>TensorFlow &amp; Keras</w:t>
            </w:r>
          </w:p>
        </w:tc>
        <w:tc>
          <w:tcPr>
            <w:tcW w:type="dxa" w:w="3120"/>
            <w:shd w:fill="F8FAFC"/>
          </w:tcPr>
          <w:p>
            <w:pPr>
              <w:jc w:val="center"/>
            </w:pPr>
            <w:r>
              <w:rPr>
                <w:sz w:val="17"/>
              </w:rPr>
              <w:t>2.17+ / Keras 3.x</w:t>
            </w:r>
          </w:p>
        </w:tc>
        <w:tc>
          <w:tcPr>
            <w:tcW w:type="dxa" w:w="3120"/>
            <w:shd w:fill="F8FAFC"/>
          </w:tcPr>
          <w:p>
            <w:r>
              <w:rPr>
                <w:sz w:val="17"/>
              </w:rPr>
              <w:t>Deep learning model construction, backpropagation training, and model serialization</w:t>
            </w:r>
          </w:p>
        </w:tc>
      </w:tr>
      <w:tr>
        <w:tc>
          <w:tcPr>
            <w:tcW w:type="dxa" w:w="3120"/>
            <w:shd w:fill="FFFFFF"/>
          </w:tcPr>
          <w:p>
            <w:pPr>
              <w:jc w:val="center"/>
            </w:pPr>
            <w:r>
              <w:rPr>
                <w:sz w:val="17"/>
              </w:rPr>
              <w:t>MobileNetV2</w:t>
            </w:r>
          </w:p>
        </w:tc>
        <w:tc>
          <w:tcPr>
            <w:tcW w:type="dxa" w:w="3120"/>
            <w:shd w:fill="FFFFFF"/>
          </w:tcPr>
          <w:p>
            <w:pPr>
              <w:jc w:val="center"/>
            </w:pPr>
            <w:r>
              <w:rPr>
                <w:sz w:val="17"/>
              </w:rPr>
              <w:t>ImageNet Pretrained Weights</w:t>
            </w:r>
          </w:p>
        </w:tc>
        <w:tc>
          <w:tcPr>
            <w:tcW w:type="dxa" w:w="3120"/>
            <w:shd w:fill="FFFFFF"/>
          </w:tcPr>
          <w:p>
            <w:r>
              <w:rPr>
                <w:sz w:val="17"/>
              </w:rPr>
              <w:t>Feature extractor backbone for Tomato, Apple, Corn, and Grape pipelines</w:t>
            </w:r>
          </w:p>
        </w:tc>
      </w:tr>
      <w:tr>
        <w:tc>
          <w:tcPr>
            <w:tcW w:type="dxa" w:w="3120"/>
            <w:shd w:fill="F8FAFC"/>
          </w:tcPr>
          <w:p>
            <w:pPr>
              <w:jc w:val="center"/>
            </w:pPr>
            <w:r>
              <w:rPr>
                <w:sz w:val="17"/>
              </w:rPr>
              <w:t>OpenCV (cv2) &amp; PIL</w:t>
            </w:r>
          </w:p>
        </w:tc>
        <w:tc>
          <w:tcPr>
            <w:tcW w:type="dxa" w:w="3120"/>
            <w:shd w:fill="F8FAFC"/>
          </w:tcPr>
          <w:p>
            <w:pPr>
              <w:jc w:val="center"/>
            </w:pPr>
            <w:r>
              <w:rPr>
                <w:sz w:val="17"/>
              </w:rPr>
              <w:t>4.10+ / Pillow 10.x</w:t>
            </w:r>
          </w:p>
        </w:tc>
        <w:tc>
          <w:tcPr>
            <w:tcW w:type="dxa" w:w="3120"/>
            <w:shd w:fill="F8FAFC"/>
          </w:tcPr>
          <w:p>
            <w:r>
              <w:rPr>
                <w:sz w:val="17"/>
              </w:rPr>
              <w:t>Image loading, EXIF orientation transposition, and LANCZOS spatial downsampling</w:t>
            </w:r>
          </w:p>
        </w:tc>
      </w:tr>
      <w:tr>
        <w:tc>
          <w:tcPr>
            <w:tcW w:type="dxa" w:w="3120"/>
            <w:shd w:fill="FFFFFF"/>
          </w:tcPr>
          <w:p>
            <w:pPr>
              <w:jc w:val="center"/>
            </w:pPr>
            <w:r>
              <w:rPr>
                <w:sz w:val="17"/>
              </w:rPr>
              <w:t>Streamlit</w:t>
            </w:r>
          </w:p>
        </w:tc>
        <w:tc>
          <w:tcPr>
            <w:tcW w:type="dxa" w:w="3120"/>
            <w:shd w:fill="FFFFFF"/>
          </w:tcPr>
          <w:p>
            <w:pPr>
              <w:jc w:val="center"/>
            </w:pPr>
            <w:r>
              <w:rPr>
                <w:sz w:val="17"/>
              </w:rPr>
              <w:t>1.40+</w:t>
            </w:r>
          </w:p>
        </w:tc>
        <w:tc>
          <w:tcPr>
            <w:tcW w:type="dxa" w:w="3120"/>
            <w:shd w:fill="FFFFFF"/>
          </w:tcPr>
          <w:p>
            <w:r>
              <w:rPr>
                <w:sz w:val="17"/>
              </w:rPr>
              <w:t>Production reactive web frontend framework with dynamic widget rendering</w:t>
            </w:r>
          </w:p>
        </w:tc>
      </w:tr>
      <w:tr>
        <w:tc>
          <w:tcPr>
            <w:tcW w:type="dxa" w:w="3120"/>
            <w:shd w:fill="F8FAFC"/>
          </w:tcPr>
          <w:p>
            <w:pPr>
              <w:jc w:val="center"/>
            </w:pPr>
            <w:r>
              <w:rPr>
                <w:sz w:val="17"/>
              </w:rPr>
              <w:t>Plotly Express</w:t>
            </w:r>
          </w:p>
        </w:tc>
        <w:tc>
          <w:tcPr>
            <w:tcW w:type="dxa" w:w="3120"/>
            <w:shd w:fill="F8FAFC"/>
          </w:tcPr>
          <w:p>
            <w:pPr>
              <w:jc w:val="center"/>
            </w:pPr>
            <w:r>
              <w:rPr>
                <w:sz w:val="17"/>
              </w:rPr>
              <w:t>5.24+</w:t>
            </w:r>
          </w:p>
        </w:tc>
        <w:tc>
          <w:tcPr>
            <w:tcW w:type="dxa" w:w="3120"/>
            <w:shd w:fill="F8FAFC"/>
          </w:tcPr>
          <w:p>
            <w:r>
              <w:rPr>
                <w:sz w:val="17"/>
              </w:rPr>
              <w:t>Interactive foliar class probability visualization and confidence meters</w:t>
            </w:r>
          </w:p>
        </w:tc>
      </w:tr>
      <w:tr>
        <w:tc>
          <w:tcPr>
            <w:tcW w:type="dxa" w:w="3120"/>
            <w:shd w:fill="FFFFFF"/>
          </w:tcPr>
          <w:p>
            <w:pPr>
              <w:jc w:val="center"/>
            </w:pPr>
            <w:r>
              <w:rPr>
                <w:sz w:val="17"/>
              </w:rPr>
              <w:t>ReportLab</w:t>
            </w:r>
          </w:p>
        </w:tc>
        <w:tc>
          <w:tcPr>
            <w:tcW w:type="dxa" w:w="3120"/>
            <w:shd w:fill="FFFFFF"/>
          </w:tcPr>
          <w:p>
            <w:pPr>
              <w:jc w:val="center"/>
            </w:pPr>
            <w:r>
              <w:rPr>
                <w:sz w:val="17"/>
              </w:rPr>
              <w:t>4.2+</w:t>
            </w:r>
          </w:p>
        </w:tc>
        <w:tc>
          <w:tcPr>
            <w:tcW w:type="dxa" w:w="3120"/>
            <w:shd w:fill="FFFFFF"/>
          </w:tcPr>
          <w:p>
            <w:r>
              <w:rPr>
                <w:sz w:val="17"/>
              </w:rPr>
              <w:t>Dynamic programmatic PDF clinical diagnosis and prescription report generation</w:t>
            </w:r>
          </w:p>
        </w:tc>
      </w:tr>
    </w:tbl>
    <w:p>
      <w:pPr>
        <w:keepNext/>
        <w:spacing w:before="320" w:after="120"/>
      </w:pPr>
      <w:r>
        <w:rPr>
          <w:b/>
          <w:color w:val="0F172A"/>
          <w:sz w:val="26"/>
        </w:rPr>
        <w:t>11.3 Open-Source Code Repository &amp; Live System Deployment Links</w:t>
      </w:r>
    </w:p>
    <w:p>
      <w:pPr>
        <w:pStyle w:val="ListBullet"/>
        <w:spacing w:before="20" w:after="60" w:line="276" w:lineRule="auto"/>
      </w:pPr>
      <w:r>
        <w:rPr>
          <w:b/>
          <w:color w:val="1E293B"/>
          <w:sz w:val="20"/>
        </w:rPr>
        <w:t>Official GitHub Repository:</w:t>
      </w:r>
      <w:r>
        <w:rPr>
          <w:color w:val="1E293B"/>
          <w:sz w:val="20"/>
        </w:rPr>
        <w:t xml:space="preserve"> https://github.com/REHANKHANN20/agrovision-plant-disease-detection</w:t>
      </w:r>
    </w:p>
    <w:p>
      <w:pPr>
        <w:pStyle w:val="ListBullet"/>
        <w:spacing w:before="20" w:after="60" w:line="276" w:lineRule="auto"/>
      </w:pPr>
      <w:r>
        <w:rPr>
          <w:b/>
          <w:color w:val="1E293B"/>
          <w:sz w:val="20"/>
        </w:rPr>
        <w:t>24/7 Permanent Cloud Web Application:</w:t>
      </w:r>
      <w:r>
        <w:rPr>
          <w:color w:val="1E293B"/>
          <w:sz w:val="20"/>
        </w:rPr>
        <w:t xml:space="preserve"> https://agrovision--ai.streamlit.app</w:t>
      </w:r>
    </w:p>
    <w:p>
      <w:pPr>
        <w:pStyle w:val="ListBullet"/>
        <w:spacing w:before="20" w:after="60" w:line="276" w:lineRule="auto"/>
      </w:pPr>
      <w:r>
        <w:rPr>
          <w:b/>
          <w:color w:val="1E293B"/>
          <w:sz w:val="20"/>
        </w:rPr>
        <w:t>Google Colab Tunnel Interactive Runner:</w:t>
      </w:r>
      <w:r>
        <w:rPr>
          <w:color w:val="1E293B"/>
          <w:sz w:val="20"/>
        </w:rPr>
        <w:t xml:space="preserve"> 08_Web_Application/run_web_application.ipynb</w:t>
      </w:r>
    </w:p>
    <w:p>
      <w:pPr>
        <w:keepNext/>
        <w:spacing w:before="320" w:after="120"/>
      </w:pPr>
      <w:r>
        <w:rPr>
          <w:b/>
          <w:color w:val="0F172A"/>
          <w:sz w:val="26"/>
        </w:rPr>
        <w:t>11.4 Representative Inference Script (Dual-Pool &amp; MobileNetV2 Dispatch)</w:t>
      </w:r>
    </w:p>
    <w:p>
      <w:pPr>
        <w:spacing w:before="80" w:after="80"/>
      </w:pPr>
      <w:r>
        <w:rPr>
          <w:rFonts w:ascii="Consolas" w:hAnsi="Consolas"/>
          <w:color w:val="1E293B"/>
          <w:sz w:val="16"/>
        </w:rPr>
        <w:t># AgroVision AI - Production Inference &amp; Uncertainty Quantification Engine</w:t>
        <w:br/>
        <w:t>import numpy as np</w:t>
        <w:br/>
        <w:t>import tensorflow as tf</w:t>
        <w:br/>
        <w:t>from PIL import Image, ImageOps</w:t>
        <w:br/>
        <w:br/>
        <w:t>def preprocess_foliar_specimen(img: Image.Image, target_size=(224, 224)) -&gt; np.ndarray:</w:t>
        <w:br/>
        <w:t xml:space="preserve">    '''Normalize EXIF orientation and downsample via anti-aliased LANCZOS filter.'''</w:t>
        <w:br/>
        <w:t xml:space="preserve">    img_transposed = ImageOps.exif_transpose(img)</w:t>
        <w:br/>
        <w:t xml:space="preserve">    img_rgb = img_transposed.convert('RGB')</w:t>
        <w:br/>
        <w:t xml:space="preserve">    img_resized = img_rgb.resize(target_size, Image.Resampling.LANCZOS)</w:t>
        <w:br/>
        <w:t xml:space="preserve">    tensor = np.array(img_resized, dtype=np.float32) / 255.0</w:t>
        <w:br/>
        <w:t xml:space="preserve">    return np.expand_dims(tensor, axis=0)</w:t>
        <w:br/>
        <w:br/>
        <w:t>def predict_disease(model: tf.keras.Model, input_tensor: np.ndarray, class_names: list):</w:t>
        <w:br/>
        <w:t xml:space="preserve">    '''Execute forward pass, compute Softmax distribution and Shannon Entropy.'''</w:t>
        <w:br/>
        <w:t xml:space="preserve">    preds = model.predict(input_tensor, verbose=0)[0]</w:t>
        <w:br/>
        <w:t xml:space="preserve">    top_idx = int(np.argmax(preds))</w:t>
        <w:br/>
        <w:t xml:space="preserve">    confidence = float(preds[top_idx])</w:t>
        <w:br/>
        <w:t xml:space="preserve">    entropy = float(-np.sum(preds * np.log2(np.clip(preds, 1e-9, 1.0))))</w:t>
        <w:br/>
        <w:t xml:space="preserve">    is_uncertain = bool(confidence &lt; 0.70 or entropy &gt; 1.2)</w:t>
        <w:br/>
        <w:t xml:space="preserve">    return {</w:t>
        <w:br/>
        <w:t xml:space="preserve">        'predicted_class': class_names[top_idx],</w:t>
        <w:br/>
        <w:t xml:space="preserve">        'confidence': confidence,</w:t>
        <w:br/>
        <w:t xml:space="preserve">        'shannon_entropy': entropy,</w:t>
        <w:br/>
        <w:t xml:space="preserve">        'low_confidence_flag': is_uncertain,</w:t>
        <w:br/>
        <w:t xml:space="preserve">        'distribution': {c: float(p) for c, p in zip(class_names, preds)}</w:t>
        <w:br/>
        <w:t xml:space="preserve">    }</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