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07"/>
        <w:gridCol w:w="5407"/>
      </w:tblGrid>
      <w:tr>
        <w:trPr>
          <w:trHeight w:hRule="exact" w:val="1844"/>
        </w:trPr>
        <w:tc>
          <w:tcPr>
            <w:tcW w:type="dxa" w:w="210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0" w:after="0"/>
              <w:ind w:left="164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NAMA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NIM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MATA KULIAH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KELAS </w:t>
            </w:r>
          </w:p>
        </w:tc>
        <w:tc>
          <w:tcPr>
            <w:tcW w:type="dxa" w:w="869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0" w:after="0"/>
              <w:ind w:left="186" w:right="37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: MADELYN ISABELLE ALMIRA AHMAD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: 24240021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: Ulumul Qurán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: EKONOMI SYARIAH </w:t>
            </w:r>
          </w:p>
        </w:tc>
      </w:tr>
    </w:tbl>
    <w:p>
      <w:pPr>
        <w:autoSpaceDN w:val="0"/>
        <w:autoSpaceDE w:val="0"/>
        <w:widowControl/>
        <w:spacing w:line="290" w:lineRule="auto" w:before="44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Resume Proses Penulisan Al-Qur'an </w:t>
      </w:r>
    </w:p>
    <w:p>
      <w:pPr>
        <w:autoSpaceDN w:val="0"/>
        <w:autoSpaceDE w:val="0"/>
        <w:widowControl/>
        <w:spacing w:line="240" w:lineRule="auto" w:before="384" w:after="0"/>
        <w:ind w:left="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410" w:after="0"/>
        <w:ind w:left="1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Penyampaian Wahyu: </w:t>
      </w:r>
    </w:p>
    <w:p>
      <w:pPr>
        <w:autoSpaceDN w:val="0"/>
        <w:autoSpaceDE w:val="0"/>
        <w:widowControl/>
        <w:spacing w:line="418" w:lineRule="exact" w:before="126" w:after="0"/>
        <w:ind w:left="448" w:right="1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Al-Qur'an pertama kali diturunkan kepada Nabi Muhammad SAW melalui perantara Malaikat Jibril selama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periode 23 tahun, dimulai dari saat Nabi berada di Gua Hira. Wahyu-wahyu ini diturunkan secara bertahap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sesuai dengan kebutuhan umat Islam pada masa itu, memberikan panduan dalam berbagai aspek kehidupan.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Setiap wahyu yang diterima oleh Nabi Muhammad SAW segera disampaikan kepada para sahabat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umatnya. </w:t>
      </w:r>
    </w:p>
    <w:p>
      <w:pPr>
        <w:autoSpaceDN w:val="0"/>
        <w:autoSpaceDE w:val="0"/>
        <w:widowControl/>
        <w:spacing w:line="288" w:lineRule="auto" w:before="256" w:after="0"/>
        <w:ind w:left="1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Pencatatan oleh Para Sahabat: </w:t>
      </w:r>
    </w:p>
    <w:p>
      <w:pPr>
        <w:autoSpaceDN w:val="0"/>
        <w:autoSpaceDE w:val="0"/>
        <w:widowControl/>
        <w:spacing w:line="418" w:lineRule="exact" w:before="128" w:after="0"/>
        <w:ind w:left="448" w:right="1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Setelah menerima wahyu, Nabi Muhammad SAW memerintahkan para sahabat untuk mencatatnya. Para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sahabat yang ditunjuk sebagai penulis wahyu menggunakan berbagai media sederhana yang tersedia seperti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pelepah kurma, tulang belulang, kulit hewan, dan potongan batu. Selain itu, banyak sahabat yang menghafal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wahyu-wahyu tersebut untuk memastikan bahwa pesan Al-Qur'an tetap terjaga meskipun pada masa itu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teknologi penulisan masih sangat terbatas. </w:t>
      </w:r>
    </w:p>
    <w:p>
      <w:pPr>
        <w:autoSpaceDN w:val="0"/>
        <w:autoSpaceDE w:val="0"/>
        <w:widowControl/>
        <w:spacing w:line="288" w:lineRule="auto" w:before="258" w:after="0"/>
        <w:ind w:left="1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Pengumpulan di Masa Abu Bakar: </w:t>
      </w:r>
    </w:p>
    <w:p>
      <w:pPr>
        <w:autoSpaceDN w:val="0"/>
        <w:autoSpaceDE w:val="0"/>
        <w:widowControl/>
        <w:spacing w:line="418" w:lineRule="exact" w:before="126" w:after="0"/>
        <w:ind w:left="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Setelah wafatnya Nabi Muhammad SAW, terjadi peristiwa yang mengancam keberlangsungan hafalan Al-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Qur'an, seperti perang yang menyebabkan gugurnya banyak penghafal Al-Qur'an. Khalifah Abu Bakar, atas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saran Umar bin Khattab, memutuskan untuk mengumpulkan wahyu dalam satu mushaf agar tidak ada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bagian dari Al-Qur'an yang hilang. Zaid bin Tsabit, seorang sahabat yang menjadi penulis wahyu,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ditugaskan untuk memimpin proyek pengumpulan tersebut. </w:t>
      </w:r>
    </w:p>
    <w:p>
      <w:pPr>
        <w:autoSpaceDN w:val="0"/>
        <w:autoSpaceDE w:val="0"/>
        <w:widowControl/>
        <w:spacing w:line="288" w:lineRule="auto" w:before="256" w:after="0"/>
        <w:ind w:left="1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Standarisasi di Masa Utsman bin Affan: </w:t>
      </w:r>
    </w:p>
    <w:p>
      <w:pPr>
        <w:autoSpaceDN w:val="0"/>
        <w:autoSpaceDE w:val="0"/>
        <w:widowControl/>
        <w:spacing w:line="418" w:lineRule="exact" w:before="126" w:after="0"/>
        <w:ind w:left="448" w:right="1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 masa pemerintahan Khalifah Utsman bin Affan, perbedaan dalam cara membaca Al-Qur'an mulai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muncul di berbagai wilayah Islam. Untuk menghindari perpecahan, Utsman memerintahkan penulisan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mushaf standar yang kemudian dikenal sebagai Mushaf Utsmani. Mushaf ini disalin dan disebarluaskan 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berbagai wilayah kekhalifahan, dengan tujuan untuk menyatukan bacaan umat Islam. </w:t>
      </w:r>
    </w:p>
    <w:p>
      <w:pPr>
        <w:sectPr>
          <w:pgSz w:w="11906" w:h="16838"/>
          <w:pgMar w:top="346" w:right="536" w:bottom="1082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Penulisan Modern: </w:t>
      </w:r>
    </w:p>
    <w:p>
      <w:pPr>
        <w:autoSpaceDN w:val="0"/>
        <w:autoSpaceDE w:val="0"/>
        <w:widowControl/>
        <w:spacing w:line="418" w:lineRule="exact" w:before="124" w:after="0"/>
        <w:ind w:left="284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Seiring dengan perkembangan teknologi, penulisan Al-Qur'an mengalami transformasi signifikan. Di era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modern, Al-Qur'an dicetak secara massal menggunakan mesin cetak, lengkap dengan tanda baca, tajwid,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penomoran ayat. Tambahan ini dibuat untuk mempermudah pembacaan, pemahaman, dan penghafalan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Al-Qur'an oleh umat Islam di seluruh dunia. Mushaf Al-Qur'an kini tersedia dalam berbagai ukuran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format, baik dalam bentuk cetak maupun digital. </w:t>
      </w:r>
    </w:p>
    <w:p>
      <w:pPr>
        <w:autoSpaceDN w:val="0"/>
        <w:autoSpaceDE w:val="0"/>
        <w:widowControl/>
        <w:spacing w:line="288" w:lineRule="auto" w:before="830" w:after="0"/>
        <w:ind w:left="24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Ciri dan Karakteristik Surat Makkiyah dan Madaniyah </w:t>
      </w:r>
    </w:p>
    <w:p>
      <w:pPr>
        <w:autoSpaceDN w:val="0"/>
        <w:autoSpaceDE w:val="0"/>
        <w:widowControl/>
        <w:spacing w:line="288" w:lineRule="auto" w:before="244" w:after="0"/>
        <w:ind w:left="14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Surat Makkiyah: </w:t>
      </w:r>
    </w:p>
    <w:p>
      <w:pPr>
        <w:autoSpaceDN w:val="0"/>
        <w:autoSpaceDE w:val="0"/>
        <w:widowControl/>
        <w:spacing w:line="418" w:lineRule="exact" w:before="126" w:after="0"/>
        <w:ind w:left="708" w:right="22" w:firstLine="42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Surat-surat Makkiyah adalah ayat-ayat yang diturunkan sebelum Nabi Muhammad SAW hijrah 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Madinah. Karakteristik utama dari surat Makkiyah adalah fokusnya pada tema tauhid, keimanan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kepada Allah, hari kiamat, serta peringatan tentang surga dan neraka. Ayat-ayat ini bertujuan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memperkuat keimanan umat Islam, mengingatkan tentang kehidupan akhirat, dan menegaskan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kekuasaan Allah. </w:t>
      </w:r>
    </w:p>
    <w:p>
      <w:pPr>
        <w:autoSpaceDN w:val="0"/>
        <w:autoSpaceDE w:val="0"/>
        <w:widowControl/>
        <w:spacing w:line="418" w:lineRule="exact" w:before="140" w:after="0"/>
        <w:ind w:left="708" w:right="20" w:firstLine="42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Selain itu, ciri khas surat Makkiyah adalah ayat-ayatnya yang cenderung pendek, menggunakan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bahasa yang penuh dengan retorika dan gaya bahasa yang indah. Contoh dari surat Makkiyah adalah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Surah Al-Mulk (67), yang mengandung ajaran tentang kekuasaan Allah atas alam semesta,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bagaimana manusia diingatkan untuk merenungkan ciptaan-Nya. </w:t>
      </w:r>
    </w:p>
    <w:p>
      <w:pPr>
        <w:autoSpaceDN w:val="0"/>
        <w:autoSpaceDE w:val="0"/>
        <w:widowControl/>
        <w:spacing w:line="288" w:lineRule="auto" w:before="256" w:after="0"/>
        <w:ind w:left="14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Surat Madaniyah: </w:t>
      </w:r>
    </w:p>
    <w:p>
      <w:pPr>
        <w:autoSpaceDN w:val="0"/>
        <w:autoSpaceDE w:val="0"/>
        <w:widowControl/>
        <w:spacing w:line="420" w:lineRule="exact" w:before="126" w:after="0"/>
        <w:ind w:left="708" w:right="0" w:firstLine="85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Surat-surat Madaniyah diturunkan setelah Nabi Muhammad SAW hijrah ke Madinah. Surat-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surat ini lebih menekankan pada aspek hukum, peraturan sosial, dan hubungan antar umat. Fokus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utamanya adalah membangun masyarakat Islam yang harmonis dengan pedoman syariat yang jelas,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seperti hukum pernikahan, muamalah, jihad, dan interaksi antar komunitas. </w:t>
      </w:r>
    </w:p>
    <w:p>
      <w:pPr>
        <w:autoSpaceDN w:val="0"/>
        <w:autoSpaceDE w:val="0"/>
        <w:widowControl/>
        <w:spacing w:line="420" w:lineRule="exact" w:before="138" w:after="0"/>
        <w:ind w:left="708" w:right="20" w:firstLine="85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Ayat-ayat dalam surat Madaniyah biasanya lebih panjang dan memiliki penjelasan yang lebih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detail dibandingkan surat Makkiyah. Contoh surat Madaniyah adalah Surah Al-Baqarah (2),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membahas berbagai aspek hukum Islam dan memberikan petunjuk bagi mereka yang bertakwa,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ayat-ayat yang lebih naratif dan menjelaskan berbagai aspek kehidupan sosial. </w:t>
      </w:r>
    </w:p>
    <w:p>
      <w:pPr>
        <w:sectPr>
          <w:pgSz w:w="11906" w:h="16838"/>
          <w:pgMar w:top="346" w:right="638" w:bottom="144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90" w:lineRule="auto" w:before="0" w:after="172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Ringkasan Proses Penulisan Al-Qur'an dan Ciri Surat Makkiyah &amp; Madaniyah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03"/>
        <w:gridCol w:w="4903"/>
      </w:tblGrid>
      <w:tr>
        <w:trPr>
          <w:trHeight w:hRule="exact" w:val="462"/>
        </w:trPr>
        <w:tc>
          <w:tcPr>
            <w:tcW w:type="dxa" w:w="432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1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Topik </w:t>
            </w:r>
          </w:p>
        </w:tc>
        <w:tc>
          <w:tcPr>
            <w:tcW w:type="dxa" w:w="54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4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Penjelasan </w:t>
            </w:r>
          </w:p>
        </w:tc>
      </w:tr>
      <w:tr>
        <w:trPr>
          <w:trHeight w:hRule="exact" w:val="3660"/>
        </w:trPr>
        <w:tc>
          <w:tcPr>
            <w:tcW w:type="dxa" w:w="432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Proses Penulisan Al-Qur'an </w:t>
            </w:r>
          </w:p>
        </w:tc>
        <w:tc>
          <w:tcPr>
            <w:tcW w:type="dxa" w:w="54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35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Penyampaian Wahyu: Wahyu diturunkan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kepada Nabi Muhammad SAW melalui Malaikat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Jibril selama 23 tahun.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35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Pencatatan oleh Para Sahabat: Wahyu dicatat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pada media seperti pelepah kurma, tulang, dan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kulit hewan.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35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Pengumpulan di Masa Abu Bakar: Menghindari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kehilangan wahyu.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35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Standarisasi di Masa Utsman: Mushaf Utsmani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disalin dan disebarluaskan.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288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Penulisan Modern: Al-Qur'an dicetak secara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massal dengan tanda baca dan penomoran ayat. </w:t>
            </w:r>
          </w:p>
        </w:tc>
      </w:tr>
      <w:tr>
        <w:trPr>
          <w:trHeight w:hRule="exact" w:val="1334"/>
        </w:trPr>
        <w:tc>
          <w:tcPr>
            <w:tcW w:type="dxa" w:w="432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Ciri dan Karakteristik Surat Makkiyah </w:t>
            </w:r>
          </w:p>
        </w:tc>
        <w:tc>
          <w:tcPr>
            <w:tcW w:type="dxa" w:w="545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530" w:right="864" w:hanging="42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Ciri-ciri: Diturunkan sebelum hijrah, fokus pada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tauhid, keimanan, hari kiamat, surga, dan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neraka. Ayat-ayat pendek dan penuh retorika.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Contoh Surat: Surah Al-Mulk (67). </w:t>
            </w:r>
          </w:p>
        </w:tc>
      </w:tr>
      <w:tr>
        <w:trPr>
          <w:trHeight w:hRule="exact" w:val="1314"/>
        </w:trPr>
        <w:tc>
          <w:tcPr>
            <w:tcW w:type="dxa" w:w="432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Ciri dan Karakteristik Surat Madaniyah </w:t>
            </w:r>
          </w:p>
        </w:tc>
        <w:tc>
          <w:tcPr>
            <w:tcW w:type="dxa" w:w="545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530" w:right="864" w:hanging="42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Ciri-ciri: Diturunkan setelah hijrah, membahas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hukum, peraturan sosial, dan hubungan antar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umat. Ayat-ayat lebih panjang dan berisi.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Contoh Surat: Surah Al-Baqarah (2).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46" w:right="1380" w:bottom="144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Daftar Pustaka </w:t>
      </w:r>
    </w:p>
    <w:p>
      <w:pPr>
        <w:autoSpaceDN w:val="0"/>
        <w:tabs>
          <w:tab w:pos="428" w:val="left"/>
        </w:tabs>
        <w:autoSpaceDE w:val="0"/>
        <w:widowControl/>
        <w:spacing w:line="388" w:lineRule="exact" w:before="5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IDN Times. (2024).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Sejarah Penulisan Al-Qur'an dan Pengumpulannya dalam 3 Masa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Diakses pada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November 2024, dari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2C1"/>
          <w:sz w:val="24"/>
          <w:u w:val="single"/>
        </w:rPr>
        <w:hyperlink r:id="rId10" w:history="1">
          <w:r>
            <w:rPr>
              <w:rStyle w:val="Hyperlink"/>
            </w:rPr>
            <w:t xml:space="preserve">idntimes.com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Republika Online. (2024).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Ciri-Ciri Makkiyah dan Madaniyah dalam Alquran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Diakses pada November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2024, dari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2C1"/>
          <w:sz w:val="24"/>
          <w:u w:val="single"/>
        </w:rPr>
        <w:hyperlink r:id="rId11" w:history="1">
          <w:r>
            <w:rPr>
              <w:rStyle w:val="Hyperlink"/>
            </w:rPr>
            <w:t xml:space="preserve">iqra.republika.co.id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Lister.co.id. (2024).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Makkiyah dan Madaniyah: Definisi, Ciri-Ciri, dan Contohnya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Diakses pada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November 2024, dari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2C1"/>
          <w:sz w:val="24"/>
          <w:u w:val="single"/>
        </w:rPr>
        <w:hyperlink r:id="rId12" w:history="1">
          <w:r>
            <w:rPr>
              <w:rStyle w:val="Hyperlink"/>
            </w:rPr>
            <w:t xml:space="preserve">lister.co.id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 Online. (2024).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Sejarah Kodifikasi Al-Qur’an di Masa Rasulullah SAW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Diakses pada November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2024, dari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2C1"/>
          <w:sz w:val="24"/>
          <w:u w:val="single"/>
        </w:rPr>
        <w:hyperlink r:id="rId13" w:history="1">
          <w:r>
            <w:rPr>
              <w:rStyle w:val="Hyperlink"/>
            </w:rPr>
            <w:t xml:space="preserve">islam.nu.or.id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Bincang Syariah. (2023).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Tiga Cara Membedakan Surat Makkiyah dan Madaniyah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Diakses pada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November 2024, dari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2C1"/>
          <w:sz w:val="24"/>
          <w:u w:val="single"/>
        </w:rPr>
        <w:hyperlink r:id="rId14" w:history="1">
          <w:r>
            <w:rPr>
              <w:rStyle w:val="Hyperlink"/>
            </w:rPr>
            <w:t>bincangsyariah.com</w:t>
          </w:r>
        </w:hyperlink>
      </w:r>
    </w:p>
    <w:sectPr w:rsidR="00FC693F" w:rsidRPr="0006063C" w:rsidSect="00034616">
      <w:pgSz w:w="11906" w:h="16838"/>
      <w:pgMar w:top="344" w:right="1180" w:bottom="1440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idntimes.com/life/inspiration/langgeng-irma-salugiasih-1/sejarah-penulisan-al-quran-yang-terbagi-menjadi-3-masa" TargetMode="External"/><Relationship Id="rId11" Type="http://schemas.openxmlformats.org/officeDocument/2006/relationships/hyperlink" Target="https://iqra.republika.co.id/berita/pnp4yc458/ciriciri-makkiyah-dan-madaniyah-dalam-alquran" TargetMode="External"/><Relationship Id="rId12" Type="http://schemas.openxmlformats.org/officeDocument/2006/relationships/hyperlink" Target="https://lister.co.id/blog/makkiyah-dan-madaniyah-definisi-ciri-ciri-dan-contohnya/" TargetMode="External"/><Relationship Id="rId13" Type="http://schemas.openxmlformats.org/officeDocument/2006/relationships/hyperlink" Target="https://islam.nu.or.id/ilmu-al-quran/sejarah-kodifikasi-al-qur-an-di-masa-rasulullah-saw-FS4sO" TargetMode="External"/><Relationship Id="rId14" Type="http://schemas.openxmlformats.org/officeDocument/2006/relationships/hyperlink" Target="https://bincangsyariah.com/khazanah/tiga-cara-membedakan-makkiyah-dan-madaniy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