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4" w:lineRule="exact" w:before="0" w:after="0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36"/>
        </w:rPr>
        <w:hyperlink r:id="rId9" w:history="1">
          <w:r>
            <w:rPr>
              <w:rStyle w:val="Hyperlink"/>
            </w:rPr>
            <w:t>REHAGE</w:t>
          </w:r>
        </w:hyperlink>
      </w:r>
      <w:r>
        <w:rPr>
          <w:rFonts w:ascii="Arial" w:hAnsi="Arial" w:eastAsia="Arial"/>
          <w:b/>
          <w:i w:val="0"/>
          <w:color w:val="000000"/>
          <w:sz w:val="36"/>
        </w:rPr>
        <w:hyperlink r:id="rId9" w:history="1">
          <w:r>
            <w:rPr>
              <w:rStyle w:val="Hyperlink"/>
            </w:rPr>
            <w:t>L</w:t>
          </w:r>
        </w:hyperlink>
      </w:r>
      <w:r>
        <w:rPr>
          <w:rFonts w:ascii="Arial" w:hAnsi="Arial" w:eastAsia="Arial"/>
          <w:b/>
          <w:i w:val="0"/>
          <w:color w:val="000000"/>
          <w:sz w:val="36"/>
        </w:rPr>
        <w:hyperlink r:id="rId10" w:history="1">
          <w:r>
            <w:rPr>
              <w:rStyle w:val="Hyperlink"/>
            </w:rPr>
            <w:t xml:space="preserve"> REISA </w:t>
          </w:r>
        </w:hyperlink>
      </w:r>
    </w:p>
    <w:p>
      <w:pPr>
        <w:autoSpaceDN w:val="0"/>
        <w:autoSpaceDE w:val="0"/>
        <w:widowControl/>
        <w:spacing w:line="240" w:lineRule="auto" w:before="62" w:after="0"/>
        <w:ind w:left="0" w:right="0" w:firstLine="0"/>
        <w:jc w:val="center"/>
      </w:pP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>+6282278222721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>|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 xml:space="preserve"> </w:t>
      </w:r>
      <w:r>
        <w:rPr>
          <w:rFonts w:ascii="Microsoft Sans Serif" w:hAnsi="Microsoft Sans Serif" w:eastAsia="Microsoft Sans Serif"/>
          <w:b w:val="0"/>
          <w:i w:val="0"/>
          <w:color w:val="0000FF"/>
          <w:sz w:val="22"/>
          <w:u w:val="single"/>
        </w:rPr>
        <w:hyperlink r:id="rId9" w:history="1">
          <w:r>
            <w:rPr>
              <w:rStyle w:val="Hyperlink"/>
            </w:rPr>
            <w:t>www.linkedin.com/in/rehagelreisa</w:t>
          </w:r>
        </w:hyperlink>
      </w:r>
      <w:r>
        <w:rPr>
          <w:rFonts w:ascii="Microsoft Sans Serif" w:hAnsi="Microsoft Sans Serif" w:eastAsia="Microsoft Sans Serif"/>
          <w:b w:val="0"/>
          <w:i w:val="0"/>
          <w:color w:val="0000FF"/>
          <w:sz w:val="22"/>
        </w:rPr>
        <w:t xml:space="preserve"> 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 xml:space="preserve"> </w:t>
      </w:r>
      <w:r>
        <w:rPr>
          <w:rFonts w:ascii="Microsoft Sans Serif" w:hAnsi="Microsoft Sans Serif" w:eastAsia="Microsoft Sans Serif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rehagelreisa96@gmail.com</w:t>
          </w:r>
        </w:hyperlink>
      </w:r>
      <w:r>
        <w:rPr>
          <w:rFonts w:ascii="Microsoft Sans Serif" w:hAnsi="Microsoft Sans Serif" w:eastAsia="Microsoft Sans Serif"/>
          <w:b w:val="0"/>
          <w:i w:val="0"/>
          <w:color w:val="0000FF"/>
          <w:sz w:val="22"/>
        </w:rPr>
        <w:t xml:space="preserve"> </w:t>
      </w:r>
      <w:r>
        <w:rPr>
          <w:rFonts w:ascii="Microsoft Sans Serif" w:hAnsi="Microsoft Sans Serif" w:eastAsia="Microsoft Sans Serif"/>
          <w:b w:val="0"/>
          <w:i w:val="0"/>
          <w:color w:val="000000"/>
          <w:sz w:val="22"/>
        </w:rPr>
        <w:t xml:space="preserve">| Lampung, Indonesia </w:t>
      </w:r>
    </w:p>
    <w:p>
      <w:pPr>
        <w:autoSpaceDN w:val="0"/>
        <w:autoSpaceDE w:val="0"/>
        <w:widowControl/>
        <w:spacing w:line="274" w:lineRule="exact" w:before="216" w:after="0"/>
        <w:ind w:left="90" w:right="160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>Professional with expertise in Sales and Export Management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, particularly in the agricultural sector, with a strong foundation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in Geographic Information Systems (GIS) and data analysis. Experienced in leveraging spatial data to optimize logistics, improve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customer targeting, and drive international sales. Skilled in managing client relationships, negotiating contracts, and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efficient export operations. This unique combination enhances market expansion, streamlines distribution processes, and boosts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overall sales performance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88" w:lineRule="auto" w:before="268" w:after="74"/>
        <w:ind w:left="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31"/>
        <w:gridCol w:w="5631"/>
      </w:tblGrid>
      <w:tr>
        <w:trPr>
          <w:trHeight w:hRule="exact" w:val="320"/>
        </w:trPr>
        <w:tc>
          <w:tcPr>
            <w:tcW w:type="dxa" w:w="735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2" w:after="0"/>
              <w:ind w:left="1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Vocational High School </w:t>
            </w:r>
            <w:r>
              <w:rPr>
                <w:rFonts w:ascii="Arial" w:hAnsi="Arial" w:eastAsia="Arial"/>
                <w:b/>
                <w:i w:val="0"/>
                <w:color w:val="929292"/>
                <w:sz w:val="20"/>
              </w:rPr>
              <w:t xml:space="preserve">- Bengkulu, Indonesia </w:t>
            </w:r>
          </w:p>
        </w:tc>
        <w:tc>
          <w:tcPr>
            <w:tcW w:type="dxa" w:w="3776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2019 - 2022</w:t>
            </w:r>
          </w:p>
        </w:tc>
      </w:tr>
    </w:tbl>
    <w:p>
      <w:pPr>
        <w:autoSpaceDN w:val="0"/>
        <w:autoSpaceDE w:val="0"/>
        <w:widowControl/>
        <w:spacing w:line="283" w:lineRule="auto" w:before="6" w:after="0"/>
        <w:ind w:left="17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Geomatic Engineering </w:t>
      </w:r>
    </w:p>
    <w:p>
      <w:pPr>
        <w:autoSpaceDN w:val="0"/>
        <w:autoSpaceDE w:val="0"/>
        <w:widowControl/>
        <w:spacing w:line="288" w:lineRule="auto" w:before="260" w:after="196"/>
        <w:ind w:left="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Work Experience </w:t>
      </w:r>
    </w:p>
    <w:p>
      <w:pPr>
        <w:sectPr>
          <w:pgSz w:w="11930" w:h="16860"/>
          <w:pgMar w:top="154" w:right="278" w:bottom="148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4" w:lineRule="auto" w:before="0" w:after="0"/>
        <w:ind w:left="170" w:right="288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RHG BEANS </w:t>
      </w:r>
      <w:r>
        <w:rPr>
          <w:rFonts w:ascii="Arial" w:hAnsi="Arial" w:eastAsia="Arial"/>
          <w:b/>
          <w:i w:val="0"/>
          <w:color w:val="929292"/>
          <w:sz w:val="20"/>
        </w:rPr>
        <w:t xml:space="preserve">– Lampung, Indonesia 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Export Sales Specialist </w:t>
      </w:r>
    </w:p>
    <w:p>
      <w:pPr>
        <w:sectPr>
          <w:type w:val="continuous"/>
          <w:pgSz w:w="11930" w:h="16860"/>
          <w:pgMar w:top="154" w:right="278" w:bottom="148" w:left="390" w:header="720" w:footer="720" w:gutter="0"/>
          <w:cols w:num="2" w:equalWidth="0">
            <w:col w:w="6534" w:space="0"/>
            <w:col w:w="47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66"/>
        <w:ind w:left="0" w:right="2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May 2022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Jun 2024 </w:t>
      </w:r>
    </w:p>
    <w:p>
      <w:pPr>
        <w:sectPr>
          <w:type w:val="nextColumn"/>
          <w:pgSz w:w="11930" w:h="16860"/>
          <w:pgMar w:top="154" w:right="278" w:bottom="148" w:left="390" w:header="720" w:footer="720" w:gutter="0"/>
          <w:cols w:num="2" w:equalWidth="0">
            <w:col w:w="6534" w:space="0"/>
            <w:col w:w="4728" w:space="0"/>
          </w:cols>
          <w:docGrid w:linePitch="360"/>
        </w:sectPr>
      </w:pPr>
    </w:p>
    <w:p>
      <w:pPr>
        <w:autoSpaceDN w:val="0"/>
        <w:tabs>
          <w:tab w:pos="590" w:val="left"/>
        </w:tabs>
        <w:autoSpaceDE w:val="0"/>
        <w:widowControl/>
        <w:spacing w:line="280" w:lineRule="exact" w:before="0" w:after="0"/>
        <w:ind w:left="23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Developed and maintained relationships with international buyers,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expanding the client base across multiple countries,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resulting in a 20% increase in export sales within one year. 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0" w:after="0"/>
        <w:ind w:left="23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Negotiated and closed contracts with key international clients,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securing long-term partnerships that boosted company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revenue by 25%. </w:t>
      </w:r>
    </w:p>
    <w:p>
      <w:pPr>
        <w:autoSpaceDN w:val="0"/>
        <w:tabs>
          <w:tab w:pos="590" w:val="left"/>
        </w:tabs>
        <w:autoSpaceDE w:val="0"/>
        <w:widowControl/>
        <w:spacing w:line="282" w:lineRule="exact" w:before="0" w:after="0"/>
        <w:ind w:left="23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Coordinated export processes,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ensuring smooth delivery and compliance with international trade regulations, enhancing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customer satisfaction. 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0" w:after="0"/>
        <w:ind w:left="23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Analyzed market trends and customer needs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to tailor product offerings, optimizing the sales strategy for different regions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and increasing competitiveness in global markets. </w:t>
      </w:r>
    </w:p>
    <w:p>
      <w:pPr>
        <w:autoSpaceDN w:val="0"/>
        <w:tabs>
          <w:tab w:pos="590" w:val="left"/>
        </w:tabs>
        <w:autoSpaceDE w:val="0"/>
        <w:widowControl/>
        <w:spacing w:line="282" w:lineRule="exact" w:before="0" w:after="0"/>
        <w:ind w:left="23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Promoted Indonesian coffee products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at international trade fairs and exhibitions, enhancing brand recognition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generating new business opportunities. </w:t>
      </w:r>
    </w:p>
    <w:p>
      <w:pPr>
        <w:autoSpaceDN w:val="0"/>
        <w:tabs>
          <w:tab w:pos="9568" w:val="left"/>
        </w:tabs>
        <w:autoSpaceDE w:val="0"/>
        <w:widowControl/>
        <w:spacing w:line="274" w:lineRule="exact" w:before="276" w:after="0"/>
        <w:ind w:left="1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Cargill </w:t>
      </w:r>
      <w:r>
        <w:rPr>
          <w:rFonts w:ascii="Arial" w:hAnsi="Arial" w:eastAsia="Arial"/>
          <w:b/>
          <w:i w:val="0"/>
          <w:color w:val="929292"/>
          <w:sz w:val="20"/>
        </w:rPr>
        <w:t xml:space="preserve">- Lampung, Indonesia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Sep 2022 – Jan 2023</w:t>
      </w:r>
    </w:p>
    <w:p>
      <w:pPr>
        <w:autoSpaceDN w:val="0"/>
        <w:autoSpaceDE w:val="0"/>
        <w:widowControl/>
        <w:spacing w:line="283" w:lineRule="auto" w:before="62" w:after="0"/>
        <w:ind w:left="17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SupplyChain – Intern </w:t>
      </w:r>
    </w:p>
    <w:p>
      <w:pPr>
        <w:autoSpaceDN w:val="0"/>
        <w:tabs>
          <w:tab w:pos="530" w:val="left"/>
        </w:tabs>
        <w:autoSpaceDE w:val="0"/>
        <w:widowControl/>
        <w:spacing w:line="266" w:lineRule="exact" w:before="256" w:after="0"/>
        <w:ind w:left="26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Optimized distribution routes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using spatial data analysis, directly contributing to increased sales efficiency by ensuring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timely product delivery to high-demand areas, reducing shipping costs by 15%. </w:t>
      </w:r>
    </w:p>
    <w:p>
      <w:pPr>
        <w:autoSpaceDN w:val="0"/>
        <w:tabs>
          <w:tab w:pos="530" w:val="left"/>
        </w:tabs>
        <w:autoSpaceDE w:val="0"/>
        <w:widowControl/>
        <w:spacing w:line="264" w:lineRule="exact" w:before="86" w:after="0"/>
        <w:ind w:left="26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Managed and analyzed customer data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using SAP and Microsoft Access, enhancing the ability to identify key sales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opportunities and tailor distribution strategies to meet customer demand. </w:t>
      </w:r>
    </w:p>
    <w:p>
      <w:pPr>
        <w:autoSpaceDN w:val="0"/>
        <w:tabs>
          <w:tab w:pos="530" w:val="left"/>
        </w:tabs>
        <w:autoSpaceDE w:val="0"/>
        <w:widowControl/>
        <w:spacing w:line="266" w:lineRule="exact" w:before="84" w:after="0"/>
        <w:ind w:left="26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Collaborated with the sales team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to implement an inventory tracking system, leveraging GIS to minimize stock loss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ensure product availability, supporting sales growth. </w:t>
      </w:r>
    </w:p>
    <w:p>
      <w:pPr>
        <w:autoSpaceDN w:val="0"/>
        <w:tabs>
          <w:tab w:pos="530" w:val="left"/>
        </w:tabs>
        <w:autoSpaceDE w:val="0"/>
        <w:widowControl/>
        <w:spacing w:line="266" w:lineRule="exact" w:before="82" w:after="0"/>
        <w:ind w:left="260" w:right="0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Utilized geomatics techniques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to enhance logistics operations, improving customer satisfaction through accurate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efficient delivery. </w:t>
      </w:r>
    </w:p>
    <w:p>
      <w:pPr>
        <w:autoSpaceDN w:val="0"/>
        <w:autoSpaceDE w:val="0"/>
        <w:widowControl/>
        <w:spacing w:line="288" w:lineRule="auto" w:before="282" w:after="0"/>
        <w:ind w:left="9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Skills </w:t>
      </w:r>
    </w:p>
    <w:p>
      <w:pPr>
        <w:autoSpaceDN w:val="0"/>
        <w:tabs>
          <w:tab w:pos="496" w:val="left"/>
        </w:tabs>
        <w:autoSpaceDE w:val="0"/>
        <w:widowControl/>
        <w:spacing w:line="218" w:lineRule="exact" w:before="276" w:after="0"/>
        <w:ind w:left="230" w:right="144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Sales and Business 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Expertise in building and maintaining relationships with clients, negotiating contracts,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expanding market presence. </w:t>
      </w:r>
    </w:p>
    <w:p>
      <w:pPr>
        <w:autoSpaceDN w:val="0"/>
        <w:tabs>
          <w:tab w:pos="496" w:val="left"/>
        </w:tabs>
        <w:autoSpaceDE w:val="0"/>
        <w:widowControl/>
        <w:spacing w:line="220" w:lineRule="exact" w:before="216" w:after="0"/>
        <w:ind w:left="230" w:right="144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Export and International Trade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Proficient in managing export processes, including documentation, logistics, and compliance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trade regulations. </w:t>
      </w:r>
    </w:p>
    <w:p>
      <w:pPr>
        <w:autoSpaceDN w:val="0"/>
        <w:tabs>
          <w:tab w:pos="496" w:val="left"/>
        </w:tabs>
        <w:autoSpaceDE w:val="0"/>
        <w:widowControl/>
        <w:spacing w:line="218" w:lineRule="exact" w:before="220" w:after="0"/>
        <w:ind w:left="230" w:right="144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Customer Relationship Management (CRM)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Skilled in using tools like SAP and Microsoft Access to manage customer data,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track sales performance, and enhance customer engagement. </w:t>
      </w:r>
    </w:p>
    <w:p>
      <w:pPr>
        <w:autoSpaceDN w:val="0"/>
        <w:tabs>
          <w:tab w:pos="496" w:val="left"/>
        </w:tabs>
        <w:autoSpaceDE w:val="0"/>
        <w:widowControl/>
        <w:spacing w:line="218" w:lineRule="exact" w:before="220" w:after="0"/>
        <w:ind w:left="230" w:right="144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Data Analysis &amp; Reporting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Ability to analyze market trends and customer data to inform strategic sales decisions and optimize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performance. </w:t>
      </w:r>
    </w:p>
    <w:p>
      <w:pPr>
        <w:autoSpaceDN w:val="0"/>
        <w:tabs>
          <w:tab w:pos="496" w:val="left"/>
        </w:tabs>
        <w:autoSpaceDE w:val="0"/>
        <w:widowControl/>
        <w:spacing w:line="216" w:lineRule="exact" w:before="224" w:after="0"/>
        <w:ind w:left="230" w:right="144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Geographic Information Systems (GIS)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Leveraging spatial data to support sales strategies, enhance logistics, and improve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market targeting. </w:t>
      </w:r>
    </w:p>
    <w:p>
      <w:pPr>
        <w:autoSpaceDN w:val="0"/>
        <w:tabs>
          <w:tab w:pos="496" w:val="left"/>
        </w:tabs>
        <w:autoSpaceDE w:val="0"/>
        <w:widowControl/>
        <w:spacing w:line="220" w:lineRule="exact" w:before="218" w:after="0"/>
        <w:ind w:left="230" w:right="144" w:firstLine="0"/>
        <w:jc w:val="left"/>
      </w:pPr>
      <w:r>
        <w:rPr>
          <w:w w:val="98.5989761352539"/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Communication &amp; Negotiation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 Strong communication and negotiation skills, essential for closing deals and maintaining client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satisfaction. </w:t>
      </w:r>
    </w:p>
    <w:sectPr w:rsidR="00FC693F" w:rsidRPr="0006063C" w:rsidSect="00034616">
      <w:type w:val="continuous"/>
      <w:pgSz w:w="11930" w:h="16860"/>
      <w:pgMar w:top="154" w:right="278" w:bottom="148" w:left="3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linkedin.com/in/rehagelreisa" TargetMode="External"/><Relationship Id="rId10" Type="http://schemas.openxmlformats.org/officeDocument/2006/relationships/hyperlink" Target="mailto:rehagelreis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