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C3FC5"/>
          <w:sz w:val="96"/>
          <w:szCs w:val="96"/>
        </w:rPr>
        <w:t xml:space="preserve">POTLUCK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66"/>
          <w:sz w:val="32"/>
          <w:szCs w:val="32"/>
        </w:rPr>
        <w:t xml:space="preserve">Prize-Linked Savings — Gamified.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Product Spec &amp; Go-to-Market Roadmap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Version 1.0  —  March 2026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1. Vision &amp; Positioning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Potluck is a prize-linked savings platform where members deposit money they can withdraw at any time — but while it’s in the pot, they compete for life-changing cash draws. Your principal is always safe. But today could be your day.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FC5"/>
                <w:sz w:val="22"/>
                <w:szCs w:val="22"/>
              </w:rPr>
              <w:t xml:space="preserve">💡 The Core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We’re not selling a lottery ticket. We’re selling a high-yield savings account that also happens to be the most exciting app on your phone. The pitch: “Your money is safe. But it might also make you rich.”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The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Traditional savings accounts are boring — people don’t engage with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Lotteries are exciting but feel like throwing money away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product combines the emotional thrill of a lottery with the financial safety of savings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 Z and millennials are under-saved but over-engaged with gamified apps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The 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Deposit funds into an FDIC-insured partner account — withdrawable anytime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Interest earned on deposits funds the prize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Regular draw events with massive social moments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longer you stay, the better your odds — loyalty is rewarded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truly lose. Every draw ends with bonus entries, streak rewards, or social engagement</w:t>
      </w:r>
    </w:p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2. Financial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How the Money Works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Potluck operates under Prize-Linked Savings Account (PLSA) legislation, currently legal in 40+ US states. User deposits are held in an FDIC-insured account via a partner bank or credit union. Potluck earns revenue from the spread between interest generated and prizes paid out.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 Deposits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$25 – $5,000 per member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Interest Rate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~4.5–5% APY (current market rate at partner bank)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Prize Pool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~60–70% of total interest earned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Potluck Revenue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~30–40% spread + optional membership tier fees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Draw Window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90 days (primary), 30-day mini draws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Principal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Always withdrawable, no lockup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Illustrative Economics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100,000 members × $500 average deposit = $50M AUM. At 4.8% APY that’s $2.4M annual interest. 65% to prizes = $1.56M in annual prizes. 35% to Potluck = $840K from spread alone, before any membership fees.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Monetization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Interest spread (primary — scales with AUM)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 Potluck+ membership tier ($4.99/mo) for 2x entries and premium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rewards (bonus entries, not cash — keeps costs 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 sponsorships for special event draws (e.g., “Sponsored by X” prize pools)</w:t>
      </w:r>
    </w:p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3. Core Product Features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up with phone number or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KYC / identity verification (Persona or Stripe Identity)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bank account via Plaid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deposit amount ($25 minimum)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Immediately see live pot size, countdown to next draw, and your current odds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The Draw Experience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draw is the product’s beating heart. It must feel like an event — not a quiet notification.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Scheduled draws: Primary 90-day Grand Draw + monthly Mini Draws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 campaign 24hrs, 1hr, and 10 mins before draw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countdown accessible from home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Draw event: animated sequence, rising tension, winner reveal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Entire community can “watch” the draw in a shared live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Winner announcement with confetti, profile card, and prize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Non-winners immediately see: streak preserved, bonus entries added, next draw countdown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Social Gamification Layer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Streaks &amp; Loyalty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draw you remain a member without winning = streak +1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Streaks multiply your entries: 1 draw = 1x, 5 draws = 1.5x, 10 draws = 2x, 20+ = 3x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Streaks are visible on your profile — a badge of endurance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breaks if you withdraw principal before draw closes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Syndicates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or join a group of up to 10 friends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Winnings split equally within syndicate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Syndicates have shared leaderboards, group streak, and group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powerful viral loop: users recruit friends because it directly helps them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Challenges &amp; Daily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check-in = 1 bonus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 a friend = 50 bonus entries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 deposit = entries scale proportionally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profile = 10 entries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share after near-miss = 5 entries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Community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ticker: “Pot is now $2.4M”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Winner stories / optional profiles in Hall of Fame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Near-miss feed: “Mike was #3,412 — so close!”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Reaction emojis during live draw events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The “No Loss” Feel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FC5"/>
                <w:sz w:val="22"/>
                <w:szCs w:val="22"/>
              </w:rPr>
              <w:t xml:space="preserve">🏆 It Never Feels Like a Loss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non-winning draw ends with: bonus entries added to your account, streak milestone celebrated, a shareable “So Close” card, a preview of your improved odds for next draw, and an immediate “Next Draw in X days” hook.</w:t>
            </w:r>
          </w:p>
        </w:tc>
      </w:tr>
    </w:tbl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4. Technical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Tech Stack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React Native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Single codebase for iOS + Android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Node.js + PostgreSQL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Scalable, familiar, strong fintech ecosystem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Clerk or Auth0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KYC-ready, fast to ship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Synapse or Unit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Banking-as-a-service for FDIC accounts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Bank Linking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Plaid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Standard for ACH &amp; account verification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Randomness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Chainlink VRF or NIST beacon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Provably fair, auditable draws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Expo + FCM/APNs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React Native native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Supabase Realtime or Pusher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Live pot ticker, draw events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Amplitude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Retention + funnel tracking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Provably Fair Draws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is everything. Draws must be cryptographically verifiable. Use Chainlink VRF (on-chain verifiable randomness) or publish draw seeds via NIST Randomness Beacon. Post results publicly with verification instructions. This becomes a competitive differentiator over any lottery product.</w:t>
      </w:r>
    </w:p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5. Regulatory &amp; Legal Path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Prize-Linked Savings Framework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PLSAs are governed by state-level statutes, not federal lottery law. The key distinction: participants never lose their principal. This removes it from gambling classification in most jurisdictions.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40+ US states have explicit PLSA-enabling legislation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partner with a federally-insured depository institution (bank or credit union)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Prizes must come from interest earned, not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alternative method of entry (AMOE) may be required in some states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Regulatory Partners to Engage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Banking partner: Evolve Bank &amp; Trust, Blue Ridge Bank, or a local credit union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 counsel: specialist in fintech / banking law with PLSA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Compliance: BSA/AML program required; partner bank typically sponsors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Reference models: Yotta (now rebranded), Save to Win (Michigan), WinIt (credit union model)</w:t>
      </w:r>
    </w:p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6. Product Roadmap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Foundation (Months 1–4)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 banking partner &amp; legal opinion on PLSA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MVP app: deposit, withdraw, entry tracking, basic draw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KYC / AML compliance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Provably fair draw mechanism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Waitlist &amp; pre-launch community building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1,000 beta users, $500K AUM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Social Layer (Months 4–8)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Syndicates (group play)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system &amp; loyalty multipliers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draw events with real-time reactions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feed &amp; Hall of Fame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program (bonus entries)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10,000 members, $5M AUM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Growth (Months 8–12)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Potluck+ premium tier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Sponsored draw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 draws (monthly cadence) alongside Grand Draw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Near-miss social share cards (TikTok / IG virality)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Android + iOS polished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50,000 members, $25M AUM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4 — Scale (Year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Geographic expansion (Canada, UK — similar regulatory frameworks exist)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/ white-label for credit unions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Crypto yield integration (optional — higher APY = bigger prize pool)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250,000 members, $150M AUM</w:t>
      </w:r>
    </w:p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7. Brand &amp;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FC5"/>
                <w:sz w:val="22"/>
                <w:szCs w:val="22"/>
              </w:rPr>
              <w:t xml:space="preserve">🎰 Brand Direction: POTLUCK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Everyone throws something in. It might be your lucky day. The name is warm, communal, and culturally universal. It suggests abundance, luck, and shared experience — without feeling like a casino. Tagline: “Your money’s safe. But today could be your day.”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Visual Identity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palette: Deep purple + electric gold — premium but playful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Typography: Bold, modern sans-serif. Big numbers, big moments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Motion: The reveal animation is signature brand IP. Invest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Tone of voice: Warm, exciting, trustworthy. Not gambling. Not banking. Something new.</w:t>
      </w:r>
    </w:p>
    <w:p>
      <w:pPr>
        <w:pBdr>
          <w:bottom w:val="single" w:color="C5A8FF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C3FC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(End of Year 1)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Members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50,000+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AUM (Assets Under Management)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$25M+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Monthly Active Users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&gt;70% of members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30-Day Retention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&gt;65%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Draw Event Participation Rate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&gt;80% of members watch live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Referral Rate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&gt;25% of new users from referrals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Net Promoter Score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60+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Monthly Revenue (Spread)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$80K+ (scaling with AUM)</w:t>
            </w:r>
          </w:p>
        </w:tc>
      </w:tr>
    </w:tbl>
    <w:p>
      <w:pPr>
        <w:spacing w:before="4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—  End of Document 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FF" w:sz="2" w:space="1"/>
      </w:pBdr>
      <w:spacing w:before="120"/>
    </w:pPr>
    <w:r>
      <w:rPr>
        <w:rFonts w:ascii="Arial" w:cs="Arial" w:eastAsia="Arial" w:hAnsi="Arial"/>
        <w:color w:val="444466"/>
        <w:sz w:val="18"/>
        <w:szCs w:val="18"/>
      </w:rPr>
      <w:t xml:space="preserve">2026 — Confidential &amp; Proprietary</w:t>
    </w:r>
    <w:r>
      <w:rPr>
        <w:rFonts w:ascii="Arial" w:cs="Arial" w:eastAsia="Arial" w:hAnsi="Arial"/>
        <w:color w:val="444466"/>
        <w:sz w:val="18"/>
        <w:szCs w:val="18"/>
      </w:rPr>
      <w:t xml:space="preserve">          Page </w:t>
    </w:r>
    <w:r>
      <w:rPr>
        <w:rFonts w:ascii="Arial" w:cs="Arial" w:eastAsia="Arial" w:hAnsi="Arial"/>
        <w:color w:val="6C3FC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FC5" w:sz="4" w:space="1"/>
      </w:pBdr>
      <w:spacing w:after="0"/>
    </w:pPr>
    <w:r>
      <w:rPr>
        <w:rFonts w:ascii="Arial" w:cs="Arial" w:eastAsia="Arial" w:hAnsi="Arial"/>
        <w:b/>
        <w:bCs/>
        <w:color w:val="6C3FC5"/>
        <w:sz w:val="20"/>
        <w:szCs w:val="20"/>
      </w:rPr>
      <w:t xml:space="preserve">POTLUCK </w:t>
    </w:r>
    <w:r>
      <w:rPr>
        <w:rFonts w:ascii="Arial" w:cs="Arial" w:eastAsia="Arial" w:hAnsi="Arial"/>
        <w:color w:val="444466"/>
        <w:sz w:val="20"/>
        <w:szCs w:val="20"/>
      </w:rPr>
      <w:t xml:space="preserve">  |  Product Spec &amp; Roadmap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6C3FC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2026-03-02T20:21:41.244Z</dcterms:created>
  <dcterms:modified xsi:type="dcterms:W3CDTF">2026-03-02T20:21:41.245Z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