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pPr>
      <w:r>
        <w:t xml:space="preserve"/>
      </w:r>
    </w:p>
    <w:p>
      <w:pPr>
        <w:spacing w:before="0" w:after="80"/>
      </w:pPr>
      <w:r>
        <w:rPr>
          <w:rFonts w:ascii="Georgia" w:cs="Georgia" w:eastAsia="Georgia" w:hAnsi="Georgia"/>
          <w:b/>
          <w:bCs/>
          <w:color w:val="111111"/>
          <w:spacing w:val="80"/>
          <w:sz w:val="80"/>
          <w:szCs w:val="80"/>
        </w:rPr>
        <w:t xml:space="preserve">POTLUCK</w:t>
      </w:r>
    </w:p>
    <w:p>
      <w:pPr>
        <w:spacing w:before="0" w:after="80"/>
      </w:pPr>
      <w:r>
        <w:rPr>
          <w:rFonts w:ascii="Georgia" w:cs="Georgia" w:eastAsia="Georgia" w:hAnsi="Georgia"/>
          <w:color w:val="666666"/>
          <w:sz w:val="36"/>
          <w:szCs w:val="36"/>
        </w:rPr>
        <w:t xml:space="preserve">Regulatory Counsel Brief</w:t>
      </w:r>
    </w:p>
    <w:p>
      <w:pPr>
        <w:spacing w:before="0" w:after="40"/>
      </w:pPr>
      <w:r>
        <w:rPr>
          <w:rFonts w:ascii="Arial" w:cs="Arial" w:eastAsia="Arial" w:hAnsi="Arial"/>
          <w:color w:val="666666"/>
          <w:sz w:val="21"/>
          <w:szCs w:val="21"/>
        </w:rPr>
        <w:t xml:space="preserve">Prepared for: Crypto / Fintech Regulatory Counsel</w:t>
      </w:r>
    </w:p>
    <w:p>
      <w:pPr>
        <w:spacing w:before="0" w:after="40"/>
      </w:pPr>
      <w:r>
        <w:rPr>
          <w:rFonts w:ascii="Arial" w:cs="Arial" w:eastAsia="Arial" w:hAnsi="Arial"/>
          <w:color w:val="666666"/>
          <w:sz w:val="21"/>
          <w:szCs w:val="21"/>
        </w:rPr>
        <w:t xml:space="preserve">Prepared by: Potluck Founder  ·  March 5, 2026</w:t>
      </w:r>
    </w:p>
    <w:p>
      <w:pPr>
        <w:spacing w:before="0" w:after="240"/>
      </w:pPr>
      <w:r>
        <w:rPr>
          <w:rFonts w:ascii="Arial" w:cs="Arial" w:eastAsia="Arial" w:hAnsi="Arial"/>
          <w:color w:val="666666"/>
          <w:sz w:val="21"/>
          <w:szCs w:val="21"/>
        </w:rPr>
        <w:t xml:space="preserve">Status: Pre-launch · Abstract Testnet · Seeking regulatory opinion before mainnet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14"/>
              <w:bottom w:val="none" w:color="FFFFFF" w:sz="0"/>
              <w:right w:val="none" w:color="FFFFFF" w:sz="0"/>
            </w:tcBorders>
            <w:shd w:fill="FDFCF5" w:val="clear"/>
            <w:tcMar>
              <w:top w:type="dxa" w:w="160"/>
              <w:left w:type="dxa" w:w="280"/>
              <w:bottom w:type="dxa" w:w="160"/>
              <w:right w:type="dxa" w:w="280"/>
            </w:tcMar>
          </w:tcPr>
          <w:p>
            <w:pPr>
              <w:spacing w:before="0" w:after="0"/>
            </w:pPr>
            <w:r>
              <w:rPr>
                <w:rFonts w:ascii="Georgia" w:cs="Georgia" w:eastAsia="Georgia" w:hAnsi="Georgia"/>
                <w:color w:val="111111"/>
                <w:sz w:val="22"/>
                <w:szCs w:val="22"/>
              </w:rPr>
              <w:t xml:space="preserve">This document is prepared to enable efficient first-opinion regulatory counsel on a DeFi-native prize-linked savings protocol. We are seeking written legal opinion on our exposure across money transmission, prize-linked savings law, securities classification, and card issuance before deploying to mainnet with real user funds.</w:t>
            </w:r>
          </w:p>
        </w:tc>
      </w:tr>
    </w:tbl>
    <w:p>
      <w:pPr>
        <w:spacing w:before="0" w:after="100"/>
      </w:pPr>
      <w:r>
        <w:t xml:space="preserve"/>
      </w:r>
    </w:p>
    <w:p>
      <w:pPr>
        <w:spacing w:before="0" w:after="100"/>
      </w:pPr>
      <w:r>
        <w:t xml:space="preserve"/>
      </w:r>
    </w:p>
    <w:p>
      <w:pPr>
        <w:pStyle w:val="Heading1"/>
        <w:pBdr>
          <w:bottom w:val="single" w:color="DDDDDD" w:sz="2"/>
        </w:pBdr>
        <w:spacing w:before="560" w:after="160"/>
      </w:pPr>
      <w:r>
        <w:rPr>
          <w:rFonts w:ascii="Georgia" w:cs="Georgia" w:eastAsia="Georgia" w:hAnsi="Georgia"/>
          <w:b/>
          <w:bCs/>
          <w:color w:val="111111"/>
          <w:sz w:val="40"/>
          <w:szCs w:val="40"/>
        </w:rPr>
        <w:t xml:space="preserve">1. Product Overview</w:t>
      </w:r>
    </w:p>
    <w:p>
      <w:pPr>
        <w:pStyle w:val="Heading2"/>
        <w:spacing w:before="360" w:after="120"/>
      </w:pPr>
      <w:r>
        <w:rPr>
          <w:rFonts w:ascii="Georgia" w:cs="Georgia" w:eastAsia="Georgia" w:hAnsi="Georgia"/>
          <w:b/>
          <w:bCs/>
          <w:color w:val="111111"/>
          <w:sz w:val="26"/>
          <w:szCs w:val="26"/>
        </w:rPr>
        <w:t xml:space="preserve">1.1  What Potluck Is</w:t>
      </w:r>
    </w:p>
    <w:p>
      <w:pPr>
        <w:spacing w:before="0" w:after="120"/>
      </w:pPr>
      <w:r>
        <w:rPr>
          <w:rFonts w:ascii="Arial" w:cs="Arial" w:eastAsia="Arial" w:hAnsi="Arial"/>
          <w:color w:val="111111"/>
          <w:sz w:val="22"/>
          <w:szCs w:val="22"/>
        </w:rPr>
        <w:t xml:space="preserve">Potluck is a non-custodial, DeFi-native prize-linked savings application built on Abstract L2 (an Ethereum Layer 2 network). Users deposit USDC stablecoin into an audited ERC-4626 smart contract vault. That vault deploys deposited capital to Aave (a decentralized lending protocol) to generate yield. The yield — not the principal — is periodically swept into a prize pool. A provably fair draw using Chainlink VRF (Verifiable Random Function) selects a winning ticket holder every 90 days. The winner receives the accumulated prize pool. All other depositors retain 100% of their original principal and may withdraw at any time.</w:t>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1.2  What Potluck Is Not</w:t>
      </w:r>
    </w:p>
    <w:p>
      <w:pPr>
        <w:pStyle w:val="ListParagraph"/>
        <w:numPr>
          <w:ilvl w:val="0"/>
          <w:numId w:val="2"/>
        </w:numPr>
        <w:spacing w:before="0" w:after="100"/>
      </w:pPr>
      <w:r>
        <w:rPr>
          <w:rFonts w:ascii="Arial" w:cs="Arial" w:eastAsia="Arial" w:hAnsi="Arial"/>
          <w:color w:val="111111"/>
          <w:sz w:val="22"/>
          <w:szCs w:val="22"/>
        </w:rPr>
        <w:t xml:space="preserve">We are not a bank, credit union, or depository institution</w:t>
      </w:r>
    </w:p>
    <w:p>
      <w:pPr>
        <w:pStyle w:val="ListParagraph"/>
        <w:numPr>
          <w:ilvl w:val="0"/>
          <w:numId w:val="2"/>
        </w:numPr>
        <w:spacing w:before="0" w:after="100"/>
      </w:pPr>
      <w:r>
        <w:rPr>
          <w:rFonts w:ascii="Arial" w:cs="Arial" w:eastAsia="Arial" w:hAnsi="Arial"/>
          <w:color w:val="111111"/>
          <w:sz w:val="22"/>
          <w:szCs w:val="22"/>
        </w:rPr>
        <w:t xml:space="preserve">We do not custody user funds — funds are held in a non-custodial smart contract</w:t>
      </w:r>
    </w:p>
    <w:p>
      <w:pPr>
        <w:pStyle w:val="ListParagraph"/>
        <w:numPr>
          <w:ilvl w:val="0"/>
          <w:numId w:val="2"/>
        </w:numPr>
        <w:spacing w:before="0" w:after="100"/>
      </w:pPr>
      <w:r>
        <w:rPr>
          <w:rFonts w:ascii="Arial" w:cs="Arial" w:eastAsia="Arial" w:hAnsi="Arial"/>
          <w:color w:val="111111"/>
          <w:sz w:val="22"/>
          <w:szCs w:val="22"/>
        </w:rPr>
        <w:t xml:space="preserve">We do not operate a lottery — no tickets are purchased, no money is spent to enter</w:t>
      </w:r>
    </w:p>
    <w:p>
      <w:pPr>
        <w:pStyle w:val="ListParagraph"/>
        <w:numPr>
          <w:ilvl w:val="0"/>
          <w:numId w:val="2"/>
        </w:numPr>
        <w:spacing w:before="0" w:after="100"/>
      </w:pPr>
      <w:r>
        <w:rPr>
          <w:rFonts w:ascii="Arial" w:cs="Arial" w:eastAsia="Arial" w:hAnsi="Arial"/>
          <w:color w:val="111111"/>
          <w:sz w:val="22"/>
          <w:szCs w:val="22"/>
        </w:rPr>
        <w:t xml:space="preserve">We do not guarantee any return — yield is variable and market-dependent</w:t>
      </w:r>
    </w:p>
    <w:p>
      <w:pPr>
        <w:pStyle w:val="ListParagraph"/>
        <w:numPr>
          <w:ilvl w:val="0"/>
          <w:numId w:val="2"/>
        </w:numPr>
        <w:spacing w:before="0" w:after="100"/>
      </w:pPr>
      <w:r>
        <w:rPr>
          <w:rFonts w:ascii="Arial" w:cs="Arial" w:eastAsia="Arial" w:hAnsi="Arial"/>
          <w:color w:val="111111"/>
          <w:sz w:val="22"/>
          <w:szCs w:val="22"/>
        </w:rPr>
        <w:t xml:space="preserve">We do not sell securities — users are not investing in a common enterprise managed by Potluck</w:t>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1.3  The Core Legal Thesis We Are Operating Under</w:t>
      </w:r>
    </w:p>
    <w:p>
      <w:pPr>
        <w:spacing w:before="0" w:after="120"/>
      </w:pPr>
      <w:r>
        <w:rPr>
          <w:rFonts w:ascii="Arial" w:cs="Arial" w:eastAsia="Arial" w:hAnsi="Arial"/>
          <w:color w:val="111111"/>
          <w:sz w:val="22"/>
          <w:szCs w:val="22"/>
        </w:rPr>
        <w:t xml:space="preserve">Potluck is structured on the legal theory that a non-custodial smart contract protocol, where users interact directly with on-chain contracts and Potluck never takes custody of funds, falls outside the definition of money transmission under most state MSB statutes. We are seeking counsel to confirm, challenge, or refine this thesis before launch.</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1A" w:sz="14"/>
              <w:bottom w:val="none" w:color="FFFFFF" w:sz="0"/>
              <w:right w:val="none" w:color="FFFFFF" w:sz="0"/>
            </w:tcBorders>
            <w:shd w:fill="F5FDF5" w:val="clear"/>
            <w:tcMar>
              <w:top w:type="dxa" w:w="160"/>
              <w:left w:type="dxa" w:w="280"/>
              <w:bottom w:type="dxa" w:w="160"/>
              <w:right w:type="dxa" w:w="280"/>
            </w:tcMar>
          </w:tcPr>
          <w:p>
            <w:pPr>
              <w:spacing w:before="0" w:after="60"/>
            </w:pPr>
            <w:r>
              <w:rPr>
                <w:rFonts w:ascii="Arial" w:cs="Arial" w:eastAsia="Arial" w:hAnsi="Arial"/>
                <w:b/>
                <w:bCs/>
                <w:color w:val="1A5C1A"/>
                <w:spacing w:val="60"/>
                <w:sz w:val="17"/>
                <w:szCs w:val="17"/>
              </w:rPr>
              <w:t xml:space="preserve">KEY STRUCTURAL CHOICE</w:t>
            </w:r>
          </w:p>
          <w:p>
            <w:pPr>
              <w:spacing w:before="0" w:after="0"/>
            </w:pPr>
            <w:r>
              <w:rPr>
                <w:rFonts w:ascii="Arial" w:cs="Arial" w:eastAsia="Arial" w:hAnsi="Arial"/>
                <w:color w:val="111111"/>
                <w:sz w:val="21"/>
                <w:szCs w:val="21"/>
              </w:rPr>
              <w:t xml:space="preserve">We deliberately chose Abstract L2 + ERC-4626 + Chainlink VRF specifically to minimize regulatory surface area. There is no bank partner. There is no BaaS intermediary. There is no Synapse. User funds are in the smart contract — not in an account held by Potluck or a partner institution. This is the opposite of how Yotta and PrizePool.com were structured, both of which collapsed when their banking partners failed.</w:t>
            </w:r>
          </w:p>
        </w:tc>
      </w:tr>
    </w:tbl>
    <w:p>
      <w:pPr>
        <w:pStyle w:val="Heading1"/>
        <w:pBdr>
          <w:bottom w:val="single" w:color="DDDDDD" w:sz="2"/>
        </w:pBdr>
        <w:spacing w:before="560" w:after="160"/>
      </w:pPr>
      <w:r>
        <w:rPr>
          <w:rFonts w:ascii="Georgia" w:cs="Georgia" w:eastAsia="Georgia" w:hAnsi="Georgia"/>
          <w:b/>
          <w:bCs/>
          <w:color w:val="111111"/>
          <w:sz w:val="40"/>
          <w:szCs w:val="40"/>
        </w:rPr>
        <w:t xml:space="preserve">2. Technical &amp; Legal Structure</w:t>
      </w:r>
    </w:p>
    <w:p>
      <w:pPr>
        <w:pStyle w:val="Heading2"/>
        <w:spacing w:before="360" w:after="120"/>
      </w:pPr>
      <w:r>
        <w:rPr>
          <w:rFonts w:ascii="Georgia" w:cs="Georgia" w:eastAsia="Georgia" w:hAnsi="Georgia"/>
          <w:b/>
          <w:bCs/>
          <w:color w:val="111111"/>
          <w:sz w:val="26"/>
          <w:szCs w:val="26"/>
        </w:rPr>
        <w:t xml:space="preserve">2.1  Smart Contract Architecture</w:t>
      </w:r>
    </w:p>
    <w:p>
      <w:pPr>
        <w:spacing w:before="0" w:after="120"/>
      </w:pPr>
      <w:r>
        <w:rPr>
          <w:rFonts w:ascii="Arial" w:cs="Arial" w:eastAsia="Arial" w:hAnsi="Arial"/>
          <w:color w:val="111111"/>
          <w:sz w:val="22"/>
          <w:szCs w:val="22"/>
        </w:rPr>
        <w:t xml:space="preserve">The protocol consists of three smart contracts, all deployed on Abstract L2:</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PotluckVault.sol</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ERC-4626 compliant tokenized vault. Accepts USDC deposits. Routes capital to Aave lending pools to generate yield. Issues non-transferable vault shares to depositors. Principal always redeemable directly from contract.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PotluckTickets.sol</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Non-transferable ERC-1155 ticket contract. Issues draw entries proportional to deposit size and time-weighted streak multiplier. Cannot be bought, sold, or transferred — entries are earned only by depositing.</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PrizePool.sol</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Accumulates yield swept from PotluckVault. Calls Chainlink VRF to request verifiable randomness. Resolves winning ticket. Distributes prize to winner wallet automatically and immediately on-chain.</w:t>
            </w:r>
          </w:p>
        </w:tc>
      </w:tr>
    </w:tbl>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2.2  Fund Flow — Step by Step</w:t>
      </w:r>
    </w:p>
    <w:p>
      <w:pPr>
        <w:spacing w:before="0" w:after="120"/>
      </w:pPr>
      <w:r>
        <w:rPr>
          <w:rFonts w:ascii="Arial" w:cs="Arial" w:eastAsia="Arial" w:hAnsi="Arial"/>
          <w:color w:val="111111"/>
          <w:sz w:val="22"/>
          <w:szCs w:val="22"/>
        </w:rPr>
        <w:t xml:space="preserve">The following describes the complete lifecycle of user funds: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DDDDDD" w:sz="1"/>
              <w:left w:val="single" w:color="DDDDDD" w:sz="1"/>
              <w:bottom w:val="single" w:color="DDDDDD" w:sz="1"/>
              <w:right w:val="single" w:color="DDDDDD" w:sz="1"/>
            </w:tcBorders>
            <w:shd w:fill="111111"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Step</w:t>
            </w:r>
          </w:p>
        </w:tc>
        <w:tc>
          <w:tcPr>
            <w:tcW w:type="dxa" w:w="2400"/>
            <w:tcBorders>
              <w:top w:val="single" w:color="DDDDDD" w:sz="1"/>
              <w:left w:val="single" w:color="DDDDDD" w:sz="1"/>
              <w:bottom w:val="single" w:color="DDDDDD" w:sz="1"/>
              <w:right w:val="single" w:color="DDDDDD" w:sz="1"/>
            </w:tcBorders>
            <w:shd w:fill="111111"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Actor</w:t>
            </w:r>
          </w:p>
        </w:tc>
        <w:tc>
          <w:tcPr>
            <w:tcW w:type="dxa" w:w="6160"/>
            <w:tcBorders>
              <w:top w:val="single" w:color="DDDDDD" w:sz="1"/>
              <w:left w:val="single" w:color="DDDDDD" w:sz="1"/>
              <w:bottom w:val="single" w:color="DDDDDD" w:sz="1"/>
              <w:right w:val="single" w:color="DDDDDD" w:sz="1"/>
            </w:tcBorders>
            <w:shd w:fill="111111" w:val="clear"/>
            <w:tcMar>
              <w:top w:type="dxa" w:w="80"/>
              <w:left w:type="dxa" w:w="140"/>
              <w:bottom w:type="dxa" w:w="80"/>
              <w:right w:type="dxa" w:w="140"/>
            </w:tcMar>
          </w:tcPr>
          <w:p>
            <w:pPr>
              <w:spacing w:before="0" w:after="0"/>
            </w:pPr>
            <w:r>
              <w:rPr>
                <w:rFonts w:ascii="Arial" w:cs="Arial" w:eastAsia="Arial" w:hAnsi="Arial"/>
                <w:b/>
                <w:bCs/>
                <w:color w:val="FFFFFF"/>
                <w:sz w:val="19"/>
                <w:szCs w:val="19"/>
              </w:rPr>
              <w:t xml:space="preserve">Action</w:t>
            </w:r>
          </w:p>
        </w:tc>
      </w:tr>
      <w:tr>
        <w:tc>
          <w:tcPr>
            <w:tcW w:type="dxa" w:w="8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1</w:t>
            </w:r>
          </w:p>
        </w:tc>
        <w:tc>
          <w:tcPr>
            <w:tcW w:type="dxa" w:w="24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User</w:t>
            </w:r>
          </w:p>
        </w:tc>
        <w:tc>
          <w:tcPr>
            <w:tcW w:type="dxa" w:w="616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Approves USDC transfer to PotluckVault.sol via their own wallet. Potluck never touches the approval.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2</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Smart Contract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PotluckVault.sol receives USDC. Issues non-transferable vault shares to user wallet. Deploys USDC to Aave.</w:t>
            </w:r>
          </w:p>
        </w:tc>
      </w:tr>
      <w:tr>
        <w:tc>
          <w:tcPr>
            <w:tcW w:type="dxa" w:w="8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3</w:t>
            </w:r>
          </w:p>
        </w:tc>
        <w:tc>
          <w:tcPr>
            <w:tcW w:type="dxa" w:w="24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Aave Protocol</w:t>
            </w:r>
          </w:p>
        </w:tc>
        <w:tc>
          <w:tcPr>
            <w:tcW w:type="dxa" w:w="616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Generates variable yield (~4–5% APY) on pooled USDC. Yield accrues to PotluckVault.sol.</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4</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Smart Contract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At draw intervals, PrizePool.sol sweeps yield from PotluckVault. 60–70% to prize pool, 30–35% to protocol treasury.</w:t>
            </w:r>
          </w:p>
        </w:tc>
      </w:tr>
      <w:tr>
        <w:tc>
          <w:tcPr>
            <w:tcW w:type="dxa" w:w="8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5</w:t>
            </w:r>
          </w:p>
        </w:tc>
        <w:tc>
          <w:tcPr>
            <w:tcW w:type="dxa" w:w="24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Chainlink VRF</w:t>
            </w:r>
          </w:p>
        </w:tc>
        <w:tc>
          <w:tcPr>
            <w:tcW w:type="dxa" w:w="616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PrizePool.sol requests verifiable randomness from Chainlink oracle. Result is cryptographically unpredictable and publicly verifiable on-chain.</w:t>
            </w:r>
          </w:p>
        </w:tc>
      </w:tr>
      <w:tr>
        <w:tc>
          <w:tcPr>
            <w:tcW w:type="dxa" w:w="8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6</w:t>
            </w:r>
          </w:p>
        </w:tc>
        <w:tc>
          <w:tcPr>
            <w:tcW w:type="dxa" w:w="240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Smart Contract</w:t>
            </w:r>
          </w:p>
        </w:tc>
        <w:tc>
          <w:tcPr>
            <w:tcW w:type="dxa" w:w="6160"/>
            <w:tcBorders>
              <w:top w:val="single" w:color="DDDDDD" w:sz="1"/>
              <w:left w:val="single" w:color="DDDDDD" w:sz="1"/>
              <w:bottom w:val="single" w:color="DDDDDD" w:sz="1"/>
              <w:right w:val="single" w:color="DDDDDD" w:sz="1"/>
            </w:tcBorders>
            <w:shd w:fill="FFFFFF"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PrizePool.sol resolves VRF hash to winning ticket index. Transfers prize USDC directly to winner wallet. No human intervention.</w:t>
            </w:r>
          </w:p>
        </w:tc>
      </w:tr>
      <w:tr>
        <w:tc>
          <w:tcPr>
            <w:tcW w:type="dxa" w:w="8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bCs/>
                <w:color w:val="111111"/>
                <w:sz w:val="20"/>
                <w:szCs w:val="20"/>
              </w:rPr>
              <w:t xml:space="preserve">7</w:t>
            </w:r>
          </w:p>
        </w:tc>
        <w:tc>
          <w:tcPr>
            <w:tcW w:type="dxa" w:w="240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666666"/>
                <w:sz w:val="20"/>
                <w:szCs w:val="20"/>
              </w:rPr>
              <w:t xml:space="preserve">User (anytime)</w:t>
            </w:r>
          </w:p>
        </w:tc>
        <w:tc>
          <w:tcPr>
            <w:tcW w:type="dxa" w:w="6160"/>
            <w:tcBorders>
              <w:top w:val="single" w:color="DDDDDD" w:sz="1"/>
              <w:left w:val="single" w:color="DDDDDD" w:sz="1"/>
              <w:bottom w:val="single" w:color="DDDDDD" w:sz="1"/>
              <w:right w:val="single" w:color="DDDDDD" w:sz="1"/>
            </w:tcBorders>
            <w:shd w:fill="F9F8F5" w:val="clear"/>
            <w:tcMar>
              <w:top w:type="dxa" w:w="80"/>
              <w:left w:type="dxa" w:w="140"/>
              <w:bottom w:type="dxa" w:w="80"/>
              <w:right w:type="dxa" w:w="140"/>
            </w:tcMar>
          </w:tcPr>
          <w:p>
            <w:pPr>
              <w:spacing w:before="0" w:after="0"/>
            </w:pPr>
            <w:r>
              <w:rPr>
                <w:rFonts w:ascii="Arial" w:cs="Arial" w:eastAsia="Arial" w:hAnsi="Arial"/>
                <w:b w:val="false"/>
                <w:bCs w:val="false"/>
                <w:color w:val="111111"/>
                <w:sz w:val="20"/>
                <w:szCs w:val="20"/>
              </w:rPr>
              <w:t xml:space="preserve">User may call PotluckVault.sol withdraw() at any time to redeem their full principal. No lock-up. No permission required from Potluck.</w:t>
            </w:r>
          </w:p>
        </w:tc>
      </w:tr>
    </w:tbl>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2.3  Custody Analysis</w:t>
      </w:r>
    </w:p>
    <w:p>
      <w:pPr>
        <w:spacing w:before="0" w:after="120"/>
      </w:pPr>
      <w:r>
        <w:rPr>
          <w:rFonts w:ascii="Arial" w:cs="Arial" w:eastAsia="Arial" w:hAnsi="Arial"/>
          <w:color w:val="111111"/>
          <w:sz w:val="22"/>
          <w:szCs w:val="22"/>
        </w:rPr>
        <w:t xml:space="preserve">At no point does Potluck, Inc. (or its principals) take possession, custody, or control of user funds. Users interact directly with the smart contract. Potluck deploys and maintains the smart contract code but cannot access, freeze, move, or confiscate user funds. Even in a scenario where Potluck ceases operations entirely, users retain the ability to call withdraw() on the smart contract directly.</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C1A" w:sz="14"/>
              <w:bottom w:val="none" w:color="FFFFFF" w:sz="0"/>
              <w:right w:val="none" w:color="FFFFFF" w:sz="0"/>
            </w:tcBorders>
            <w:shd w:fill="F5FDF5" w:val="clear"/>
            <w:tcMar>
              <w:top w:type="dxa" w:w="160"/>
              <w:left w:type="dxa" w:w="280"/>
              <w:bottom w:type="dxa" w:w="160"/>
              <w:right w:type="dxa" w:w="280"/>
            </w:tcMar>
          </w:tcPr>
          <w:p>
            <w:pPr>
              <w:spacing w:before="0" w:after="60"/>
            </w:pPr>
            <w:r>
              <w:rPr>
                <w:rFonts w:ascii="Arial" w:cs="Arial" w:eastAsia="Arial" w:hAnsi="Arial"/>
                <w:b/>
                <w:bCs/>
                <w:color w:val="1A5C1A"/>
                <w:spacing w:val="60"/>
                <w:sz w:val="17"/>
                <w:szCs w:val="17"/>
              </w:rPr>
              <w:t xml:space="preserve">CUSTODY POSITION</w:t>
            </w:r>
          </w:p>
          <w:p>
            <w:pPr>
              <w:spacing w:before="0" w:after="0"/>
            </w:pPr>
            <w:r>
              <w:rPr>
                <w:rFonts w:ascii="Arial" w:cs="Arial" w:eastAsia="Arial" w:hAnsi="Arial"/>
                <w:color w:val="111111"/>
                <w:sz w:val="21"/>
                <w:szCs w:val="21"/>
              </w:rPr>
              <w:t xml:space="preserve">Potluck's position is that it is a protocol developer, not a custodian or money transmitter. This is analogous to the position taken by Uniswap Labs, Aave Companies, and other DeFi protocol developers operating in the United States. We seek counsel's opinion on whether this characterization holds in our specific fact pattern.</w:t>
            </w:r>
          </w:p>
        </w:tc>
      </w:tr>
    </w:tbl>
    <w:p>
      <w:pPr>
        <w:pStyle w:val="Heading1"/>
        <w:pBdr>
          <w:bottom w:val="single" w:color="DDDDDD" w:sz="2"/>
        </w:pBdr>
        <w:spacing w:before="560" w:after="160"/>
      </w:pPr>
      <w:r>
        <w:rPr>
          <w:rFonts w:ascii="Georgia" w:cs="Georgia" w:eastAsia="Georgia" w:hAnsi="Georgia"/>
          <w:b/>
          <w:bCs/>
          <w:color w:val="111111"/>
          <w:sz w:val="40"/>
          <w:szCs w:val="40"/>
        </w:rPr>
        <w:t xml:space="preserve">3. Specific Legal Questions for Counsel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14"/>
              <w:bottom w:val="none" w:color="FFFFFF" w:sz="0"/>
              <w:right w:val="none" w:color="FFFFFF" w:sz="0"/>
            </w:tcBorders>
            <w:shd w:fill="FDFCF5" w:val="clear"/>
            <w:tcMar>
              <w:top w:type="dxa" w:w="160"/>
              <w:left w:type="dxa" w:w="280"/>
              <w:bottom w:type="dxa" w:w="160"/>
              <w:right w:type="dxa" w:w="280"/>
            </w:tcMar>
          </w:tcPr>
          <w:p>
            <w:pPr>
              <w:spacing w:before="0" w:after="0"/>
            </w:pPr>
            <w:r>
              <w:rPr>
                <w:rFonts w:ascii="Georgia" w:cs="Georgia" w:eastAsia="Georgia" w:hAnsi="Georgia"/>
                <w:color w:val="111111"/>
                <w:sz w:val="22"/>
                <w:szCs w:val="22"/>
              </w:rPr>
              <w:t xml:space="preserve">We are asking counsel to provide written opinion on each of the following questions. Where the answer is jurisdiction-dependent, we are initially focused on launch in the United States with particular attention to California, New York, Texas, and Florida as our anticipated highest-volume states.</w:t>
            </w:r>
          </w:p>
        </w:tc>
      </w:tr>
    </w:tbl>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1 — Money Transmission</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Does Potluck's operation constitute money transmission under (a) the federal Bank Secrecy Act / FinCEN MSB regulations, and (b) applicable state money transmitter statutes, given that Potluck never takes custody of user funds and users interact directly with non-custodial smart contracts?</w:t>
      </w:r>
    </w:p>
    <w:p>
      <w:pPr>
        <w:spacing w:before="0" w:after="100"/>
      </w:pPr>
      <w:r>
        <w:t xml:space="preserve"/>
      </w:r>
    </w:p>
    <w:p>
      <w:pPr>
        <w:spacing w:before="240" w:after="80"/>
      </w:pPr>
      <w:r>
        <w:rPr>
          <w:rFonts w:ascii="Arial" w:cs="Arial" w:eastAsia="Arial" w:hAnsi="Arial"/>
          <w:b/>
          <w:bCs/>
          <w:color w:val="666666"/>
          <w:spacing w:val="70"/>
          <w:sz w:val="17"/>
          <w:szCs w:val="17"/>
        </w:rPr>
        <w:t xml:space="preserve">RELEVANT FACTS</w:t>
      </w:r>
    </w:p>
    <w:p>
      <w:pPr>
        <w:pStyle w:val="ListParagraph"/>
        <w:numPr>
          <w:ilvl w:val="0"/>
          <w:numId w:val="2"/>
        </w:numPr>
        <w:spacing w:before="0" w:after="100"/>
      </w:pPr>
      <w:r>
        <w:rPr>
          <w:rFonts w:ascii="Arial" w:cs="Arial" w:eastAsia="Arial" w:hAnsi="Arial"/>
          <w:color w:val="111111"/>
          <w:sz w:val="22"/>
          <w:szCs w:val="22"/>
        </w:rPr>
        <w:t xml:space="preserve">Potluck never receives, holds, or transmits user funds</w:t>
      </w:r>
    </w:p>
    <w:p>
      <w:pPr>
        <w:pStyle w:val="ListParagraph"/>
        <w:numPr>
          <w:ilvl w:val="0"/>
          <w:numId w:val="2"/>
        </w:numPr>
        <w:spacing w:before="0" w:after="100"/>
      </w:pPr>
      <w:r>
        <w:rPr>
          <w:rFonts w:ascii="Arial" w:cs="Arial" w:eastAsia="Arial" w:hAnsi="Arial"/>
          <w:color w:val="111111"/>
          <w:sz w:val="22"/>
          <w:szCs w:val="22"/>
        </w:rPr>
        <w:t xml:space="preserve">Users transfer USDC directly to PotluckVault.sol via their own wallet</w:t>
      </w:r>
    </w:p>
    <w:p>
      <w:pPr>
        <w:pStyle w:val="ListParagraph"/>
        <w:numPr>
          <w:ilvl w:val="0"/>
          <w:numId w:val="2"/>
        </w:numPr>
        <w:spacing w:before="0" w:after="100"/>
      </w:pPr>
      <w:r>
        <w:rPr>
          <w:rFonts w:ascii="Arial" w:cs="Arial" w:eastAsia="Arial" w:hAnsi="Arial"/>
          <w:color w:val="111111"/>
          <w:sz w:val="22"/>
          <w:szCs w:val="22"/>
        </w:rPr>
        <w:t xml:space="preserve">Potluck cannot access, move, or freeze funds in the contract</w:t>
      </w:r>
    </w:p>
    <w:p>
      <w:pPr>
        <w:pStyle w:val="ListParagraph"/>
        <w:numPr>
          <w:ilvl w:val="0"/>
          <w:numId w:val="2"/>
        </w:numPr>
        <w:spacing w:before="0" w:after="100"/>
      </w:pPr>
      <w:r>
        <w:rPr>
          <w:rFonts w:ascii="Arial" w:cs="Arial" w:eastAsia="Arial" w:hAnsi="Arial"/>
          <w:color w:val="111111"/>
          <w:sz w:val="22"/>
          <w:szCs w:val="22"/>
        </w:rPr>
        <w:t xml:space="preserve">Yield is moved between smart contracts by automated contract logic, not by Potluck</w:t>
      </w:r>
    </w:p>
    <w:p>
      <w:pPr>
        <w:pStyle w:val="ListParagraph"/>
        <w:numPr>
          <w:ilvl w:val="0"/>
          <w:numId w:val="2"/>
        </w:numPr>
        <w:spacing w:before="0" w:after="100"/>
      </w:pPr>
      <w:r>
        <w:rPr>
          <w:rFonts w:ascii="Arial" w:cs="Arial" w:eastAsia="Arial" w:hAnsi="Arial"/>
          <w:color w:val="111111"/>
          <w:sz w:val="22"/>
          <w:szCs w:val="22"/>
        </w:rPr>
        <w:t xml:space="preserve">Prize distribution is executed autonomously by PrizePool.sol, not by Potluck</w:t>
      </w:r>
    </w:p>
    <w:p>
      <w:pPr>
        <w:spacing w:before="0" w:after="100"/>
      </w:pPr>
      <w:r>
        <w:t xml:space="preserve"/>
      </w:r>
    </w:p>
    <w:p>
      <w:pPr>
        <w:spacing w:before="240" w:after="80"/>
      </w:pPr>
      <w:r>
        <w:rPr>
          <w:rFonts w:ascii="Arial" w:cs="Arial" w:eastAsia="Arial" w:hAnsi="Arial"/>
          <w:b/>
          <w:bCs/>
          <w:color w:val="666666"/>
          <w:spacing w:val="70"/>
          <w:sz w:val="17"/>
          <w:szCs w:val="17"/>
        </w:rPr>
        <w:t xml:space="preserve">CONTEXT &amp; PRECEDENT</w:t>
      </w:r>
    </w:p>
    <w:p>
      <w:pPr>
        <w:spacing w:before="0" w:after="120"/>
      </w:pPr>
      <w:r>
        <w:rPr>
          <w:rFonts w:ascii="Arial" w:cs="Arial" w:eastAsia="Arial" w:hAnsi="Arial"/>
          <w:color w:val="111111"/>
          <w:sz w:val="22"/>
          <w:szCs w:val="22"/>
        </w:rPr>
        <w:t xml:space="preserve">FinCEN's 2019 guidance on convertible virtual currency (FIN-2019-G001) provides that a person who provides anonymizing services or operates a decentralized exchange may be an MSB. However, the guidance also notes that miners and validators who do not engage in transmission are not MSBs. We believe our fact pattern is closer to the latter — we are protocol developers, not transmitters. We seek counsel's view on whether this characterization is defensible.</w:t>
      </w:r>
    </w:p>
    <w:p>
      <w:pPr>
        <w:spacing w:before="0" w:after="100"/>
      </w:pPr>
      <w:r>
        <w:t xml:space="preserve"/>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2 — Prize-Linked Savings Regulation</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Does Potluck's prize pool mechanic constitute an illegal lottery or raffle under federal or state law, or does it qualify for protection under prize-linked savings exemptions? Specifically: does the American Savings Promotion Act of 2014 (12 U.S.C. § 1832(e)) apply to or protect Potluck's structure, and if not, what is our exposure under state lottery laws?</w:t>
      </w:r>
    </w:p>
    <w:p>
      <w:pPr>
        <w:spacing w:before="0" w:after="100"/>
      </w:pPr>
      <w:r>
        <w:t xml:space="preserve"/>
      </w:r>
    </w:p>
    <w:p>
      <w:pPr>
        <w:spacing w:before="240" w:after="80"/>
      </w:pPr>
      <w:r>
        <w:rPr>
          <w:rFonts w:ascii="Arial" w:cs="Arial" w:eastAsia="Arial" w:hAnsi="Arial"/>
          <w:b/>
          <w:bCs/>
          <w:color w:val="666666"/>
          <w:spacing w:val="70"/>
          <w:sz w:val="17"/>
          <w:szCs w:val="17"/>
        </w:rPr>
        <w:t xml:space="preserve">RELEVANT FACTS</w:t>
      </w:r>
    </w:p>
    <w:p>
      <w:pPr>
        <w:pStyle w:val="ListParagraph"/>
        <w:numPr>
          <w:ilvl w:val="0"/>
          <w:numId w:val="2"/>
        </w:numPr>
        <w:spacing w:before="0" w:after="100"/>
      </w:pPr>
      <w:r>
        <w:rPr>
          <w:rFonts w:ascii="Arial" w:cs="Arial" w:eastAsia="Arial" w:hAnsi="Arial"/>
          <w:color w:val="111111"/>
          <w:sz w:val="22"/>
          <w:szCs w:val="22"/>
        </w:rPr>
        <w:t xml:space="preserve">No consideration is paid to enter — users do not purchase tickets or pay fees to participate in the draw</w:t>
      </w:r>
    </w:p>
    <w:p>
      <w:pPr>
        <w:pStyle w:val="ListParagraph"/>
        <w:numPr>
          <w:ilvl w:val="0"/>
          <w:numId w:val="2"/>
        </w:numPr>
        <w:spacing w:before="0" w:after="100"/>
      </w:pPr>
      <w:r>
        <w:rPr>
          <w:rFonts w:ascii="Arial" w:cs="Arial" w:eastAsia="Arial" w:hAnsi="Arial"/>
          <w:color w:val="111111"/>
          <w:sz w:val="22"/>
          <w:szCs w:val="22"/>
        </w:rPr>
        <w:t xml:space="preserve">Draw entries are earned by depositing into a savings-equivalent vehicle (USDC vault)</w:t>
      </w:r>
    </w:p>
    <w:p>
      <w:pPr>
        <w:pStyle w:val="ListParagraph"/>
        <w:numPr>
          <w:ilvl w:val="0"/>
          <w:numId w:val="2"/>
        </w:numPr>
        <w:spacing w:before="0" w:after="100"/>
      </w:pPr>
      <w:r>
        <w:rPr>
          <w:rFonts w:ascii="Arial" w:cs="Arial" w:eastAsia="Arial" w:hAnsi="Arial"/>
          <w:color w:val="111111"/>
          <w:sz w:val="22"/>
          <w:szCs w:val="22"/>
        </w:rPr>
        <w:t xml:space="preserve">Principal is never at risk — all deposited funds are fully redeemable at any time</w:t>
      </w:r>
    </w:p>
    <w:p>
      <w:pPr>
        <w:pStyle w:val="ListParagraph"/>
        <w:numPr>
          <w:ilvl w:val="0"/>
          <w:numId w:val="2"/>
        </w:numPr>
        <w:spacing w:before="0" w:after="100"/>
      </w:pPr>
      <w:r>
        <w:rPr>
          <w:rFonts w:ascii="Arial" w:cs="Arial" w:eastAsia="Arial" w:hAnsi="Arial"/>
          <w:color w:val="111111"/>
          <w:sz w:val="22"/>
          <w:szCs w:val="22"/>
        </w:rPr>
        <w:t xml:space="preserve">The prize pool is funded solely by yield generated on deposits, not by user entry fees</w:t>
      </w:r>
    </w:p>
    <w:p>
      <w:pPr>
        <w:pStyle w:val="ListParagraph"/>
        <w:numPr>
          <w:ilvl w:val="0"/>
          <w:numId w:val="2"/>
        </w:numPr>
        <w:spacing w:before="0" w:after="100"/>
      </w:pPr>
      <w:r>
        <w:rPr>
          <w:rFonts w:ascii="Arial" w:cs="Arial" w:eastAsia="Arial" w:hAnsi="Arial"/>
          <w:color w:val="111111"/>
          <w:sz w:val="22"/>
          <w:szCs w:val="22"/>
        </w:rPr>
        <w:t xml:space="preserve">The draw mechanism is provably fair and publicly verifiable via Chainlink VRF</w:t>
      </w:r>
    </w:p>
    <w:p>
      <w:pPr>
        <w:spacing w:before="0" w:after="100"/>
      </w:pPr>
      <w:r>
        <w:t xml:space="preserve"/>
      </w:r>
    </w:p>
    <w:p>
      <w:pPr>
        <w:spacing w:before="240" w:after="80"/>
      </w:pPr>
      <w:r>
        <w:rPr>
          <w:rFonts w:ascii="Arial" w:cs="Arial" w:eastAsia="Arial" w:hAnsi="Arial"/>
          <w:b/>
          <w:bCs/>
          <w:color w:val="666666"/>
          <w:spacing w:val="70"/>
          <w:sz w:val="17"/>
          <w:szCs w:val="17"/>
        </w:rPr>
        <w:t xml:space="preserve">CONTEXT &amp; PRECEDENT</w:t>
      </w:r>
    </w:p>
    <w:p>
      <w:pPr>
        <w:spacing w:before="0" w:after="120"/>
      </w:pPr>
      <w:r>
        <w:rPr>
          <w:rFonts w:ascii="Arial" w:cs="Arial" w:eastAsia="Arial" w:hAnsi="Arial"/>
          <w:color w:val="111111"/>
          <w:sz w:val="22"/>
          <w:szCs w:val="22"/>
        </w:rPr>
        <w:t xml:space="preserve">The American Savings Promotion Act explicitly permits FDIC-insured depository institutions to offer prize-linked savings accounts. Credit unions in Michigan, Nebraska, Washington, and 40+ other states operate similar prize-linked savings products under state-level statutory exemptions. Potluck is not an FDIC-insured institution. We seek counsel's view on whether our structure falls within, outside, or adjacent to these frameworks, and what our exposure is under the lottery laws of our target states.</w:t>
      </w:r>
    </w:p>
    <w:p>
      <w:pPr>
        <w:spacing w:before="0" w:after="100"/>
      </w:pPr>
      <w:r>
        <w:t xml:space="preserve"/>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3 — Securities Classification</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Does Potluck's vault share or prize pool mechanic constitute a security under the Securities Act of 1933, the Securities Exchange Act of 1934, or the Howey test? Specifically: do vault shares (issued by PotluckVault.sol) or draw entries (issued by PotluckTickets.sol) constitute investment contracts?</w:t>
      </w:r>
    </w:p>
    <w:p>
      <w:pPr>
        <w:spacing w:before="0" w:after="100"/>
      </w:pPr>
      <w:r>
        <w:t xml:space="preserve"/>
      </w:r>
    </w:p>
    <w:p>
      <w:pPr>
        <w:spacing w:before="240" w:after="80"/>
      </w:pPr>
      <w:r>
        <w:rPr>
          <w:rFonts w:ascii="Arial" w:cs="Arial" w:eastAsia="Arial" w:hAnsi="Arial"/>
          <w:b/>
          <w:bCs/>
          <w:color w:val="666666"/>
          <w:spacing w:val="70"/>
          <w:sz w:val="17"/>
          <w:szCs w:val="17"/>
        </w:rPr>
        <w:t xml:space="preserve">THE HOWEY ANALYSIS WE HAVE PERFORMED</w:t>
      </w:r>
    </w:p>
    <w:p>
      <w:pPr>
        <w:spacing w:before="0" w:after="120"/>
      </w:pPr>
      <w:r>
        <w:rPr>
          <w:rFonts w:ascii="Arial" w:cs="Arial" w:eastAsia="Arial" w:hAnsi="Arial"/>
          <w:color w:val="111111"/>
          <w:sz w:val="22"/>
          <w:szCs w:val="22"/>
        </w:rPr>
        <w:t xml:space="preserve">The Howey test requires: (1) an investment of money, (2) in a common enterprise, (3) with an expectation of profits, (4) derived from the efforts of others. We believe our structure challenges prongs 3 and 4 as follows:</w:t>
      </w:r>
    </w:p>
    <w:p>
      <w:pPr>
        <w:spacing w:before="0" w:after="100"/>
      </w:pPr>
      <w:r>
        <w:t xml:space="preserve"/>
      </w:r>
    </w:p>
    <w:p>
      <w:pPr>
        <w:pStyle w:val="ListParagraph"/>
        <w:numPr>
          <w:ilvl w:val="0"/>
          <w:numId w:val="2"/>
        </w:numPr>
        <w:spacing w:before="0" w:after="100"/>
      </w:pPr>
      <w:r>
        <w:rPr>
          <w:rFonts w:ascii="Arial" w:cs="Arial" w:eastAsia="Arial" w:hAnsi="Arial"/>
          <w:b/>
          <w:bCs/>
          <w:color w:val="111111"/>
          <w:sz w:val="22"/>
          <w:szCs w:val="22"/>
        </w:rPr>
        <w:t xml:space="preserve">Prong 3 (expectation of profits)</w:t>
      </w:r>
      <w:r>
        <w:rPr>
          <w:rFonts w:ascii="Arial" w:cs="Arial" w:eastAsia="Arial" w:hAnsi="Arial"/>
          <w:color w:val="666666"/>
          <w:sz w:val="22"/>
          <w:szCs w:val="22"/>
        </w:rPr>
        <w:t xml:space="preserve"> — Users deposit to save, not to profit. Principal is always returned. The prize is not a guaranteed return — it is probabilistic and most users will not receive it. Users have no expectation of profit in the securities law sense.</w:t>
      </w:r>
    </w:p>
    <w:p>
      <w:pPr>
        <w:pStyle w:val="ListParagraph"/>
        <w:numPr>
          <w:ilvl w:val="0"/>
          <w:numId w:val="2"/>
        </w:numPr>
        <w:spacing w:before="0" w:after="100"/>
      </w:pPr>
      <w:r>
        <w:rPr>
          <w:rFonts w:ascii="Arial" w:cs="Arial" w:eastAsia="Arial" w:hAnsi="Arial"/>
          <w:b/>
          <w:bCs/>
          <w:color w:val="111111"/>
          <w:sz w:val="22"/>
          <w:szCs w:val="22"/>
        </w:rPr>
        <w:t xml:space="preserve">Prong 4 (efforts of others)</w:t>
      </w:r>
      <w:r>
        <w:rPr>
          <w:rFonts w:ascii="Arial" w:cs="Arial" w:eastAsia="Arial" w:hAnsi="Arial"/>
          <w:color w:val="666666"/>
          <w:sz w:val="22"/>
          <w:szCs w:val="22"/>
        </w:rPr>
        <w:t xml:space="preserve"> — Yield is generated by Aave, a separate protocol Potluck does not control. The draw is executed by Chainlink VRF, a separate oracle Potluck does not control. Potluck's ongoing involvement is maintenance of the frontend and smart contracts — not the management of an investment.</w:t>
      </w:r>
    </w:p>
    <w:p>
      <w:pPr>
        <w:spacing w:before="0" w:after="100"/>
      </w:pPr>
      <w:r>
        <w:t xml:space="preserve"/>
      </w:r>
    </w:p>
    <w:p>
      <w:pPr>
        <w:spacing w:before="240" w:after="80"/>
      </w:pPr>
      <w:r>
        <w:rPr>
          <w:rFonts w:ascii="Arial" w:cs="Arial" w:eastAsia="Arial" w:hAnsi="Arial"/>
          <w:b/>
          <w:bCs/>
          <w:color w:val="666666"/>
          <w:spacing w:val="70"/>
          <w:sz w:val="17"/>
          <w:szCs w:val="17"/>
        </w:rPr>
        <w:t xml:space="preserve">QUESTION FOR COUNSEL</w:t>
      </w:r>
    </w:p>
    <w:p>
      <w:pPr>
        <w:spacing w:before="0" w:after="120"/>
      </w:pPr>
      <w:r>
        <w:rPr>
          <w:rFonts w:ascii="Arial" w:cs="Arial" w:eastAsia="Arial" w:hAnsi="Arial"/>
          <w:color w:val="111111"/>
          <w:sz w:val="22"/>
          <w:szCs w:val="22"/>
        </w:rPr>
        <w:t xml:space="preserve">We seek counsel's view on whether this analysis is defensible, and whether either vault shares or draw entries could be characterized as securities by the SEC under current enforcement posture or the Gensler-era interpretive positions.</w:t>
      </w:r>
    </w:p>
    <w:p>
      <w:pPr>
        <w:spacing w:before="0" w:after="100"/>
      </w:pPr>
      <w:r>
        <w:t xml:space="preserve"/>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4 — Card Issuance (Phase 2)</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What regulatory pathway is required to issue a branded physical payment card ("The Meridian") to Potluck users? Specifically: what BIN sponsorship, card network (Visa/Mastercard) membership, and state licensing requirements apply? What is a realistic timeline and cost estimate for achieving card issuance capability?</w:t>
      </w:r>
    </w:p>
    <w:p>
      <w:pPr>
        <w:spacing w:before="0" w:after="100"/>
      </w:pPr>
      <w:r>
        <w:t xml:space="preserve"/>
      </w:r>
    </w:p>
    <w:p>
      <w:pPr>
        <w:spacing w:before="240" w:after="80"/>
      </w:pPr>
      <w:r>
        <w:rPr>
          <w:rFonts w:ascii="Arial" w:cs="Arial" w:eastAsia="Arial" w:hAnsi="Arial"/>
          <w:b/>
          <w:bCs/>
          <w:color w:val="666666"/>
          <w:spacing w:val="70"/>
          <w:sz w:val="17"/>
          <w:szCs w:val="17"/>
        </w:rPr>
        <w:t xml:space="preserve">CONTEXT</w:t>
      </w:r>
    </w:p>
    <w:p>
      <w:pPr>
        <w:spacing w:before="0" w:after="120"/>
      </w:pPr>
      <w:r>
        <w:rPr>
          <w:rFonts w:ascii="Arial" w:cs="Arial" w:eastAsia="Arial" w:hAnsi="Arial"/>
          <w:color w:val="111111"/>
          <w:sz w:val="22"/>
          <w:szCs w:val="22"/>
        </w:rPr>
        <w:t xml:space="preserve">The Meridian card is a Phase 2 product — it is not part of the launch. We are building toward it and need to understand the regulatory pathway now so we can structure Phase 2 correctly. We are aware that card issuance requires a bank issuing partner or BIN sponsor (e.g., Marqeta, Lithic, or a direct bank partner). We seek counsel's view on the fastest and cleanest path to card issuance given our DeFi-native structure.</w:t>
      </w:r>
    </w:p>
    <w:p>
      <w:pPr>
        <w:spacing w:before="0" w:after="100"/>
      </w:pPr>
      <w:r>
        <w:t xml:space="preserve"/>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5 — USDC / Stablecoin Considerations</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Are there any regulatory or contractual constraints from Circle (USDC issuer), the MiCA framework (for future EU expansion), or proposed US stablecoin legislation that would affect Potluck's use of USDC as its primary deposit currency? Are there acceptable use policy considerations we should be aware of before launching at scale?</w:t>
      </w:r>
    </w:p>
    <w:p>
      <w:pPr>
        <w:spacing w:before="0" w:after="100"/>
      </w:pPr>
      <w:r>
        <w:t xml:space="preserve"/>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Question 6 — Corporate Structure</w:t>
      </w:r>
    </w:p>
    <w:p>
      <w:pPr>
        <w:spacing w:before="240" w:after="80"/>
      </w:pPr>
      <w:r>
        <w:rPr>
          <w:rFonts w:ascii="Arial" w:cs="Arial" w:eastAsia="Arial" w:hAnsi="Arial"/>
          <w:b/>
          <w:bCs/>
          <w:color w:val="666666"/>
          <w:spacing w:val="70"/>
          <w:sz w:val="17"/>
          <w:szCs w:val="17"/>
        </w:rPr>
        <w:t xml:space="preserve">THE QUESTION</w:t>
      </w:r>
    </w:p>
    <w:p>
      <w:pPr>
        <w:spacing w:before="0" w:after="120"/>
      </w:pPr>
      <w:r>
        <w:rPr>
          <w:rFonts w:ascii="Arial" w:cs="Arial" w:eastAsia="Arial" w:hAnsi="Arial"/>
          <w:color w:val="111111"/>
          <w:sz w:val="22"/>
          <w:szCs w:val="22"/>
        </w:rPr>
        <w:t xml:space="preserve">We intend to incorporate as a Delaware C-Corp for the seed round. Should the protocol itself be operated by a separate foundation or DAO structure for regulatory insulation? Are there jurisdictional advantages to incorporating the operating company outside the US (e.g., Cayman Islands, BVI, Singapore) while maintaining US operations?</w:t>
      </w:r>
    </w:p>
    <w:p>
      <w:pPr>
        <w:pStyle w:val="Heading1"/>
        <w:pBdr>
          <w:bottom w:val="single" w:color="DDDDDD" w:sz="2"/>
        </w:pBdr>
        <w:spacing w:before="560" w:after="160"/>
      </w:pPr>
      <w:r>
        <w:rPr>
          <w:rFonts w:ascii="Georgia" w:cs="Georgia" w:eastAsia="Georgia" w:hAnsi="Georgia"/>
          <w:b/>
          <w:bCs/>
          <w:color w:val="111111"/>
          <w:sz w:val="40"/>
          <w:szCs w:val="40"/>
        </w:rPr>
        <w:t xml:space="preserve">4. Risk Matrix</w:t>
      </w:r>
    </w:p>
    <w:p>
      <w:pPr>
        <w:spacing w:before="0" w:after="120"/>
      </w:pPr>
      <w:r>
        <w:rPr>
          <w:rFonts w:ascii="Arial" w:cs="Arial" w:eastAsia="Arial" w:hAnsi="Arial"/>
          <w:color w:val="111111"/>
          <w:sz w:val="22"/>
          <w:szCs w:val="22"/>
        </w:rPr>
        <w:t xml:space="preserve">The following represents our current self-assessment of regulatory risks. We present this for counsel's review and correction.</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c>
          <w:tcPr>
            <w:tcW w:type="dxa" w:w="28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pPr>
              <w:spacing w:before="0" w:after="0"/>
            </w:pPr>
            <w:r>
              <w:rPr>
                <w:rFonts w:ascii="Arial" w:cs="Arial" w:eastAsia="Arial" w:hAnsi="Arial"/>
                <w:b/>
                <w:bCs/>
                <w:color w:val="FFFFFF"/>
                <w:sz w:val="19"/>
                <w:szCs w:val="19"/>
              </w:rPr>
              <w:t xml:space="preserve">Risk Area</w:t>
            </w:r>
          </w:p>
        </w:tc>
        <w:tc>
          <w:tcPr>
            <w:tcW w:type="dxa" w:w="16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pPr>
              <w:spacing w:before="0" w:after="0"/>
            </w:pPr>
            <w:r>
              <w:rPr>
                <w:rFonts w:ascii="Arial" w:cs="Arial" w:eastAsia="Arial" w:hAnsi="Arial"/>
                <w:b/>
                <w:bCs/>
                <w:color w:val="FFFFFF"/>
                <w:sz w:val="19"/>
                <w:szCs w:val="19"/>
              </w:rPr>
              <w:t xml:space="preserve">Likelihood</w:t>
            </w:r>
          </w:p>
        </w:tc>
        <w:tc>
          <w:tcPr>
            <w:tcW w:type="dxa" w:w="160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pPr>
              <w:spacing w:before="0" w:after="0"/>
            </w:pPr>
            <w:r>
              <w:rPr>
                <w:rFonts w:ascii="Arial" w:cs="Arial" w:eastAsia="Arial" w:hAnsi="Arial"/>
                <w:b/>
                <w:bCs/>
                <w:color w:val="FFFFFF"/>
                <w:sz w:val="19"/>
                <w:szCs w:val="19"/>
              </w:rPr>
              <w:t xml:space="preserve">Severity</w:t>
            </w:r>
          </w:p>
        </w:tc>
        <w:tc>
          <w:tcPr>
            <w:tcW w:type="dxa" w:w="3360"/>
            <w:tcBorders>
              <w:top w:val="single" w:color="DDDDDD" w:sz="1"/>
              <w:left w:val="single" w:color="DDDDDD" w:sz="1"/>
              <w:bottom w:val="single" w:color="DDDDDD" w:sz="1"/>
              <w:right w:val="single" w:color="DDDDDD" w:sz="1"/>
            </w:tcBorders>
            <w:shd w:fill="111111" w:val="clear"/>
            <w:tcMar>
              <w:top w:type="dxa" w:w="100"/>
              <w:left w:type="dxa" w:w="160"/>
              <w:bottom w:type="dxa" w:w="100"/>
              <w:right w:type="dxa" w:w="160"/>
            </w:tcMar>
          </w:tcPr>
          <w:p>
            <w:pPr>
              <w:spacing w:before="0" w:after="0"/>
            </w:pPr>
            <w:r>
              <w:rPr>
                <w:rFonts w:ascii="Arial" w:cs="Arial" w:eastAsia="Arial" w:hAnsi="Arial"/>
                <w:b/>
                <w:bCs/>
                <w:color w:val="FFFFFF"/>
                <w:sz w:val="19"/>
                <w:szCs w:val="19"/>
              </w:rPr>
              <w:t xml:space="preserve">Mitigation</w:t>
            </w:r>
          </w:p>
        </w:tc>
      </w:tr>
      <w:tr>
        <w:tc>
          <w:tcPr>
            <w:tcW w:type="dxa" w:w="28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Money Transmission (Federal)</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1A5C1A"/>
                <w:sz w:val="20"/>
                <w:szCs w:val="20"/>
              </w:rPr>
              <w:t xml:space="preserve">Low</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8B1A1A"/>
                <w:sz w:val="20"/>
                <w:szCs w:val="20"/>
              </w:rPr>
              <w:t xml:space="preserve">⚠ High</w:t>
            </w:r>
          </w:p>
        </w:tc>
        <w:tc>
          <w:tcPr>
            <w:tcW w:type="dxa" w:w="33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Non-custodial structure. Users interact directly with smart contract. Protocol developer theory.</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Money Transmission (State)</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B8960C"/>
                <w:sz w:val="20"/>
                <w:szCs w:val="20"/>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8B1A1A"/>
                <w:sz w:val="20"/>
                <w:szCs w:val="20"/>
              </w:rPr>
              <w:t xml:space="preserve">⚠ High</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State statutes vary. Some states apply broader definitions. Need state-by-state analysis.</w:t>
            </w:r>
          </w:p>
        </w:tc>
      </w:tr>
      <w:tr>
        <w:tc>
          <w:tcPr>
            <w:tcW w:type="dxa" w:w="28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Prize / Lottery Law</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B8960C"/>
                <w:sz w:val="20"/>
                <w:szCs w:val="20"/>
              </w:rPr>
              <w:t xml:space="preserve">Medium</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8B1A1A"/>
                <w:sz w:val="20"/>
                <w:szCs w:val="20"/>
              </w:rPr>
              <w:t xml:space="preserve">⚠ High</w:t>
            </w:r>
          </w:p>
        </w:tc>
        <w:tc>
          <w:tcPr>
            <w:tcW w:type="dxa" w:w="33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No consideration paid = strong argument. But statutory exemptions written for banks, not DeFi protocols.</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Securities (Vault Shares)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1A5C1A"/>
                <w:sz w:val="20"/>
                <w:szCs w:val="20"/>
              </w:rPr>
              <w:t xml:space="preserve">Low</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8B1A1A"/>
                <w:sz w:val="20"/>
                <w:szCs w:val="20"/>
              </w:rPr>
              <w:t xml:space="preserve">⚠ High</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ERC-4626 is debt-like, not equity. No expectation of profit beyond principal return. Howey prong 3 weak.</w:t>
            </w:r>
          </w:p>
        </w:tc>
      </w:tr>
      <w:tr>
        <w:tc>
          <w:tcPr>
            <w:tcW w:type="dxa" w:w="28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Securities (Draw Entries)</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1A5C1A"/>
                <w:sz w:val="20"/>
                <w:szCs w:val="20"/>
              </w:rPr>
              <w:t xml:space="preserve">Low</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B8960C"/>
                <w:sz w:val="20"/>
                <w:szCs w:val="20"/>
              </w:rPr>
              <w:t xml:space="preserve">Med</w:t>
            </w:r>
          </w:p>
        </w:tc>
        <w:tc>
          <w:tcPr>
            <w:tcW w:type="dxa" w:w="33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Non-transferable. Cannot be purchased. Prize is probabilistic. Strong argument against security classification.</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Card Issuance (Phase 2)</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8B1A1A"/>
                <w:sz w:val="20"/>
                <w:szCs w:val="20"/>
              </w:rPr>
              <w:t xml:space="preserve">N/A</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B8960C"/>
                <w:sz w:val="20"/>
                <w:szCs w:val="20"/>
              </w:rPr>
              <w:t xml:space="preserve">Med</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Phase 2 only. Requires bank partner / BIN sponsor. Standard pathway exists — timeline is the risk.</w:t>
            </w:r>
          </w:p>
        </w:tc>
      </w:tr>
      <w:tr>
        <w:tc>
          <w:tcPr>
            <w:tcW w:type="dxa" w:w="28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USDC / Circle AUP</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1A5C1A"/>
                <w:sz w:val="20"/>
                <w:szCs w:val="20"/>
              </w:rPr>
              <w:t xml:space="preserve">Low</w:t>
            </w:r>
          </w:p>
        </w:tc>
        <w:tc>
          <w:tcPr>
            <w:tcW w:type="dxa" w:w="1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A5C1A"/>
                <w:sz w:val="20"/>
                <w:szCs w:val="20"/>
              </w:rPr>
              <w:t xml:space="preserve">Low</w:t>
            </w:r>
          </w:p>
        </w:tc>
        <w:tc>
          <w:tcPr>
            <w:tcW w:type="dxa" w:w="33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Standard commercial relationship. Circle has approved similar DeFi integrations at scale.</w:t>
            </w:r>
          </w:p>
        </w:tc>
      </w:tr>
      <w:tr>
        <w:tc>
          <w:tcPr>
            <w:tcW w:type="dxa" w:w="28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Tax Treatment of Prizes</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B8960C"/>
                <w:sz w:val="20"/>
                <w:szCs w:val="20"/>
              </w:rPr>
              <w:t xml:space="preserve">Medium</w:t>
            </w:r>
          </w:p>
        </w:tc>
        <w:tc>
          <w:tcPr>
            <w:tcW w:type="dxa" w:w="1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A5C1A"/>
                <w:sz w:val="20"/>
                <w:szCs w:val="20"/>
              </w:rPr>
              <w:t xml:space="preserve">Low</w:t>
            </w:r>
          </w:p>
        </w:tc>
        <w:tc>
          <w:tcPr>
            <w:tcW w:type="dxa" w:w="33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val="false"/>
                <w:bCs w:val="false"/>
                <w:color w:val="666666"/>
                <w:sz w:val="20"/>
                <w:szCs w:val="20"/>
              </w:rPr>
              <w:t xml:space="preserve">Prize winnings are taxable income. We must issue 1099s to winners above IRS thresholds. Standard compliance.</w:t>
            </w:r>
          </w:p>
        </w:tc>
      </w:tr>
    </w:tbl>
    <w:p>
      <w:pPr>
        <w:pStyle w:val="Heading1"/>
        <w:pBdr>
          <w:bottom w:val="single" w:color="DDDDDD" w:sz="2"/>
        </w:pBdr>
        <w:spacing w:before="560" w:after="160"/>
      </w:pPr>
      <w:r>
        <w:rPr>
          <w:rFonts w:ascii="Georgia" w:cs="Georgia" w:eastAsia="Georgia" w:hAnsi="Georgia"/>
          <w:b/>
          <w:bCs/>
          <w:color w:val="111111"/>
          <w:sz w:val="40"/>
          <w:szCs w:val="40"/>
        </w:rPr>
        <w:t xml:space="preserve">5. Comparable Structures for Reference</w:t>
      </w:r>
    </w:p>
    <w:p>
      <w:pPr>
        <w:spacing w:before="0" w:after="120"/>
      </w:pPr>
      <w:r>
        <w:rPr>
          <w:rFonts w:ascii="Arial" w:cs="Arial" w:eastAsia="Arial" w:hAnsi="Arial"/>
          <w:color w:val="111111"/>
          <w:sz w:val="22"/>
          <w:szCs w:val="22"/>
        </w:rPr>
        <w:t xml:space="preserve">The following existing structures may be instructive for counsel's analysis:</w:t>
      </w:r>
    </w:p>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PoolTogether</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Non-custodial prize savings protocol on Ethereum. Operated in the US for years before receiving a cease-and-desist from Kentucky. Subsequently restructured as a DAO. Their regulatory history is the most directly relevant precedent for Potluck.</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Uniswap Labs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Protocol developer that does not custody funds. Has operated in the US while maintaining the position that it is a software developer, not a financial intermediary. SEC Wells notice received 2024 — outcome pending.</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Aave Companies</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Protocol developer for the Aave lending protocol (which Potluck's vault routes to). Has operated in the US without MTL. CFTC and SEC have not taken action against Aave Companies as of this writing.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Credit Union PLSAs</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Michigan, Nebraska, Washington, and 40+ other states have credit unions offering prize-linked savings under state statutory exemptions. The Save to Win program (Michigan) is the longest-running example. These are the closest traditional finance analogues.</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Yotta / PrizePool.com</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Both operated prize-linked savings via BaaS (bank-as-a-service) partners and both collapsed when their banking partners failed. These are the cautionary precedents. Potluck's non-custodial structure is explicitly designed to avoid this failure mode.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b/>
                <w:rFonts w:ascii="Arial" w:hAnsi="Arial"/>
                <w:sz w:val="20"/>
                <w:color w:val="111111"/>
              </w:rPr>
              <w:t>NS&amp;I Premium Bonds (UK)</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jc w:val="left"/>
            </w:pPr>
            <w:r>
              <w:rPr>
                <w:rFonts w:ascii="Arial" w:hAnsi="Arial"/>
                <w:sz w:val="20"/>
                <w:color w:val="111111"/>
              </w:rPr>
              <w:t xml:space="preserve">Operated by NS&amp;I (UK government-backed) since 1956. The world’s largest prize-linked savings product: £122 billion in bonds outstanding, 22 million holders (1 in 3 British adults). Holders deposit money, earn no interest, and instead receive monthly prize draw entries. Prizes range from £25 to £1,000,000. Principal 100% guaranteed by HM Treasury. Draw conducted by ERNIE (Electronic Random Number Indicator Equipment) — government’s equivalent of Chainlink VRF. The UK government has ruled for 70 years that this structure is NOT gambling because no consideration is lost. This is the strongest available international precedent for the argument that prize-linked savings is a distinct legal category from lottery or gambling. Potluck is the on-chain, DeFi-native equivalent — open to all, with transparent yield rates and publicly verifiable draws.</w:t>
            </w:r>
          </w:p>
        </w:tc>
      </w:tr>
    </w:tbl>
    <w:p>
      <w:pPr>
        <w:pStyle w:val="Heading1"/>
        <w:pBdr>
          <w:bottom w:val="single" w:color="DDDDDD" w:sz="2"/>
        </w:pBdr>
        <w:spacing w:before="560" w:after="160"/>
      </w:pPr>
      <w:r>
        <w:rPr>
          <w:rFonts w:ascii="Georgia" w:cs="Georgia" w:eastAsia="Georgia" w:hAnsi="Georgia"/>
          <w:b/>
          <w:bCs/>
          <w:color w:val="111111"/>
          <w:sz w:val="40"/>
          <w:szCs w:val="40"/>
        </w:rPr>
        <w:t xml:space="preserve">6. What We Are Asking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8960C" w:sz="14"/>
              <w:bottom w:val="none" w:color="FFFFFF" w:sz="0"/>
              <w:right w:val="none" w:color="FFFFFF" w:sz="0"/>
            </w:tcBorders>
            <w:shd w:fill="FDFCF5" w:val="clear"/>
            <w:tcMar>
              <w:top w:type="dxa" w:w="160"/>
              <w:left w:type="dxa" w:w="280"/>
              <w:bottom w:type="dxa" w:w="160"/>
              <w:right w:type="dxa" w:w="280"/>
            </w:tcMar>
          </w:tcPr>
          <w:p>
            <w:pPr>
              <w:spacing w:before="0" w:after="0"/>
            </w:pPr>
            <w:r>
              <w:rPr>
                <w:rFonts w:ascii="Georgia" w:cs="Georgia" w:eastAsia="Georgia" w:hAnsi="Georgia"/>
                <w:color w:val="111111"/>
                <w:sz w:val="22"/>
                <w:szCs w:val="22"/>
              </w:rPr>
              <w:t xml:space="preserve">We are a pre-launch, pre-revenue company raising a $3.5M seed round. We need regulatory clarity before we deploy to mainnet with real user funds. The following deliverables would enable us to proceed confidently.</w:t>
            </w:r>
          </w:p>
        </w:tc>
      </w:tr>
    </w:tbl>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6.1  Priority Deliverables</w:t>
      </w:r>
    </w:p>
    <w:p>
      <w:pPr>
        <w:pStyle w:val="ListParagraph"/>
        <w:numPr>
          <w:ilvl w:val="0"/>
          <w:numId w:val="3"/>
        </w:numPr>
        <w:spacing w:before="0" w:after="100"/>
      </w:pPr>
      <w:r>
        <w:rPr>
          <w:rFonts w:ascii="Arial" w:cs="Arial" w:eastAsia="Arial" w:hAnsi="Arial"/>
          <w:color w:val="111111"/>
          <w:sz w:val="22"/>
          <w:szCs w:val="22"/>
        </w:rPr>
        <w:t xml:space="preserve">Written regulatory opinion on money transmission exposure (federal + top 4 states: CA, NY, TX, FL)</w:t>
      </w:r>
    </w:p>
    <w:p>
      <w:pPr>
        <w:pStyle w:val="ListParagraph"/>
        <w:numPr>
          <w:ilvl w:val="0"/>
          <w:numId w:val="3"/>
        </w:numPr>
        <w:spacing w:before="0" w:after="100"/>
      </w:pPr>
      <w:r>
        <w:rPr>
          <w:rFonts w:ascii="Arial" w:cs="Arial" w:eastAsia="Arial" w:hAnsi="Arial"/>
          <w:color w:val="111111"/>
          <w:sz w:val="22"/>
          <w:szCs w:val="22"/>
        </w:rPr>
        <w:t xml:space="preserve">Written opinion on prize-linked savings / lottery law exposure in the same 4 states</w:t>
      </w:r>
    </w:p>
    <w:p>
      <w:pPr>
        <w:pStyle w:val="ListParagraph"/>
        <w:numPr>
          <w:ilvl w:val="0"/>
          <w:numId w:val="3"/>
        </w:numPr>
        <w:spacing w:before="0" w:after="100"/>
      </w:pPr>
      <w:r>
        <w:rPr>
          <w:rFonts w:ascii="Arial" w:cs="Arial" w:eastAsia="Arial" w:hAnsi="Arial"/>
          <w:color w:val="111111"/>
          <w:sz w:val="22"/>
          <w:szCs w:val="22"/>
        </w:rPr>
        <w:t xml:space="preserve">Written opinion on securities classification of vault shares and draw entries under Howey</w:t>
      </w:r>
    </w:p>
    <w:p>
      <w:pPr>
        <w:pStyle w:val="ListParagraph"/>
        <w:numPr>
          <w:ilvl w:val="0"/>
          <w:numId w:val="3"/>
        </w:numPr>
        <w:spacing w:before="0" w:after="100"/>
      </w:pPr>
      <w:r>
        <w:rPr>
          <w:rFonts w:ascii="Arial" w:cs="Arial" w:eastAsia="Arial" w:hAnsi="Arial"/>
          <w:color w:val="111111"/>
          <w:sz w:val="22"/>
          <w:szCs w:val="22"/>
        </w:rPr>
        <w:t xml:space="preserve">Recommended corporate structure for a DeFi-native protocol raising US venture capital</w:t>
      </w:r>
    </w:p>
    <w:p>
      <w:pPr>
        <w:pStyle w:val="ListParagraph"/>
        <w:numPr>
          <w:ilvl w:val="0"/>
          <w:numId w:val="3"/>
        </w:numPr>
        <w:spacing w:before="0" w:after="100"/>
      </w:pPr>
      <w:r>
        <w:rPr>
          <w:rFonts w:ascii="Arial" w:cs="Arial" w:eastAsia="Arial" w:hAnsi="Arial"/>
          <w:color w:val="111111"/>
          <w:sz w:val="22"/>
          <w:szCs w:val="22"/>
        </w:rPr>
        <w:t xml:space="preserve">Phase 2 card issuance pathway memo — regulatory steps, timeline, cost estimate</w:t>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6.2  Secondary Deliverables</w:t>
      </w:r>
    </w:p>
    <w:p>
      <w:pPr>
        <w:pStyle w:val="ListParagraph"/>
        <w:numPr>
          <w:ilvl w:val="0"/>
          <w:numId w:val="2"/>
        </w:numPr>
        <w:spacing w:before="0" w:after="100"/>
      </w:pPr>
      <w:r>
        <w:rPr>
          <w:rFonts w:ascii="Arial" w:cs="Arial" w:eastAsia="Arial" w:hAnsi="Arial"/>
          <w:color w:val="111111"/>
          <w:sz w:val="22"/>
          <w:szCs w:val="22"/>
        </w:rPr>
        <w:t xml:space="preserve">Terms of Service and Privacy Policy review / drafting for mainnet launch</w:t>
      </w:r>
    </w:p>
    <w:p>
      <w:pPr>
        <w:pStyle w:val="ListParagraph"/>
        <w:numPr>
          <w:ilvl w:val="0"/>
          <w:numId w:val="2"/>
        </w:numPr>
        <w:spacing w:before="0" w:after="100"/>
      </w:pPr>
      <w:r>
        <w:rPr>
          <w:rFonts w:ascii="Arial" w:cs="Arial" w:eastAsia="Arial" w:hAnsi="Arial"/>
          <w:color w:val="111111"/>
          <w:sz w:val="22"/>
          <w:szCs w:val="22"/>
        </w:rPr>
        <w:t xml:space="preserve">1099 / tax reporting obligations memo for prize winners</w:t>
      </w:r>
    </w:p>
    <w:p>
      <w:pPr>
        <w:pStyle w:val="ListParagraph"/>
        <w:numPr>
          <w:ilvl w:val="0"/>
          <w:numId w:val="2"/>
        </w:numPr>
        <w:spacing w:before="0" w:after="100"/>
      </w:pPr>
      <w:r>
        <w:rPr>
          <w:rFonts w:ascii="Arial" w:cs="Arial" w:eastAsia="Arial" w:hAnsi="Arial"/>
          <w:color w:val="111111"/>
          <w:sz w:val="22"/>
          <w:szCs w:val="22"/>
        </w:rPr>
        <w:t xml:space="preserve">USDC / Circle acceptable use policy review</w:t>
      </w:r>
    </w:p>
    <w:p>
      <w:pPr>
        <w:pStyle w:val="ListParagraph"/>
        <w:numPr>
          <w:ilvl w:val="0"/>
          <w:numId w:val="2"/>
        </w:numPr>
        <w:spacing w:before="0" w:after="100"/>
      </w:pPr>
      <w:r>
        <w:rPr>
          <w:rFonts w:ascii="Arial" w:cs="Arial" w:eastAsia="Arial" w:hAnsi="Arial"/>
          <w:color w:val="111111"/>
          <w:sz w:val="22"/>
          <w:szCs w:val="22"/>
        </w:rPr>
        <w:t xml:space="preserve">Template IP assignment agreements for founders and contractors</w:t>
      </w:r>
    </w:p>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6.3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Desired opinion delivery</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Within 6 weeks of engagement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Abstract Testnet target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Immediate (parallel to legal process)</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Abstract Mainnet target</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Contingent on receipt of legal opinion</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First Grand Draw</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90 days post-mainnet launch</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Meridian Card (Phase 2)</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12–18 months post-launch</w:t>
            </w:r>
          </w:p>
        </w:tc>
      </w:tr>
    </w:tbl>
    <w:p>
      <w:pPr>
        <w:spacing w:before="0" w:after="100"/>
      </w:pPr>
      <w:r>
        <w:t xml:space="preserve"/>
      </w:r>
    </w:p>
    <w:p>
      <w:pPr>
        <w:pStyle w:val="Heading2"/>
        <w:spacing w:before="360" w:after="120"/>
      </w:pPr>
      <w:r>
        <w:rPr>
          <w:rFonts w:ascii="Georgia" w:cs="Georgia" w:eastAsia="Georgia" w:hAnsi="Georgia"/>
          <w:b/>
          <w:bCs/>
          <w:color w:val="111111"/>
          <w:sz w:val="26"/>
          <w:szCs w:val="26"/>
        </w:rPr>
        <w:t xml:space="preserve">6.4  Budget</w:t>
      </w:r>
    </w:p>
    <w:p>
      <w:pPr>
        <w:spacing w:before="0" w:after="120"/>
      </w:pPr>
      <w:r>
        <w:rPr>
          <w:rFonts w:ascii="Arial" w:cs="Arial" w:eastAsia="Arial" w:hAnsi="Arial"/>
          <w:color w:val="111111"/>
          <w:sz w:val="22"/>
          <w:szCs w:val="22"/>
        </w:rPr>
        <w:t xml:space="preserve">We have allocated 10% of our $3.5M seed round ($350,000) to legal and compliance. For the initial regulatory opinion engagement, we are expecting a budget in the range of $15,000–$30,000. We are prepared to engage on a retainer basis post-opinion for ongoing compliance support.</w:t>
      </w:r>
    </w:p>
    <w:p>
      <w:pPr>
        <w:pStyle w:val="Heading1"/>
        <w:pBdr>
          <w:bottom w:val="single" w:color="DDDDDD" w:sz="2"/>
        </w:pBdr>
        <w:spacing w:before="560" w:after="160"/>
      </w:pPr>
      <w:r>
        <w:rPr>
          <w:rFonts w:ascii="Georgia" w:cs="Georgia" w:eastAsia="Georgia" w:hAnsi="Georgia"/>
          <w:b/>
          <w:bCs/>
          <w:color w:val="111111"/>
          <w:sz w:val="40"/>
          <w:szCs w:val="40"/>
        </w:rPr>
        <w:t xml:space="preserve">7. Company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Company Name</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Potluck (operating entity TBD — Delaware C-Corp incorporation pending)</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Product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Prize-linked savings protocol on Abstract L2</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Stage</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Pre-launch · Pre-revenue · Seed round in process ($3.5M target)</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Tech Stack</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React · Supabase · Abstract L2 · viem · Aave · Chainlink VRF · USDC (Circle)</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Live URL</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potluck-kappa.vercel.app (frontend prototype)</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Contact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hello@potluck.app</w:t>
            </w:r>
          </w:p>
        </w:tc>
      </w:tr>
      <w:tr>
        <w:tc>
          <w:tcPr>
            <w:tcW w:type="dxa" w:w="260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Founder</w:t>
            </w:r>
          </w:p>
        </w:tc>
        <w:tc>
          <w:tcPr>
            <w:tcW w:type="dxa" w:w="6760"/>
            <w:tcBorders>
              <w:top w:val="single" w:color="DDDDDD" w:sz="1"/>
              <w:left w:val="single" w:color="DDDDDD" w:sz="1"/>
              <w:bottom w:val="single" w:color="DDDDDD" w:sz="1"/>
              <w:right w:val="single" w:color="DDDDDD" w:sz="1"/>
            </w:tcBorders>
            <w:shd w:fill="F9F8F5"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[Name] · [Phone] · [Email]</w:t>
            </w:r>
          </w:p>
        </w:tc>
      </w:tr>
      <w:tr>
        <w:tc>
          <w:tcPr>
            <w:tcW w:type="dxa" w:w="260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b/>
                <w:bCs/>
                <w:color w:val="111111"/>
                <w:sz w:val="20"/>
                <w:szCs w:val="20"/>
              </w:rPr>
              <w:t xml:space="preserve">Counsel Sought</w:t>
            </w:r>
          </w:p>
        </w:tc>
        <w:tc>
          <w:tcPr>
            <w:tcW w:type="dxa" w:w="67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pPr>
              <w:spacing w:before="0" w:after="0"/>
            </w:pPr>
            <w:r>
              <w:rPr>
                <w:rFonts w:ascii="Arial" w:cs="Arial" w:eastAsia="Arial" w:hAnsi="Arial"/>
                <w:color w:val="111111"/>
                <w:sz w:val="20"/>
                <w:szCs w:val="20"/>
              </w:rPr>
              <w:t xml:space="preserve">Crypto / fintech regulatory specialist · First opinion + ongoing retainer</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B1A1A" w:sz="14"/>
              <w:bottom w:val="none" w:color="FFFFFF" w:sz="0"/>
              <w:right w:val="none" w:color="FFFFFF" w:sz="0"/>
            </w:tcBorders>
            <w:shd w:fill="FDF5F5" w:val="clear"/>
            <w:tcMar>
              <w:top w:type="dxa" w:w="160"/>
              <w:left w:type="dxa" w:w="280"/>
              <w:bottom w:type="dxa" w:w="160"/>
              <w:right w:type="dxa" w:w="280"/>
            </w:tcMar>
          </w:tcPr>
          <w:p>
            <w:pPr>
              <w:spacing w:before="0" w:after="60"/>
            </w:pPr>
            <w:r>
              <w:rPr>
                <w:rFonts w:ascii="Arial" w:cs="Arial" w:eastAsia="Arial" w:hAnsi="Arial"/>
                <w:b/>
                <w:bCs/>
                <w:color w:val="8B1A1A"/>
                <w:spacing w:val="60"/>
                <w:sz w:val="17"/>
                <w:szCs w:val="17"/>
              </w:rPr>
              <w:t xml:space="preserve">CONFIDENTIALITY</w:t>
            </w:r>
          </w:p>
          <w:p>
            <w:pPr>
              <w:spacing w:before="0" w:after="0"/>
            </w:pPr>
            <w:r>
              <w:rPr>
                <w:rFonts w:ascii="Arial" w:cs="Arial" w:eastAsia="Arial" w:hAnsi="Arial"/>
                <w:color w:val="111111"/>
                <w:sz w:val="21"/>
                <w:szCs w:val="21"/>
              </w:rPr>
              <w:t xml:space="preserve">This document contains non-public information about Potluck's product architecture, legal strategy, and business plans. It is prepared in anticipation of attorney-client privilege and is intended solely for the use of retained regulatory counsel. Do not distribute.</w:t>
            </w:r>
          </w:p>
        </w:tc>
      </w:tr>
    </w:tbl>
    <w:p>
      <w:pPr>
        <w:spacing w:before="0" w:after="100"/>
      </w:pPr>
      <w:r>
        <w:t xml:space="preserve"/>
      </w:r>
    </w:p>
    <w:p>
      <w:pPr>
        <w:spacing w:before="0" w:after="100"/>
      </w:pPr>
      <w:r>
        <w:t xml:space="preserve"/>
      </w:r>
    </w:p>
    <w:p>
      <w:pPr>
        <w:spacing w:before="240" w:after="0"/>
        <w:jc w:val="center"/>
      </w:pPr>
      <w:r>
        <w:rPr>
          <w:rFonts w:ascii="Georgia" w:cs="Georgia" w:eastAsia="Georgia" w:hAnsi="Georgia"/>
          <w:color w:val="999999"/>
          <w:sz w:val="20"/>
          <w:szCs w:val="20"/>
        </w:rPr>
        <w:t xml:space="preserve">— End of Brief —</w:t>
      </w:r>
    </w:p>
    <w:sectPr>
      <w:headerReference w:type="default" r:id="rId6"/>
      <w:footerReference w:type="default" r:id="rId7"/>
      <w:pgSz w:w="12240" w:h="15840" w:orient="portrait"/>
      <w:pgMar w:top="1440" w:right="1440" w:bottom="1260" w:left="1440" w:header="708" w:footer="708"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1"/>
      </w:pBdr>
      <w:spacing w:before="120" w:after="0"/>
      <w:jc w:val="center"/>
    </w:pPr>
    <w:r>
      <w:rPr>
        <w:rFonts w:ascii="Arial" w:cs="Arial" w:eastAsia="Arial" w:hAnsi="Arial"/>
        <w:color w:val="999999"/>
        <w:sz w:val="16"/>
        <w:szCs w:val="16"/>
      </w:rPr>
      <w:t xml:space="preserve">Potluck · hello@potluck.app · potluck.app</w:t>
    </w:r>
    <w:r>
      <w:rPr>
        <w:rFonts w:ascii="Arial" w:cs="Arial" w:eastAsia="Arial" w:hAnsi="Arial"/>
        <w:color w:val="999999"/>
        <w:sz w:val="16"/>
        <w:szCs w:val="16"/>
      </w:rP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1"/>
      </w:pBdr>
      <w:spacing w:before="0" w:after="160"/>
      <w:jc w:val="right"/>
    </w:pPr>
    <w:r>
      <w:rPr>
        <w:rFonts w:ascii="Arial" w:cs="Arial" w:eastAsia="Arial" w:hAnsi="Arial"/>
        <w:b/>
        <w:bCs/>
        <w:color w:val="666666"/>
        <w:spacing w:val="60"/>
        <w:sz w:val="17"/>
        <w:szCs w:val="17"/>
      </w:rPr>
      <w:t xml:space="preserve">POTLUCK · REGULATORY COUNSEL BRIEF</w:t>
    </w:r>
    <w:r>
      <w:rPr>
        <w:rFonts w:ascii="Arial" w:cs="Arial" w:eastAsia="Arial" w:hAnsi="Arial"/>
        <w:color w:val="999999"/>
        <w:sz w:val="16"/>
        <w:szCs w:val="16"/>
      </w:rPr>
      <w:t xml:space="preserve">   ·   PRIVILEGED &amp; CONFIDENTIAL   ·   ATTORNEY WORK PRODUCT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rFonts w:ascii="Arial" w:cs="Arial" w:eastAsia="Arial" w:hAnsi="Arial"/>
        <w:color w:val="B8960C"/>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160"/>
      <w:outlineLvl w:val="0"/>
    </w:pPr>
    <w:rPr>
      <w:rFonts w:ascii="Georgia" w:cs="Georgia" w:eastAsia="Georgia" w:hAnsi="Georgia"/>
      <w:b/>
      <w:bCs/>
      <w:color w:val="111111"/>
      <w:sz w:val="40"/>
      <w:szCs w:val="40"/>
    </w:rPr>
  </w:style>
  <w:style w:type="paragraph" w:styleId="Heading2">
    <w:name w:val="Heading 2"/>
    <w:basedOn w:val="Normal"/>
    <w:next w:val="Normal"/>
    <w:qFormat/>
    <w:pPr>
      <w:spacing w:before="360" w:after="120"/>
      <w:outlineLvl w:val="1"/>
    </w:pPr>
    <w:rPr>
      <w:rFonts w:ascii="Georgia" w:cs="Georgia" w:eastAsia="Georgia" w:hAnsi="Georgia"/>
      <w:b/>
      <w:bCs/>
      <w:color w:val="11111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2026-03-05T21:46:43.695Z</dcterms:created>
  <dcterms:modified xsi:type="dcterms:W3CDTF">2026-03-05T21:46:43.695Z</dcterms:modified>
</cp:coreProperties>
</file>

<file path=docProps/custom.xml><?xml version="1.0" encoding="utf-8"?>
<Properties xmlns="http://schemas.openxmlformats.org/officeDocument/2006/custom-properties" xmlns:vt="http://schemas.openxmlformats.org/officeDocument/2006/docPropsVTypes"/>
</file>