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61360" w14:textId="1A91B5B9" w:rsidR="0081550E" w:rsidRPr="00BF0DAD" w:rsidRDefault="0081550E" w:rsidP="0081550E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电磁感应（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能量</w:t>
      </w: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+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位移电流</w:t>
      </w: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）——随堂测试</w:t>
      </w:r>
    </w:p>
    <w:p w14:paraId="73D22150" w14:textId="77777777" w:rsidR="0081550E" w:rsidRPr="00397EE5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</w:p>
    <w:p w14:paraId="5F54F94A" w14:textId="77777777" w:rsidR="0081550E" w:rsidRPr="00BA6661" w:rsidRDefault="0081550E" w:rsidP="0081550E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>
        <w:rPr>
          <w:rFonts w:ascii="Times New Roman" w:hAnsi="Times New Roman"/>
          <w:szCs w:val="21"/>
        </w:rPr>
        <w:t xml:space="preserve"> </w:t>
      </w:r>
      <w:r w:rsidRPr="00BA6661">
        <w:rPr>
          <w:rFonts w:ascii="Times New Roman" w:hAnsi="Times New Roman" w:hint="eastAsia"/>
          <w:szCs w:val="21"/>
        </w:rPr>
        <w:t>对位移电流，有下述四种说法，请指出哪一种说法正确</w:t>
      </w:r>
    </w:p>
    <w:p w14:paraId="59EC7634" w14:textId="77777777" w:rsidR="0081550E" w:rsidRPr="00BA6661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(A) </w:t>
      </w:r>
      <w:r w:rsidRPr="00BA6661">
        <w:rPr>
          <w:rFonts w:ascii="Times New Roman" w:hAnsi="Times New Roman" w:hint="eastAsia"/>
          <w:szCs w:val="21"/>
        </w:rPr>
        <w:t>位移电流是指变化电场</w:t>
      </w:r>
      <w:r w:rsidRPr="00BA6661">
        <w:rPr>
          <w:rFonts w:ascii="Times New Roman" w:hAnsi="Times New Roman"/>
          <w:szCs w:val="21"/>
        </w:rPr>
        <w:t xml:space="preserve">    (B) </w:t>
      </w:r>
      <w:r w:rsidRPr="00BA6661">
        <w:rPr>
          <w:rFonts w:ascii="Times New Roman" w:hAnsi="Times New Roman" w:hint="eastAsia"/>
          <w:szCs w:val="21"/>
        </w:rPr>
        <w:t>位移电流是由线性变化磁场产生的</w:t>
      </w:r>
    </w:p>
    <w:p w14:paraId="5F7F9F6D" w14:textId="77777777" w:rsidR="0081550E" w:rsidRPr="00BA6661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(C) </w:t>
      </w:r>
      <w:r w:rsidRPr="00BA6661">
        <w:rPr>
          <w:rFonts w:ascii="Times New Roman" w:hAnsi="Times New Roman" w:hint="eastAsia"/>
          <w:szCs w:val="21"/>
        </w:rPr>
        <w:t>位移电流的热效应服从焦耳─楞次定律</w:t>
      </w:r>
    </w:p>
    <w:p w14:paraId="3E140013" w14:textId="77777777" w:rsidR="0081550E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(D) </w:t>
      </w:r>
      <w:r w:rsidRPr="00BA6661">
        <w:rPr>
          <w:rFonts w:ascii="Times New Roman" w:hAnsi="Times New Roman" w:hint="eastAsia"/>
          <w:szCs w:val="21"/>
        </w:rPr>
        <w:t>位移电流的磁效应不服从安培环路定理</w:t>
      </w:r>
      <w:r w:rsidRPr="00BA6661">
        <w:rPr>
          <w:rFonts w:ascii="Times New Roman" w:hAnsi="Times New Roman"/>
          <w:szCs w:val="21"/>
        </w:rPr>
        <w:t xml:space="preserve">                                  </w:t>
      </w:r>
    </w:p>
    <w:p w14:paraId="2053ACD3" w14:textId="77777777" w:rsidR="0081550E" w:rsidRPr="00BA6661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4519DEE9" w14:textId="77777777" w:rsidR="0081550E" w:rsidRPr="00A719ED" w:rsidRDefault="0081550E" w:rsidP="0081550E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A719ED">
        <w:rPr>
          <w:rFonts w:ascii="Times New Roman" w:eastAsia="宋体" w:hAnsi="Times New Roman" w:cs="Times New Roman" w:hint="eastAsia"/>
          <w:szCs w:val="24"/>
        </w:rPr>
        <w:t>有两个长直密绕螺线管，长度及线圈匝数均相同，半径分别为</w:t>
      </w:r>
      <w:r w:rsidRPr="00A719ED">
        <w:rPr>
          <w:rFonts w:ascii="Times New Roman" w:eastAsia="宋体" w:hAnsi="Times New Roman" w:cs="Times New Roman" w:hint="eastAsia"/>
          <w:i/>
          <w:szCs w:val="24"/>
        </w:rPr>
        <w:t>r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和</w:t>
      </w:r>
      <w:r w:rsidRPr="00A719ED">
        <w:rPr>
          <w:rFonts w:ascii="Times New Roman" w:eastAsia="宋体" w:hAnsi="Times New Roman" w:cs="Times New Roman" w:hint="eastAsia"/>
          <w:i/>
          <w:szCs w:val="24"/>
        </w:rPr>
        <w:t>r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．管内充满均匀介质，其磁导率分别为</w:t>
      </w:r>
      <w:r w:rsidRPr="00A719ED">
        <w:rPr>
          <w:rFonts w:ascii="Symbol" w:eastAsia="宋体" w:hAnsi="Symbol" w:cs="Times New Roman"/>
          <w:i/>
          <w:szCs w:val="24"/>
        </w:rPr>
        <w:t>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和</w:t>
      </w:r>
      <w:r w:rsidRPr="00A719ED">
        <w:rPr>
          <w:rFonts w:ascii="Symbol" w:eastAsia="宋体" w:hAnsi="Symbol" w:cs="Times New Roman"/>
          <w:i/>
          <w:szCs w:val="24"/>
        </w:rPr>
        <w:t>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．设</w:t>
      </w:r>
      <w:r w:rsidRPr="00A719ED">
        <w:rPr>
          <w:rFonts w:ascii="Times New Roman" w:eastAsia="宋体" w:hAnsi="Times New Roman" w:cs="Times New Roman" w:hint="eastAsia"/>
          <w:i/>
          <w:szCs w:val="24"/>
        </w:rPr>
        <w:t>r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 w:hint="eastAsia"/>
          <w:i/>
          <w:szCs w:val="24"/>
        </w:rPr>
        <w:t>r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/>
          <w:szCs w:val="24"/>
        </w:rPr>
        <w:t>=1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，</w:t>
      </w:r>
      <w:r w:rsidRPr="00A719ED">
        <w:rPr>
          <w:rFonts w:ascii="Symbol" w:eastAsia="宋体" w:hAnsi="Symbol" w:cs="Times New Roman"/>
          <w:i/>
          <w:szCs w:val="24"/>
        </w:rPr>
        <w:t>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Symbol" w:eastAsia="宋体" w:hAnsi="Symbol" w:cs="Times New Roman"/>
          <w:i/>
          <w:szCs w:val="24"/>
        </w:rPr>
        <w:t>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/>
          <w:szCs w:val="24"/>
        </w:rPr>
        <w:t>=2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，当将两只螺线管串联在电路中通电稳定后，其自感系数之比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与磁能之比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分别为：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</w:t>
      </w:r>
    </w:p>
    <w:p w14:paraId="0C897CB2" w14:textId="77777777" w:rsidR="0081550E" w:rsidRPr="00A719ED" w:rsidRDefault="0081550E" w:rsidP="0081550E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(A)  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/>
          <w:szCs w:val="24"/>
        </w:rPr>
        <w:t>=1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，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=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</w:t>
      </w:r>
    </w:p>
    <w:p w14:paraId="1181694C" w14:textId="77777777" w:rsidR="0081550E" w:rsidRPr="00A719ED" w:rsidRDefault="0081550E" w:rsidP="0081550E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(B)  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/>
          <w:szCs w:val="24"/>
        </w:rPr>
        <w:t>=1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 w:hint="eastAsia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，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=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</w:t>
      </w:r>
    </w:p>
    <w:p w14:paraId="2CB137AA" w14:textId="77777777" w:rsidR="0081550E" w:rsidRPr="00A719ED" w:rsidRDefault="0081550E" w:rsidP="0081550E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/>
          <w:szCs w:val="24"/>
        </w:rPr>
        <w:t xml:space="preserve">    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(C)  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/>
          <w:szCs w:val="24"/>
        </w:rPr>
        <w:t>=1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 w:hint="eastAsia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，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=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 w:hint="eastAsia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/>
          <w:szCs w:val="24"/>
        </w:rPr>
        <w:t xml:space="preserve">                </w:t>
      </w:r>
    </w:p>
    <w:p w14:paraId="25B1514C" w14:textId="77777777" w:rsidR="0081550E" w:rsidRDefault="0081550E" w:rsidP="0081550E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L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/>
          <w:szCs w:val="24"/>
        </w:rPr>
        <w:t>=2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，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 w:hint="eastAsia"/>
          <w:szCs w:val="24"/>
          <w:vertAlign w:val="subscript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i/>
          <w:szCs w:val="24"/>
        </w:rPr>
        <w:t>W</w:t>
      </w:r>
      <w:r w:rsidRPr="00A719ED">
        <w:rPr>
          <w:rFonts w:ascii="Times New Roman" w:eastAsia="宋体" w:hAnsi="Times New Roman" w:cs="Times New Roman"/>
          <w:i/>
          <w:szCs w:val="24"/>
          <w:vertAlign w:val="subscript"/>
        </w:rPr>
        <w:t>m</w:t>
      </w:r>
      <w:r w:rsidRPr="00A719E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=</w:t>
      </w:r>
      <w:r w:rsidRPr="00A719ED">
        <w:rPr>
          <w:rFonts w:ascii="Times New Roman" w:eastAsia="宋体" w:hAnsi="Times New Roman" w:cs="Times New Roman"/>
          <w:szCs w:val="24"/>
        </w:rPr>
        <w:t>2</w:t>
      </w:r>
      <w:r w:rsidRPr="00A719ED">
        <w:rPr>
          <w:rFonts w:ascii="Times New Roman" w:eastAsia="宋体" w:hAnsi="Times New Roman" w:cs="Times New Roman" w:hint="eastAsia"/>
          <w:szCs w:val="24"/>
        </w:rPr>
        <w:t>∶</w:t>
      </w:r>
      <w:r w:rsidRPr="00A719ED">
        <w:rPr>
          <w:rFonts w:ascii="Times New Roman" w:eastAsia="宋体" w:hAnsi="Times New Roman" w:cs="Times New Roman"/>
          <w:szCs w:val="24"/>
        </w:rPr>
        <w:t>1</w:t>
      </w:r>
      <w:r w:rsidRPr="00A719ED">
        <w:rPr>
          <w:rFonts w:ascii="Times New Roman" w:eastAsia="宋体" w:hAnsi="Times New Roman" w:cs="Times New Roman" w:hint="eastAsia"/>
          <w:szCs w:val="24"/>
        </w:rPr>
        <w:t>．</w:t>
      </w:r>
      <w:r w:rsidRPr="00A719ED">
        <w:rPr>
          <w:rFonts w:ascii="Times New Roman" w:eastAsia="宋体" w:hAnsi="Times New Roman" w:cs="Times New Roman" w:hint="eastAsia"/>
          <w:szCs w:val="24"/>
        </w:rPr>
        <w:t xml:space="preserve">                                      </w:t>
      </w:r>
    </w:p>
    <w:p w14:paraId="1E88909A" w14:textId="77777777" w:rsidR="0081550E" w:rsidRPr="00A719ED" w:rsidRDefault="0081550E" w:rsidP="0081550E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 xml:space="preserve"> [       ]</w:t>
      </w:r>
    </w:p>
    <w:p w14:paraId="78201C10" w14:textId="77777777" w:rsidR="0081550E" w:rsidRDefault="0081550E" w:rsidP="0081550E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</w:p>
    <w:p w14:paraId="02E193E4" w14:textId="77777777" w:rsidR="0081550E" w:rsidRPr="00BA6661" w:rsidRDefault="0081550E" w:rsidP="0081550E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077FF65F" wp14:editId="531B3F4D">
            <wp:simplePos x="0" y="0"/>
            <wp:positionH relativeFrom="column">
              <wp:posOffset>4257675</wp:posOffset>
            </wp:positionH>
            <wp:positionV relativeFrom="paragraph">
              <wp:posOffset>396240</wp:posOffset>
            </wp:positionV>
            <wp:extent cx="1304925" cy="1162050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 w:hint="eastAsia"/>
          <w:szCs w:val="21"/>
        </w:rPr>
        <w:t>，</w:t>
      </w:r>
      <w:r w:rsidRPr="00BA6661">
        <w:rPr>
          <w:rFonts w:ascii="Times New Roman" w:hAnsi="Times New Roman" w:hint="eastAsia"/>
          <w:szCs w:val="21"/>
        </w:rPr>
        <w:t>如图，平板电容器</w:t>
      </w:r>
      <w:r w:rsidRPr="00BA6661">
        <w:rPr>
          <w:rFonts w:ascii="Times New Roman" w:hAnsi="Times New Roman"/>
          <w:szCs w:val="21"/>
        </w:rPr>
        <w:t>(</w:t>
      </w:r>
      <w:r w:rsidRPr="00BA6661">
        <w:rPr>
          <w:rFonts w:ascii="Times New Roman" w:hAnsi="Times New Roman" w:hint="eastAsia"/>
          <w:szCs w:val="21"/>
        </w:rPr>
        <w:t>忽略边缘效应</w:t>
      </w:r>
      <w:r w:rsidRPr="00BA6661">
        <w:rPr>
          <w:rFonts w:ascii="Times New Roman" w:hAnsi="Times New Roman"/>
          <w:szCs w:val="21"/>
        </w:rPr>
        <w:t>)</w:t>
      </w:r>
      <w:r w:rsidRPr="00BA6661">
        <w:rPr>
          <w:rFonts w:ascii="Times New Roman" w:hAnsi="Times New Roman" w:hint="eastAsia"/>
          <w:szCs w:val="21"/>
        </w:rPr>
        <w:t>充电时，沿环路</w:t>
      </w:r>
      <w:r w:rsidRPr="00BA6661">
        <w:rPr>
          <w:rFonts w:ascii="Times New Roman" w:hAnsi="Times New Roman"/>
          <w:i/>
          <w:szCs w:val="21"/>
        </w:rPr>
        <w:t>L</w:t>
      </w:r>
      <w:r w:rsidRPr="00BA6661">
        <w:rPr>
          <w:rFonts w:ascii="Times New Roman" w:hAnsi="Times New Roman"/>
          <w:szCs w:val="21"/>
          <w:vertAlign w:val="subscript"/>
        </w:rPr>
        <w:t>1</w:t>
      </w:r>
      <w:r w:rsidRPr="00BA6661">
        <w:rPr>
          <w:rFonts w:ascii="Times New Roman" w:hAnsi="Times New Roman" w:hint="eastAsia"/>
          <w:szCs w:val="21"/>
        </w:rPr>
        <w:t>的磁场强度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57584DEE" wp14:editId="71B27EF2">
            <wp:extent cx="180975" cy="190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的环流与沿环路</w:t>
      </w:r>
      <w:r w:rsidRPr="00BA6661">
        <w:rPr>
          <w:rFonts w:ascii="Times New Roman" w:hAnsi="Times New Roman"/>
          <w:i/>
          <w:szCs w:val="21"/>
        </w:rPr>
        <w:t>L</w:t>
      </w:r>
      <w:r w:rsidRPr="00BA6661">
        <w:rPr>
          <w:rFonts w:ascii="Times New Roman" w:hAnsi="Times New Roman"/>
          <w:szCs w:val="21"/>
          <w:vertAlign w:val="subscript"/>
        </w:rPr>
        <w:t>2</w:t>
      </w:r>
      <w:r w:rsidRPr="00BA6661">
        <w:rPr>
          <w:rFonts w:ascii="Times New Roman" w:hAnsi="Times New Roman" w:hint="eastAsia"/>
          <w:szCs w:val="21"/>
        </w:rPr>
        <w:t>的磁场强度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67BD01CC" wp14:editId="58FAE0ED">
            <wp:extent cx="180975" cy="190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的环流两者，必有：</w:t>
      </w:r>
    </w:p>
    <w:p w14:paraId="22F351E5" w14:textId="77777777" w:rsidR="0081550E" w:rsidRPr="00BA6661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(A)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2B93BA91" wp14:editId="5D6917AD">
            <wp:extent cx="695325" cy="3905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23BE413C" wp14:editId="54D9582A">
            <wp:extent cx="581025" cy="3905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 xml:space="preserve">    (B)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31181408" wp14:editId="03C54968">
            <wp:extent cx="695325" cy="3905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429DCDBC" wp14:editId="3AEA6C8E">
            <wp:extent cx="581025" cy="39052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7D48" w14:textId="77777777" w:rsidR="0081550E" w:rsidRDefault="0081550E" w:rsidP="0081550E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(C)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4E535375" wp14:editId="6DB5A178">
            <wp:extent cx="695325" cy="3905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6C005CFF" wp14:editId="64FC8BC2">
            <wp:extent cx="581025" cy="390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 xml:space="preserve">    (D)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478A8BAF" wp14:editId="291D9C3B">
            <wp:extent cx="800100" cy="3905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 xml:space="preserve">  </w:t>
      </w:r>
    </w:p>
    <w:p w14:paraId="7A6821BF" w14:textId="77777777" w:rsidR="0081550E" w:rsidRDefault="0081550E" w:rsidP="0081550E">
      <w:pPr>
        <w:snapToGrid w:val="0"/>
        <w:spacing w:line="276" w:lineRule="auto"/>
        <w:ind w:firstLine="420"/>
        <w:rPr>
          <w:rFonts w:ascii="Times New Roman" w:eastAsia="宋体" w:hAnsi="Times New Roman" w:cs="Times New Roman"/>
          <w:szCs w:val="24"/>
        </w:rPr>
      </w:pPr>
      <w:r w:rsidRPr="00A719ED">
        <w:rPr>
          <w:rFonts w:ascii="Times New Roman" w:eastAsia="宋体" w:hAnsi="Times New Roman" w:cs="Times New Roman" w:hint="eastAsia"/>
          <w:szCs w:val="24"/>
        </w:rPr>
        <w:t>[       ]</w:t>
      </w:r>
    </w:p>
    <w:p w14:paraId="07E3A07D" w14:textId="77777777" w:rsidR="0081550E" w:rsidRDefault="0081550E" w:rsidP="0081550E">
      <w:pPr>
        <w:snapToGrid w:val="0"/>
        <w:spacing w:line="480" w:lineRule="auto"/>
        <w:rPr>
          <w:rFonts w:ascii="Times New Roman" w:hAnsi="Times New Roman"/>
          <w:szCs w:val="21"/>
        </w:rPr>
      </w:pPr>
    </w:p>
    <w:p w14:paraId="429097E1" w14:textId="77777777" w:rsidR="0081550E" w:rsidRDefault="0081550E" w:rsidP="0081550E">
      <w:pPr>
        <w:snapToGrid w:val="0"/>
        <w:spacing w:line="480" w:lineRule="auto"/>
        <w:rPr>
          <w:rFonts w:ascii="Times New Roman" w:hAnsi="Times New Roman"/>
          <w:szCs w:val="21"/>
        </w:rPr>
      </w:pPr>
    </w:p>
    <w:p w14:paraId="6FD0893E" w14:textId="77777777" w:rsidR="008A1E03" w:rsidRPr="0081550E" w:rsidRDefault="008A1E03"/>
    <w:sectPr w:rsidR="008A1E03" w:rsidRPr="0081550E" w:rsidSect="0081550E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0E"/>
    <w:rsid w:val="00462D7A"/>
    <w:rsid w:val="0068621E"/>
    <w:rsid w:val="0081550E"/>
    <w:rsid w:val="008A1E03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0422"/>
  <w15:chartTrackingRefBased/>
  <w15:docId w15:val="{78D68D47-586F-46B9-8CEF-D0636524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5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fontTable" Target="fontTable.xml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2020-11-28T02:48:00Z</dcterms:created>
  <dcterms:modified xsi:type="dcterms:W3CDTF">2021-11-27T12:18:00Z</dcterms:modified>
</cp:coreProperties>
</file>