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微软雅黑"/>
          <w:b/>
          <w:color w:val="C65D3B"/>
          <w:sz w:val="22"/>
        </w:rPr>
        <w:t>第十二届全国大学生物理实验竞赛（创新）</w:t>
      </w:r>
    </w:p>
    <w:p>
      <w:pPr>
        <w:spacing w:after="160"/>
        <w:jc w:val="center"/>
      </w:pPr>
      <w:r>
        <w:rPr>
          <w:rFonts w:ascii="Calibri" w:hAnsi="Calibri" w:eastAsia="微软雅黑"/>
          <w:b/>
          <w:color w:val="0F766E"/>
          <w:sz w:val="52"/>
        </w:rPr>
        <w:t>李萨如图形实验智能助教</w:t>
      </w:r>
    </w:p>
    <w:p>
      <w:pPr>
        <w:spacing w:after="560"/>
        <w:jc w:val="center"/>
      </w:pPr>
      <w:r>
        <w:rPr>
          <w:rFonts w:ascii="Calibri" w:hAnsi="Calibri" w:eastAsia="微软雅黑"/>
          <w:b/>
          <w:color w:val="333333"/>
          <w:sz w:val="32"/>
        </w:rPr>
        <w:t>答辩教师视角 · 20 个问题与参考回答</w:t>
      </w:r>
    </w:p>
    <w:p>
      <w:pPr>
        <w:spacing w:before="240" w:after="240"/>
        <w:jc w:val="center"/>
        <w:shd w:fill="F3F6F8" w:val="clear"/>
      </w:pPr>
      <w:r>
        <w:rPr>
          <w:rFonts w:ascii="Calibri" w:hAnsi="Calibri" w:eastAsia="微软雅黑"/>
          <w:b/>
          <w:color w:val="C65D3B"/>
          <w:sz w:val="22"/>
        </w:rPr>
        <w:t>自选题 2｜教学资源和虚拟仿真实验</w:t>
      </w:r>
    </w:p>
    <w:p/>
    <w:p/>
    <w:p/>
    <w:p/>
    <w:p>
      <w:pPr>
        <w:spacing w:after="120"/>
        <w:jc w:val="center"/>
      </w:pPr>
      <w:r>
        <w:rPr>
          <w:rFonts w:ascii="Calibri" w:hAnsi="Calibri" w:eastAsia="微软雅黑"/>
          <w:b/>
          <w:color w:val="555555"/>
          <w:sz w:val="22"/>
        </w:rPr>
        <w:t>2026年8月</w:t>
      </w:r>
    </w:p>
    <w:p>
      <w:pPr>
        <w:jc w:val="center"/>
      </w:pPr>
      <w:r>
        <w:rPr>
          <w:rFonts w:ascii="Times New Roman" w:hAnsi="Times New Roman" w:eastAsia="宋体"/>
          <w:color w:val="777777"/>
          <w:sz w:val="19"/>
        </w:rPr>
        <w:t>匿名答辩准备材料</w:t>
      </w:r>
    </w:p>
    <w:p>
      <w:r>
        <w:br w:type="page"/>
      </w:r>
    </w:p>
    <w:p>
      <w:pPr>
        <w:pStyle w:val="Heading1"/>
        <w:spacing w:before="0"/>
      </w:pPr>
      <w:r>
        <w:t>使用说明与问题索引</w:t>
      </w:r>
    </w:p>
    <w:p>
      <w:pPr>
        <w:spacing w:after="160"/>
      </w:pPr>
      <w:r>
        <w:rPr>
          <w:rFonts w:ascii="Calibri" w:hAnsi="Calibri" w:eastAsia="微软雅黑"/>
          <w:b/>
          <w:color w:val="0F766E"/>
          <w:sz w:val="21"/>
        </w:rPr>
        <w:t>建议答题结构：</w:t>
      </w:r>
      <w:r>
        <w:rPr>
          <w:rFonts w:ascii="Times New Roman" w:hAnsi="Times New Roman" w:eastAsia="宋体"/>
          <w:sz w:val="21"/>
        </w:rPr>
        <w:t>先给结论，再讲原理或证据，主动说明边界，最后落到教学价值或改进方向。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Times New Roman" w:hAnsi="Times New Roman" w:eastAsia="宋体"/>
          <w:sz w:val="21"/>
        </w:rPr>
        <w:t>一般题控制在45—60秒；物理与架构题可用60—90秒；追问先回答核心判断，再补充证据。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Times New Roman" w:hAnsi="Times New Roman" w:eastAsia="宋体"/>
          <w:sz w:val="21"/>
        </w:rPr>
        <w:t>答题时优先引用公式、界面读数、CSV或测试场景，不用“我们认为”“效果很好”代替证据。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Times New Roman" w:hAnsi="Times New Roman" w:eastAsia="宋体"/>
          <w:sz w:val="21"/>
        </w:rPr>
        <w:t>本手册区分已经实现、已经验证和后续计划；不把自动化测试等同于课堂教学效果或绝对安全。</w:t>
      </w:r>
    </w:p>
    <w:p>
      <w:pPr>
        <w:spacing w:before="160" w:after="100"/>
      </w:pPr>
      <w:r>
        <w:rPr>
          <w:rFonts w:ascii="Calibri" w:hAnsi="Calibri" w:eastAsia="微软雅黑"/>
          <w:b/>
          <w:color w:val="0F766E"/>
          <w:sz w:val="24"/>
        </w:rPr>
        <w:t>问题索引</w:t>
      </w:r>
    </w:p>
    <w:tbl>
      <w:tblPr>
        <w:tblStyle w:val="TableGrid"/>
        <w:tblW w:type="dxa" w:w="92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200"/>
        <w:gridCol w:w="588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考察重点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作品定位与教学价值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01—04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定位、课程逻辑、教学评价与创新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物理原理与模型边界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05—08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核心公式、物理条件与边界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数值实现与系统架构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09—12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数值实现、语言分工与故障隔离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智能问答、数据与验证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13—16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检索、确定性工具、多模态与数据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部署、团队与答辩收束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17—20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部署、测试、团队、局限与收束</w:t>
            </w:r>
          </w:p>
        </w:tc>
      </w:tr>
    </w:tbl>
    <w:p>
      <w:pPr>
        <w:spacing w:before="200" w:after="0"/>
        <w:shd w:fill="EAF4F8" w:val="clear"/>
        <w:pBdr>
          <w:left w:val="single" w:sz="20" w:space="8" w:color="0F766E"/>
        </w:pBdr>
      </w:pPr>
      <w:r>
        <w:rPr>
          <w:rFonts w:ascii="Calibri" w:hAnsi="Calibri" w:eastAsia="微软雅黑"/>
          <w:b/>
          <w:color w:val="0F766E"/>
          <w:sz w:val="20"/>
        </w:rPr>
        <w:t>事实口径：</w:t>
      </w:r>
      <w:r>
        <w:rPr>
          <w:rFonts w:ascii="Times New Roman" w:hAnsi="Times New Roman" w:eastAsia="宋体"/>
          <w:sz w:val="20"/>
        </w:rPr>
        <w:t>内容依据当前设计报告、源码边界和验收记录整理；文中不包含任何模型密钥、个人身份信息或未形成证据的教学效果结论。</w:t>
      </w:r>
    </w:p>
    <w:p>
      <w:r>
        <w:br w:type="page"/>
      </w:r>
    </w:p>
    <w:p>
      <w:pPr>
        <w:pStyle w:val="Heading1"/>
        <w:keepNext/>
        <w:keepLines/>
        <w:widowControl/>
      </w:pPr>
      <w:r>
        <w:t>一、作品定位与教学价值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真实示波器已经可以观察李萨如图形，你们为什么还要开发虚拟实验？会不会替代真实操作？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作品定位｜虚实互补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不会替代真实仪器。真实示波器训练接线、触发、量程和故障排查，虚拟实验则提供可暂停、可逐帧、可重复扫描和可导出的条件。学生可以先预测参数变化，再到实体实验验证，最后用解析模型和CSV复核偏差。我们把它定位为实验前预习与实验后分析工具，而不是把理想模型冒充真实仪器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先明确“不能替代”，再说明虚拟实验补足了哪些课堂条件。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为什么选相位差、振幅比、有理频率比和频率失谐四个实验？它们之间有什么教学逻辑？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课程设计｜概念进阶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四个实验不是并列动画，而是一条由简到繁的概念链。相位差解释形状与方向，振幅比解释尺度与主轴；有理频率比引入公周期和严格闭合；频率失谐进一步展示快振动与慢形态演化。前一模块建立的相位、尺度和闭合概念会在后一模块再次使用，使学生从识别典型图形逐步过渡到解释一般参数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用“同频几何—严格闭合—慢演化”概括主线。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你们准备怎样证明这个系统确实有教学价值，而不是界面比较新颖？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教学评价｜证据边界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软件功能通过不等于教学有效。评价方案采用前测、单变量操作任务、后测和迁移任务，记录正确率、完成时间、典型错误、认知负荷及CSV复算证据，并按“预测—操作—证据—解释”评分。当前材料能证明评价流程可执行，但没有足够真实课堂样本时，我们不会宣称成绩显著提高，后续还需报告效应量、置信区间和评分者一致性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主动区分功能验收与教学效果研究，能提升回答可信度。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请不要只罗列技术名词。你们认为作品最核心的创新到底是什么？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创新性｜可核查闭环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核心创新是把“现象—参数—证据—解释”连成可核查闭环。动态图展示轨迹形成与方向，解析指标把外观判断转化为半轴、面积、闭合误差和周期检验；专题检索与确定性工具约束问答；CSV又让结果可以独立复绘。Julia、Streamlit和大模型只是实现手段，真正的创新是每个结论都能回到公式、数据或来源验证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先讲教学闭环，再把技术放回支撑角色。</w:t>
      </w:r>
    </w:p>
    <w:p>
      <w:pPr>
        <w:pStyle w:val="Heading1"/>
        <w:keepNext/>
        <w:keepLines/>
        <w:widowControl/>
      </w:pPr>
      <w:r>
        <w:t>二、物理原理与模型边界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请从基本方程出发说明模型假设，并指出它在哪些情况下不再适用。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正交简谐运动｜适用边界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模型写为 x=A·sin(2πfₓt+φₓ)、y=B·sin(2πfᵧt+φᵧ)，假定两通道同钟、坐标轴正交，且观察期间幅值、频率和初相稳定。当前版本暂不纳入阻尼、随机噪声、通道串扰和非线性，因此提供的是可解析复核的理想基线。真实示波器轨迹与该基线的差异，应作为误差与非理想因素分析对象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公式后立刻说明假设，不要把理想模型说成真实仪器模型。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相位差为什么能够决定图形形状？仅凭一张静态图能否唯一确定相位？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隐式方程｜方向判别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同频时归一化并消去时间，可得 X²+Y²-2XY·cosφ=sin²φ。φ为0°或180°时退化为直线；A=B且φ为90°或270°时才是圆。静态外形不能区分部分互补相位，因此程序同时显示运动质点、尾迹和方向，并用 x·ẏ-y·ẋ 的符号辅助判断。结论还依赖屏幕纵轴方向，答辩时必须先声明坐标约定。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先给隐式方程，再强调“静态外形不总能唯一反演相位”。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实验二中，为什么横向宽度和纵向高度不能直接叫作椭圆的长轴、短轴？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投影跨度｜主轴辨析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横、纵跨度分别是2A和2B，它们只是坐标轴投影；一般相位下椭圆会旋转，投影跨度并不等于自身主轴。程序把同频映射写成矩阵并进行奇异值分解，用奇异值求两条半轴、用左奇异向量求主轴方向。归一化后还能剥离振幅尺度，并用 S=πAB|sinφ| 复核面积，从而区分通道增益、外接矩形和椭圆本征几何。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用“投影量不等于本征量”一句先回答，再说明SVD。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频率不相等时轨迹为什么仍可能闭合？你们怎样给出严格判据？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有理频率比｜最短闭合周期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闭合要求两通道在同一最短时间内各完成整数个周期，因此关键不是频率相等，而是频率比为有理数。若 fₓ=mf₀、fᵧ=nf₀，令 g=gcd(m,n)，最短闭合周期为1/(gf₀)。程序先约分m:n，再生成完整闭合区间，并用末点到起点的距离作数值判据。例如2:4应先约成1:2，不能只凭叶数猜周期。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用“有理比+约分+端点误差”三步回答。</w:t>
      </w:r>
    </w:p>
    <w:p>
      <w:pPr>
        <w:pStyle w:val="Heading1"/>
        <w:keepNext/>
        <w:keepLines/>
        <w:widowControl/>
      </w:pPr>
      <w:r>
        <w:t>三、数值实现与系统架构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频率失谐实验中的载波周期和形态周期有什么区别？频差的正负号又表示什么？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快慢时间尺度｜边界分支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设fᵧ=fₓ+Δf，相对相位按2πΔf·t+φ₀累积。载波周期1/f描述单次快速振动，形态周期1/|Δf|描述轨迹取向和扁率的缓慢演化。|Δf|决定演化快慢，符号决定演化方向；Δf=0时不存在有限形态周期，程序采用专门分支而不是塞入一个很小的非零数掩盖边界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把“快振动”和“慢形态变化”清楚分开。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动态图很流畅，但你们怎样证明它不是“只看起来正确”？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解析复核｜数值误差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相位、振幅和失谐模块使用1001个采样点，有理频率比模块使用1601个点，横纵通道由同一时间数组产生；播放只改变索引，不改变完整参考曲线。验证同时检查隐式方程残差、奇异值半轴、面积公式、闭合端点误差以及直线、圆、方向翻转等边界值，并区分解析误差、浮点舍入、采样分辨率和浏览器映射误差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不要只说“有测试”，要举出至少两项可复算指标。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为什么采用Python与Julia双语言架构？这是不是人为增加复杂度？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职责边界｜网页级组合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系统采用进程级解耦、网页级组合。Python/Streamlit负责统一入口、知识检索、智能问答、图片输入、受限代码执行和进程调度；Julia/WGLMakie负责四类实验的确定性计算与WebGL交互。滑块事件在浏览器和Julia会话之间直接更新，Python不逐帧转发大数组。复杂度集中在启动器中，换来的是职责清楚、数值链独立和故障可隔离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按“Python做什么、Julia做什么、两者如何协同”三句作答。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双进程结构更复杂。某个模块失败时，系统是否会整体崩溃？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故障隔离｜能力降级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设计目标不是保证所有模块永不失败，而是让故障边界清楚。Julia初始化失败时，Streamlit仍能显示状态、日志和检索问答；模型接口不可用时，四个确定性实验仍可运行，问答可退化为本地检索与计算。参数、证据和对话状态分离，生成式回答不能反向修改Julia实验结果。界面会明确提示不可用能力，而不是把“首页能打开”当成全部正常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承认双进程复杂度，再说明怎样把风险限制在局部。</w:t>
      </w:r>
    </w:p>
    <w:p>
      <w:pPr>
        <w:pStyle w:val="Heading1"/>
        <w:keepNext/>
        <w:keepLines/>
        <w:widowControl/>
      </w:pPr>
      <w:r>
        <w:t>四、智能问答、数据与验证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你们的RAG与普通关键词搜索相比有什么具体设计？如何避免同一篇材料重复占据上下文？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混合检索｜来源去重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知识库保留文献名、页码、年份、语言和主题等元数据，基础检索同时使用字符级TF-IDF与BM25，兼顾中文连续文本、符号写法和精确术语；有稠密索引时再融合语义得分。低于本轮最高分55%的候选被舍弃，同一来源默认去重，每轮最多选择6条、上下文约6200字符。主题加分只作轻度偏置，不能把无关片段提升为依据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给出“混合检索、阈值、去重、上下文上限”四个具体点。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语言模型可能算错数值，你们怎样防止错误答案进入实验结论？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确定性工具｜生成边界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只有在频率、相位和振幅参数完整时，系统才调用自研确定性函数计算约分频率比、闭合性、最短周期、轨迹类型与面积，并把工具结果写入回答上下文；模型不得用语言心算覆盖。Julia轨迹、界面读数和CSV也来自确定性模型，生成式问答只负责解释。即使模型服务中断，核心物理结果仍能由公式和导出数据复核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突出“数值由工具产生，模型只解释”。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上传一张李萨如图后，系统能否直接反推出所有参数？多模态功能的价值在哪里？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图像诊断｜不确定性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不能。图像可用于观察近似闭合、对称性和轮廓，但没有坐标刻度、时间方向或通道标定时，不能唯一确定振幅、频率和相位。系统要求先陈述可见事实，再说明推断条件与补测方法；面对模糊或缺刻度图片应拒绝猜数值。多模态的价值是把真实截图转化为“观察—假设—补测—实验复核”的入口，而不是无条件视觉测量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先明确“不能唯一反演”，再说明诊断价值。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为什么专门设计CSV导出？怎样保证文件可找到、不会被覆盖，也不会留下半成品？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持久化导出｜原子写入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CSV把动态图转化为可独立复绘的实验数据。冻结版优先保存到程序同级“实验导出/李萨如图形”，不可写时回退到用户文档或程序数据目录；Streamlit和Julia页面显示同一绝对路径并提供打开文件夹按钮。文件名含模式和毫秒时间戳，使用UTF-8 BOM；写入先完成临时文件，再原子发布正式文件，因此关窗后数据仍保留，中断时不会留下伪完整文件。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回答中同时说明路径、唯一命名、编码和原子发布。</w:t>
      </w:r>
    </w:p>
    <w:p>
      <w:pPr>
        <w:pStyle w:val="Heading1"/>
        <w:keepNext/>
        <w:keepLines/>
        <w:widowControl/>
      </w:pPr>
      <w:r>
        <w:t>五、部署、团队与答辩收束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单文件版为什么有六百多兆？你们所说的“单文件”到底意味着什么？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部署边界｜运行条件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体积主要来自Python前端、知识库、Julia运行时、WGLMakie依赖和WebGL资源。单文件表示目标机无需预装Python和Julia，不等于零条件：仍要求64位Windows 10/11、支持WebGL的新版Edge或Chrome、足够临时空间，建议8 GB以上内存。首次启动还需解包与初始化，可能超过一分钟；当前版本把慢加载与真实错误分开，迟到的就绪消息仍能解除遮罩。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不要为体积辩解，说明组成、收益和客观运行条件即可。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用户关闭网页后如何避免后台常驻？两个助教同时运行又怎样避免端口冲突？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生命周期｜端口隔离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每个页面有独立UUID和递增序号，多标签分别续租；最后页面关闭且连接断开后才进入约20秒重连宽限，随后回收Streamlit、Julia和子进程树，Windows Job Object提供异常退出兜底。李萨如的Streamlit、Julia和心跳分别使用8501/18501—18550、9384/19384—19433和19850—19899，与声速助教的专用端口集合完全不相交。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先说页面租约，再说20秒宽限和三类独立端口池。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三位成员分别做了什么？你们如何证明贡献不是简单平均分配？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成员分工｜可核验贡献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成员A负责物理模型、文献调研和实验设计；成员B负责Julia交互可视化；成员C负责知识库、智能问答和网页界面。贡献认定不只看代码行数，还对照公式推导、资料清洗、测试用例、界面版本、实验记录和文档交付。共同模块按具体问题与交付物拆分说明，避免把整合成果笼统写成三人平均完成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按“角色—交付物—核验证据”回答，不要只报比例。</w:t>
      </w:r>
    </w:p>
    <w:p>
      <w:pPr>
        <w:pStyle w:val="Heading2"/>
        <w:numPr>
          <w:ilvl w:val="0"/>
          <w:numId w:val="10"/>
        </w:numPr>
        <w:keepNext/>
        <w:keepLines/>
        <w:widowControl/>
      </w:pPr>
      <w:r>
        <w:t>请主动说明当前作品最重要的不足，以及下一步优先改什么。</w:t>
      </w:r>
    </w:p>
    <w:p>
      <w:pPr>
        <w:spacing w:after="60"/>
        <w:keepNext/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考察重点：</w:t>
      </w:r>
      <w:r>
        <w:rPr>
          <w:rFonts w:ascii="Times New Roman" w:hAnsi="Times New Roman" w:eastAsia="宋体"/>
          <w:color w:val="666666"/>
          <w:sz w:val="19"/>
        </w:rPr>
        <w:t>局限性｜后续路线</w:t>
      </w:r>
    </w:p>
    <w:p>
      <w:pPr>
        <w:widowControl/>
        <w:spacing w:after="100" w:line="300" w:lineRule="auto"/>
      </w:pPr>
      <w:r>
        <w:rPr>
          <w:rFonts w:ascii="Calibri" w:hAnsi="Calibri" w:eastAsia="微软雅黑"/>
          <w:b/>
          <w:color w:val="222222"/>
          <w:sz w:val="21"/>
        </w:rPr>
        <w:t>参考回答：</w:t>
      </w:r>
      <w:r>
        <w:rPr>
          <w:rFonts w:ascii="Times New Roman" w:hAnsi="Times New Roman" w:eastAsia="宋体"/>
          <w:sz w:val="21"/>
        </w:rPr>
        <w:t>物理模型仍以理想正弦信号为主，尚未系统加入采样噪声、带宽、触发和真实双通道数据；WebGL首次初始化受机器性能影响；受限Python执行也不是操作系统级沙箱；教学成效还缺充分课堂样本。下一步应先加入真实数据导入、采样与噪声实验，建立跨浏览器测试矩阵和课堂评价证据，再考虑非线性振动等扩展。</w:t>
      </w:r>
    </w:p>
    <w:p>
      <w:pPr>
        <w:spacing w:before="20" w:after="160" w:line="276" w:lineRule="auto"/>
        <w:ind w:left="113" w:right="85"/>
        <w:shd w:fill="EAF4F8" w:val="clear"/>
        <w:pBdr>
          <w:left w:val="single" w:sz="18" w:space="8" w:color="0F766E"/>
        </w:pBdr>
        <w:keepLines/>
        <w:widowControl/>
      </w:pPr>
      <w:r>
        <w:rPr>
          <w:rFonts w:ascii="Calibri" w:hAnsi="Calibri" w:eastAsia="微软雅黑"/>
          <w:b/>
          <w:color w:val="0F766E"/>
          <w:sz w:val="19"/>
        </w:rPr>
        <w:t>现场提示：</w:t>
      </w:r>
      <w:r>
        <w:rPr>
          <w:rFonts w:ascii="Times New Roman" w:hAnsi="Times New Roman" w:eastAsia="宋体"/>
          <w:color w:val="444444"/>
          <w:sz w:val="19"/>
        </w:rPr>
        <w:t>主动承认边界，并给出有优先级的改进路线。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652" w:footer="65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微软雅黑"/>
        <w:color w:val="77777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071" w:val="right"/>
        <w:tab w:pos="9360" w:val="clear"/>
      </w:tabs>
      <w:spacing w:after="0"/>
      <w:jc w:val="left"/>
    </w:pPr>
    <w:r>
      <w:rPr>
        <w:rFonts w:ascii="Calibri" w:hAnsi="Calibri" w:eastAsia="微软雅黑"/>
        <w:color w:val="777777"/>
        <w:sz w:val="18"/>
      </w:rPr>
      <w:t>第十二届全国大学生物理实验竞赛（创新）</w:t>
    </w:r>
    <w:r>
      <w:rPr>
        <w:rFonts w:ascii="Calibri" w:hAnsi="Calibri" w:eastAsia="微软雅黑"/>
        <w:color w:val="0F766E"/>
        <w:sz w:val="18"/>
      </w:rPr>
      <w:tab/>
      <w:t>李萨如｜答辩问答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20B01C3"/>
    <w:multiLevelType w:val="singleLevel"/>
    <w:lvl w:ilvl="0">
      <w:start w:val="1"/>
      <w:numFmt w:val="decimalZero"/>
      <w:lvlText w:val="问题 %1｜"/>
      <w:suff w:val="space"/>
      <w:pPr>
        <w:tabs>
          <w:tab w:val="num" w:pos="780"/>
        </w:tabs>
        <w:ind w:left="780" w:hanging="780"/>
      </w:pPr>
      <w:rPr>
        <w:color w:val="0F766E"/>
        <w:b/>
        <w:rFonts w:eastAsia="微软雅黑"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pPr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00" w:lineRule="auto"/>
    </w:pPr>
    <w:rPr>
      <w:rFonts w:ascii="Times New Roman" w:hAnsi="Times New Roman" w:eastAsia="宋体"/>
      <w:b w:val="0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李萨如图形实验智能助教答辩问题与参考答案</dc:title>
  <dc:subject>答辩教师视角的20个问题与参考回答</dc:subject>
  <dc:creator>竞赛项目组</dc:creator>
  <cp:keywords>大学物理实验, 答辩, 虚拟仿真, 智能助教</cp:keywords>
  <dc:description>依据当前设计报告与已验证功能边界整理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