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sults"/>
    <w:p>
      <w:pPr>
        <w:pStyle w:val="Heading1"/>
      </w:pPr>
      <w:r>
        <w:t xml:space="preserve">Results</w:t>
      </w:r>
    </w:p>
    <w:p>
      <w:pPr>
        <w:pStyle w:val="FirstParagraph"/>
      </w:pPr>
      <w:r>
        <w:t xml:space="preserve">All statistical analyses were conducted using R (version 4.5.2). Confirmatory factor analysis (CFA) and structural path analysis were performed using the</w:t>
      </w:r>
      <w:r>
        <w:t xml:space="preserve"> </w:t>
      </w:r>
      <w:r>
        <w:rPr>
          <w:iCs/>
          <w:i/>
        </w:rPr>
        <w:t xml:space="preserve">lavaan</w:t>
      </w:r>
      <w:r>
        <w:t xml:space="preserve"> </w:t>
      </w:r>
      <w:r>
        <w:t xml:space="preserve">package (Rosseel, 2012), with robust maximum likelihood estimation (MLR) and Satorra-Bentler scaled test statistics for the measurement model. Reliability analysis was conducted via the</w:t>
      </w:r>
      <w:r>
        <w:t xml:space="preserve"> </w:t>
      </w:r>
      <w:r>
        <w:rPr>
          <w:iCs/>
          <w:i/>
        </w:rPr>
        <w:t xml:space="preserve">psych</w:t>
      </w:r>
      <w:r>
        <w:t xml:space="preserve"> </w:t>
      </w:r>
      <w:r>
        <w:t xml:space="preserve">package. The analytical strategy proceeded in three stages: (1) evaluation of the measurement model to establish construct validity and reliability prior to hypothesis testing, (2) estimation of a structural path model to simultaneously examine the direct effects of information source and message frame on exercise behavioural intention, as well as the hypothesised indirect effects through attitude, trust, and self-efficacy (H1–H6), and (3) moderated regression analyses to test whether health consciousness moderates the information source effect on exercise intention (H7). Information source was coded as 0 = human and 1 = AI; message frame was coded as 0 = loss-framed and 1 = gain-framed. Sex was included as a control variable in all models.</w:t>
      </w:r>
    </w:p>
    <w:p>
      <w:pPr>
        <w:pStyle w:val="BodyText"/>
      </w:pPr>
      <w:r>
        <w:t xml:space="preserve">Before testing the substantive hypotheses, a confirmatory factor analysis was conducted on the five latent constructs—Attitude (3 items), Trust (5 items), Self-efficacy (3 items), Health Consciousness (6 items), and Behavioural Intention (3 items)—to ensure that the measurement instruments adequately captured their intended constructs, as valid hypothesis testing requires well-measured constructs. The CFA model demonstrated acceptable fit to the data (χ²(160) = 273.39,</w:t>
      </w:r>
      <w:r>
        <w:t xml:space="preserve"> </w:t>
      </w:r>
      <w:r>
        <w:rPr>
          <w:iCs/>
          <w:i/>
        </w:rPr>
        <w:t xml:space="preserve">p</w:t>
      </w:r>
      <w:r>
        <w:t xml:space="preserve"> </w:t>
      </w:r>
      <w:r>
        <w:t xml:space="preserve">&lt; .001; CFI = .91; TLI = .90; RMSEA = .06, 90% CI [.05, .07]; SRMR = .06; see Table 4). All standardised factor loadings were statistically significant and ranged from .43 to .87. Construct reliability was evaluated using Cronbach’s alpha (α) and McDonald’s omega (ω), and convergent validity was assessed via average variance extracted (AVE). As shown in Table 3, all constructs demonstrated adequate reliability (α ranging from .64 to .82; ω ranging from .65 to .82). Self-efficacy exhibited strong convergent validity (AVE = .60), Intention showed adequate convergent validity (AVE = .49), and Trust was acceptable (AVE = .46), while Attitude (AVE = .39) and Health Consciousness (AVE = .35) showed lower but acceptable values given the number of items and the breadth of the constructs measured.</w:t>
      </w:r>
    </w:p>
    <w:p>
      <w:pPr>
        <w:pStyle w:val="BodyText"/>
      </w:pPr>
      <w:r>
        <w:rPr>
          <w:bCs/>
          <w:b/>
        </w:rPr>
        <w:t xml:space="preserve">Table 3</w:t>
      </w:r>
      <w:r>
        <w:t xml:space="preserve"> </w:t>
      </w:r>
      <w:r>
        <w:rPr>
          <w:iCs/>
          <w:i/>
        </w:rPr>
        <w:t xml:space="preserve">Reliability and Validity Indices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Construct</w:t>
            </w:r>
          </w:p>
        </w:tc>
        <w:tc>
          <w:tcPr/>
          <w:p>
            <w:pPr>
              <w:pStyle w:val="Compact"/>
              <w:jc w:val="center"/>
            </w:pPr>
            <w:r>
              <w:t xml:space="preserve">α</w:t>
            </w:r>
          </w:p>
        </w:tc>
        <w:tc>
          <w:tcPr/>
          <w:p>
            <w:pPr>
              <w:pStyle w:val="Compact"/>
              <w:jc w:val="center"/>
            </w:pPr>
            <w:r>
              <w:t xml:space="preserve">ω</w:t>
            </w:r>
          </w:p>
        </w:tc>
        <w:tc>
          <w:tcPr/>
          <w:p>
            <w:pPr>
              <w:pStyle w:val="Compact"/>
              <w:jc w:val="center"/>
            </w:pPr>
            <w:r>
              <w:t xml:space="preserve">AVE</w:t>
            </w:r>
          </w:p>
        </w:tc>
      </w:tr>
      <w:tr>
        <w:tc>
          <w:tcPr/>
          <w:p>
            <w:pPr>
              <w:pStyle w:val="Compact"/>
              <w:jc w:val="left"/>
            </w:pPr>
            <w:r>
              <w:t xml:space="preserve">Attitude</w:t>
            </w:r>
          </w:p>
        </w:tc>
        <w:tc>
          <w:tcPr/>
          <w:p>
            <w:pPr>
              <w:pStyle w:val="Compact"/>
              <w:jc w:val="center"/>
            </w:pPr>
            <w:r>
              <w:t xml:space="preserve">.6449</w:t>
            </w:r>
          </w:p>
        </w:tc>
        <w:tc>
          <w:tcPr/>
          <w:p>
            <w:pPr>
              <w:pStyle w:val="Compact"/>
              <w:jc w:val="center"/>
            </w:pPr>
            <w:r>
              <w:t xml:space="preserve">.6528</w:t>
            </w:r>
          </w:p>
        </w:tc>
        <w:tc>
          <w:tcPr/>
          <w:p>
            <w:pPr>
              <w:pStyle w:val="Compact"/>
              <w:jc w:val="center"/>
            </w:pPr>
            <w:r>
              <w:t xml:space="preserve">.3892</w:t>
            </w:r>
          </w:p>
        </w:tc>
      </w:tr>
      <w:tr>
        <w:tc>
          <w:tcPr/>
          <w:p>
            <w:pPr>
              <w:pStyle w:val="Compact"/>
              <w:jc w:val="left"/>
            </w:pPr>
            <w:r>
              <w:t xml:space="preserve">Intention</w:t>
            </w:r>
          </w:p>
        </w:tc>
        <w:tc>
          <w:tcPr/>
          <w:p>
            <w:pPr>
              <w:pStyle w:val="Compact"/>
              <w:jc w:val="center"/>
            </w:pPr>
            <w:r>
              <w:t xml:space="preserve">.7393</w:t>
            </w:r>
          </w:p>
        </w:tc>
        <w:tc>
          <w:tcPr/>
          <w:p>
            <w:pPr>
              <w:pStyle w:val="Compact"/>
              <w:jc w:val="center"/>
            </w:pPr>
            <w:r>
              <w:t xml:space="preserve">.7450</w:t>
            </w:r>
          </w:p>
        </w:tc>
        <w:tc>
          <w:tcPr/>
          <w:p>
            <w:pPr>
              <w:pStyle w:val="Compact"/>
              <w:jc w:val="center"/>
            </w:pPr>
            <w:r>
              <w:t xml:space="preserve">.4945</w:t>
            </w:r>
          </w:p>
        </w:tc>
      </w:tr>
      <w:tr>
        <w:tc>
          <w:tcPr/>
          <w:p>
            <w:pPr>
              <w:pStyle w:val="Compact"/>
              <w:jc w:val="left"/>
            </w:pPr>
            <w:r>
              <w:t xml:space="preserve">Self-efficacy</w:t>
            </w:r>
          </w:p>
        </w:tc>
        <w:tc>
          <w:tcPr/>
          <w:p>
            <w:pPr>
              <w:pStyle w:val="Compact"/>
              <w:jc w:val="center"/>
            </w:pPr>
            <w:r>
              <w:t xml:space="preserve">.8166</w:t>
            </w:r>
          </w:p>
        </w:tc>
        <w:tc>
          <w:tcPr/>
          <w:p>
            <w:pPr>
              <w:pStyle w:val="Compact"/>
              <w:jc w:val="center"/>
            </w:pPr>
            <w:r>
              <w:t xml:space="preserve">.8202</w:t>
            </w:r>
          </w:p>
        </w:tc>
        <w:tc>
          <w:tcPr/>
          <w:p>
            <w:pPr>
              <w:pStyle w:val="Compact"/>
              <w:jc w:val="center"/>
            </w:pPr>
            <w:r>
              <w:t xml:space="preserve">.6049</w:t>
            </w:r>
          </w:p>
        </w:tc>
      </w:tr>
      <w:tr>
        <w:tc>
          <w:tcPr/>
          <w:p>
            <w:pPr>
              <w:pStyle w:val="Compact"/>
              <w:jc w:val="left"/>
            </w:pPr>
            <w:r>
              <w:t xml:space="preserve">Trust</w:t>
            </w:r>
          </w:p>
        </w:tc>
        <w:tc>
          <w:tcPr/>
          <w:p>
            <w:pPr>
              <w:pStyle w:val="Compact"/>
              <w:jc w:val="center"/>
            </w:pPr>
            <w:r>
              <w:t xml:space="preserve">.8068</w:t>
            </w:r>
          </w:p>
        </w:tc>
        <w:tc>
          <w:tcPr/>
          <w:p>
            <w:pPr>
              <w:pStyle w:val="Compact"/>
              <w:jc w:val="center"/>
            </w:pPr>
            <w:r>
              <w:t xml:space="preserve">.8085</w:t>
            </w:r>
          </w:p>
        </w:tc>
        <w:tc>
          <w:tcPr/>
          <w:p>
            <w:pPr>
              <w:pStyle w:val="Compact"/>
              <w:jc w:val="center"/>
            </w:pPr>
            <w:r>
              <w:t xml:space="preserve">.4592</w:t>
            </w:r>
          </w:p>
        </w:tc>
      </w:tr>
      <w:tr>
        <w:tc>
          <w:tcPr/>
          <w:p>
            <w:pPr>
              <w:pStyle w:val="Compact"/>
              <w:jc w:val="left"/>
            </w:pPr>
            <w:r>
              <w:t xml:space="preserve">Health Consciousness</w:t>
            </w:r>
          </w:p>
        </w:tc>
        <w:tc>
          <w:tcPr/>
          <w:p>
            <w:pPr>
              <w:pStyle w:val="Compact"/>
              <w:jc w:val="center"/>
            </w:pPr>
            <w:r>
              <w:t xml:space="preserve">.7434</w:t>
            </w:r>
          </w:p>
        </w:tc>
        <w:tc>
          <w:tcPr/>
          <w:p>
            <w:pPr>
              <w:pStyle w:val="Compact"/>
              <w:jc w:val="center"/>
            </w:pPr>
            <w:r>
              <w:t xml:space="preserve">.7529</w:t>
            </w:r>
          </w:p>
        </w:tc>
        <w:tc>
          <w:tcPr/>
          <w:p>
            <w:pPr>
              <w:pStyle w:val="Compact"/>
              <w:jc w:val="center"/>
            </w:pPr>
            <w:r>
              <w:t xml:space="preserve">.3468</w:t>
            </w:r>
          </w:p>
        </w:tc>
      </w:tr>
    </w:tbl>
    <w:p>
      <w:pPr>
        <w:pStyle w:val="BodyText"/>
      </w:pPr>
      <w:r>
        <w:rPr>
          <w:bCs/>
          <w:b/>
        </w:rPr>
        <w:t xml:space="preserve">Table 4</w:t>
      </w:r>
      <w:r>
        <w:t xml:space="preserve"> </w:t>
      </w:r>
      <w:r>
        <w:rPr>
          <w:iCs/>
          <w:i/>
        </w:rPr>
        <w:t xml:space="preserve">Confirmatory Factor Analysis Fit Indices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Index</w:t>
            </w:r>
          </w:p>
        </w:tc>
        <w:tc>
          <w:tcPr/>
          <w:p>
            <w:pPr>
              <w:pStyle w:val="Compact"/>
              <w:jc w:val="right"/>
            </w:pPr>
            <w:r>
              <w:t xml:space="preserve">Value</w:t>
            </w:r>
          </w:p>
        </w:tc>
      </w:tr>
      <w:tr>
        <w:tc>
          <w:tcPr/>
          <w:p>
            <w:pPr>
              <w:pStyle w:val="Compact"/>
              <w:jc w:val="left"/>
            </w:pPr>
            <w:r>
              <w:t xml:space="preserve">χ² (scaled)</w:t>
            </w:r>
          </w:p>
        </w:tc>
        <w:tc>
          <w:tcPr/>
          <w:p>
            <w:pPr>
              <w:pStyle w:val="Compact"/>
              <w:jc w:val="right"/>
            </w:pPr>
            <w:r>
              <w:t xml:space="preserve">273.39</w:t>
            </w:r>
          </w:p>
        </w:tc>
      </w:tr>
      <w:tr>
        <w:tc>
          <w:tcPr/>
          <w:p>
            <w:pPr>
              <w:pStyle w:val="Compact"/>
              <w:jc w:val="left"/>
            </w:pPr>
            <w:r>
              <w:rPr>
                <w:iCs/>
                <w:i/>
              </w:rPr>
              <w:t xml:space="preserve">df</w:t>
            </w:r>
          </w:p>
        </w:tc>
        <w:tc>
          <w:tcPr/>
          <w:p>
            <w:pPr>
              <w:pStyle w:val="Compact"/>
              <w:jc w:val="right"/>
            </w:pPr>
            <w:r>
              <w:t xml:space="preserve">160</w:t>
            </w:r>
          </w:p>
        </w:tc>
      </w:tr>
      <w:tr>
        <w:tc>
          <w:tcPr/>
          <w:p>
            <w:pPr>
              <w:pStyle w:val="Compact"/>
              <w:jc w:val="left"/>
            </w:pPr>
            <w:r>
              <w:rPr>
                <w:iCs/>
                <w:i/>
              </w:rPr>
              <w:t xml:space="preserve">p</w:t>
            </w:r>
          </w:p>
        </w:tc>
        <w:tc>
          <w:tcPr/>
          <w:p>
            <w:pPr>
              <w:pStyle w:val="Compact"/>
              <w:jc w:val="right"/>
            </w:pPr>
            <w:r>
              <w:t xml:space="preserve">&lt; .001</w:t>
            </w:r>
          </w:p>
        </w:tc>
      </w:tr>
      <w:tr>
        <w:tc>
          <w:tcPr/>
          <w:p>
            <w:pPr>
              <w:pStyle w:val="Compact"/>
              <w:jc w:val="left"/>
            </w:pPr>
            <w:r>
              <w:t xml:space="preserve">CFI (scaled)</w:t>
            </w:r>
          </w:p>
        </w:tc>
        <w:tc>
          <w:tcPr/>
          <w:p>
            <w:pPr>
              <w:pStyle w:val="Compact"/>
              <w:jc w:val="right"/>
            </w:pPr>
            <w:r>
              <w:t xml:space="preserve">.914</w:t>
            </w:r>
          </w:p>
        </w:tc>
      </w:tr>
      <w:tr>
        <w:tc>
          <w:tcPr/>
          <w:p>
            <w:pPr>
              <w:pStyle w:val="Compact"/>
              <w:jc w:val="left"/>
            </w:pPr>
            <w:r>
              <w:t xml:space="preserve">TLI (scaled)</w:t>
            </w:r>
          </w:p>
        </w:tc>
        <w:tc>
          <w:tcPr/>
          <w:p>
            <w:pPr>
              <w:pStyle w:val="Compact"/>
              <w:jc w:val="right"/>
            </w:pPr>
            <w:r>
              <w:t xml:space="preserve">.897</w:t>
            </w:r>
          </w:p>
        </w:tc>
      </w:tr>
      <w:tr>
        <w:tc>
          <w:tcPr/>
          <w:p>
            <w:pPr>
              <w:pStyle w:val="Compact"/>
              <w:jc w:val="left"/>
            </w:pPr>
            <w:r>
              <w:t xml:space="preserve">RMSEA (scaled)</w:t>
            </w:r>
          </w:p>
        </w:tc>
        <w:tc>
          <w:tcPr/>
          <w:p>
            <w:pPr>
              <w:pStyle w:val="Compact"/>
              <w:jc w:val="right"/>
            </w:pPr>
            <w:r>
              <w:t xml:space="preserve">.060</w:t>
            </w:r>
          </w:p>
        </w:tc>
      </w:tr>
      <w:tr>
        <w:tc>
          <w:tcPr/>
          <w:p>
            <w:pPr>
              <w:pStyle w:val="Compact"/>
              <w:jc w:val="left"/>
            </w:pPr>
            <w:r>
              <w:t xml:space="preserve">RMSEA 90% CI</w:t>
            </w:r>
          </w:p>
        </w:tc>
        <w:tc>
          <w:tcPr/>
          <w:p>
            <w:pPr>
              <w:pStyle w:val="Compact"/>
              <w:jc w:val="right"/>
            </w:pPr>
            <w:r>
              <w:t xml:space="preserve">[.048, .071]</w:t>
            </w:r>
          </w:p>
        </w:tc>
      </w:tr>
      <w:tr>
        <w:tc>
          <w:tcPr/>
          <w:p>
            <w:pPr>
              <w:pStyle w:val="Compact"/>
              <w:jc w:val="left"/>
            </w:pPr>
            <w:r>
              <w:t xml:space="preserve">SRMR</w:t>
            </w:r>
          </w:p>
        </w:tc>
        <w:tc>
          <w:tcPr/>
          <w:p>
            <w:pPr>
              <w:pStyle w:val="Compact"/>
              <w:jc w:val="right"/>
            </w:pPr>
            <w:r>
              <w:t xml:space="preserve">.060</w:t>
            </w:r>
          </w:p>
        </w:tc>
      </w:tr>
    </w:tbl>
    <w:p>
      <w:pPr>
        <w:pStyle w:val="BodyText"/>
      </w:pPr>
      <w:r>
        <w:t xml:space="preserve">Table 1 presents descriptive statistics for all study variables across 199 participants. All constructs were measured on 7-point Likert scales and demonstrated reasonable variability. Normality was adequate, with skewness values ranging from -1.16 to -0.54 and kurtosis values from -0.05 to 3.00. Bivariate Pearson correlations are presented in Table 2. Notably, Attitude and Behavioural Intention were strongly positively correlated (</w:t>
      </w:r>
      <w:r>
        <w:rPr>
          <w:iCs/>
          <w:i/>
        </w:rPr>
        <w:t xml:space="preserve">r</w:t>
      </w:r>
      <w:r>
        <w:t xml:space="preserve"> </w:t>
      </w:r>
      <w:r>
        <w:t xml:space="preserve">= .76,</w:t>
      </w:r>
      <w:r>
        <w:t xml:space="preserve"> </w:t>
      </w:r>
      <w:r>
        <w:rPr>
          <w:iCs/>
          <w:i/>
        </w:rPr>
        <w:t xml:space="preserve">p</w:t>
      </w:r>
      <w:r>
        <w:t xml:space="preserve"> </w:t>
      </w:r>
      <w:r>
        <w:t xml:space="preserve">&lt; .001), and Health Consciousness demonstrated moderate positive correlations with Attitude (</w:t>
      </w:r>
      <w:r>
        <w:rPr>
          <w:iCs/>
          <w:i/>
        </w:rPr>
        <w:t xml:space="preserve">r</w:t>
      </w:r>
      <w:r>
        <w:t xml:space="preserve"> </w:t>
      </w:r>
      <w:r>
        <w:t xml:space="preserve">= .53,</w:t>
      </w:r>
      <w:r>
        <w:t xml:space="preserve"> </w:t>
      </w:r>
      <w:r>
        <w:rPr>
          <w:iCs/>
          <w:i/>
        </w:rPr>
        <w:t xml:space="preserve">p</w:t>
      </w:r>
      <w:r>
        <w:t xml:space="preserve"> </w:t>
      </w:r>
      <w:r>
        <w:t xml:space="preserve">&lt; .001), Intention (</w:t>
      </w:r>
      <w:r>
        <w:rPr>
          <w:iCs/>
          <w:i/>
        </w:rPr>
        <w:t xml:space="preserve">r</w:t>
      </w:r>
      <w:r>
        <w:t xml:space="preserve"> </w:t>
      </w:r>
      <w:r>
        <w:t xml:space="preserve">= .56,</w:t>
      </w:r>
      <w:r>
        <w:t xml:space="preserve"> </w:t>
      </w:r>
      <w:r>
        <w:rPr>
          <w:iCs/>
          <w:i/>
        </w:rPr>
        <w:t xml:space="preserve">p</w:t>
      </w:r>
      <w:r>
        <w:t xml:space="preserve"> </w:t>
      </w:r>
      <w:r>
        <w:t xml:space="preserve">&lt; .001), and Self-efficacy (</w:t>
      </w:r>
      <w:r>
        <w:rPr>
          <w:iCs/>
          <w:i/>
        </w:rPr>
        <w:t xml:space="preserve">r</w:t>
      </w:r>
      <w:r>
        <w:t xml:space="preserve"> </w:t>
      </w:r>
      <w:r>
        <w:t xml:space="preserve">= .53,</w:t>
      </w:r>
      <w:r>
        <w:t xml:space="preserve"> </w:t>
      </w:r>
      <w:r>
        <w:rPr>
          <w:iCs/>
          <w:i/>
        </w:rPr>
        <w:t xml:space="preserve">p</w:t>
      </w:r>
      <w:r>
        <w:t xml:space="preserve"> </w:t>
      </w:r>
      <w:r>
        <w:t xml:space="preserve">&lt; .001). Information Source showed significant negative correlations with Trust (</w:t>
      </w:r>
      <w:r>
        <w:rPr>
          <w:iCs/>
          <w:i/>
        </w:rPr>
        <w:t xml:space="preserve">r</w:t>
      </w:r>
      <w:r>
        <w:t xml:space="preserve"> </w:t>
      </w:r>
      <w:r>
        <w:t xml:space="preserve">= -.36,</w:t>
      </w:r>
      <w:r>
        <w:t xml:space="preserve"> </w:t>
      </w:r>
      <w:r>
        <w:rPr>
          <w:iCs/>
          <w:i/>
        </w:rPr>
        <w:t xml:space="preserve">p</w:t>
      </w:r>
      <w:r>
        <w:t xml:space="preserve"> </w:t>
      </w:r>
      <w:r>
        <w:t xml:space="preserve">&lt; .001) and Self-efficacy (</w:t>
      </w:r>
      <w:r>
        <w:rPr>
          <w:iCs/>
          <w:i/>
        </w:rPr>
        <w:t xml:space="preserve">r</w:t>
      </w:r>
      <w:r>
        <w:t xml:space="preserve"> </w:t>
      </w:r>
      <w:r>
        <w:t xml:space="preserve">= -.17,</w:t>
      </w:r>
      <w:r>
        <w:t xml:space="preserve"> </w:t>
      </w:r>
      <w:r>
        <w:rPr>
          <w:iCs/>
          <w:i/>
        </w:rPr>
        <w:t xml:space="preserve">p</w:t>
      </w:r>
      <w:r>
        <w:t xml:space="preserve"> </w:t>
      </w:r>
      <w:r>
        <w:t xml:space="preserve">&lt; .05), indicating that participants exposed to the AI source reported lower trust and self-efficacy compared to those receiving human-sourced information. Message Frame demonstrated weak, non-significant correlations with all study variables. Multicollinearity diagnostics confirmed that all variance inflation factors were below 2 (range: 1.01–1.81), indicating no problematic multicollinearity among predictors.</w:t>
      </w:r>
    </w:p>
    <w:p>
      <w:pPr>
        <w:pStyle w:val="BodyText"/>
      </w:pPr>
      <w:r>
        <w:rPr>
          <w:bCs/>
          <w:b/>
        </w:rPr>
        <w:t xml:space="preserve">Table 1</w:t>
      </w:r>
      <w:r>
        <w:t xml:space="preserve"> </w:t>
      </w:r>
      <w:r>
        <w:rPr>
          <w:iCs/>
          <w:i/>
        </w:rPr>
        <w:t xml:space="preserve">Descriptive Statistics (N = 199)</w:t>
      </w:r>
    </w:p>
    <w:tbl>
      <w:tblPr>
        <w:tblStyle w:val="Table"/>
        <w:tblW w:type="pct" w:w="5000"/>
        <w:tblLook w:firstRow="1" w:lastRow="0" w:firstColumn="0" w:lastColumn="0" w:noHBand="0" w:noVBand="0" w:val="0020"/>
        <w:jc w:val="start"/>
      </w:tblPr>
      <w:tblGrid>
        <w:gridCol w:w="1218"/>
        <w:gridCol w:w="852"/>
        <w:gridCol w:w="852"/>
        <w:gridCol w:w="852"/>
        <w:gridCol w:w="852"/>
        <w:gridCol w:w="1218"/>
        <w:gridCol w:w="1218"/>
        <w:gridCol w:w="852"/>
      </w:tblGrid>
      <w:tr>
        <w:trPr>
          <w:tblHeader w:val="true"/>
        </w:trPr>
        <w:tc>
          <w:tcPr/>
          <w:p>
            <w:pPr>
              <w:pStyle w:val="Compact"/>
              <w:jc w:val="left"/>
            </w:pPr>
            <w:r>
              <w:t xml:space="preserve">Variable</w:t>
            </w:r>
          </w:p>
        </w:tc>
        <w:tc>
          <w:tcPr/>
          <w:p>
            <w:pPr>
              <w:pStyle w:val="Compact"/>
              <w:jc w:val="center"/>
            </w:pPr>
            <w:r>
              <w:rPr>
                <w:iCs/>
                <w:i/>
              </w:rPr>
              <w:t xml:space="preserve">M</w:t>
            </w:r>
          </w:p>
        </w:tc>
        <w:tc>
          <w:tcPr/>
          <w:p>
            <w:pPr>
              <w:pStyle w:val="Compact"/>
              <w:jc w:val="center"/>
            </w:pPr>
            <w:r>
              <w:rPr>
                <w:iCs/>
                <w:i/>
              </w:rPr>
              <w:t xml:space="preserve">SD</w:t>
            </w:r>
          </w:p>
        </w:tc>
        <w:tc>
          <w:tcPr/>
          <w:p>
            <w:pPr>
              <w:pStyle w:val="Compact"/>
              <w:jc w:val="center"/>
            </w:pPr>
            <w:r>
              <w:t xml:space="preserve">Min</w:t>
            </w:r>
          </w:p>
        </w:tc>
        <w:tc>
          <w:tcPr/>
          <w:p>
            <w:pPr>
              <w:pStyle w:val="Compact"/>
              <w:jc w:val="center"/>
            </w:pPr>
            <w:r>
              <w:t xml:space="preserve">Max</w:t>
            </w:r>
          </w:p>
        </w:tc>
        <w:tc>
          <w:tcPr/>
          <w:p>
            <w:pPr>
              <w:pStyle w:val="Compact"/>
              <w:jc w:val="center"/>
            </w:pPr>
            <w:r>
              <w:t xml:space="preserve">Skewness</w:t>
            </w:r>
          </w:p>
        </w:tc>
        <w:tc>
          <w:tcPr/>
          <w:p>
            <w:pPr>
              <w:pStyle w:val="Compact"/>
              <w:jc w:val="center"/>
            </w:pPr>
            <w:r>
              <w:t xml:space="preserve">Kurtosis</w:t>
            </w:r>
          </w:p>
        </w:tc>
        <w:tc>
          <w:tcPr/>
          <w:p>
            <w:pPr>
              <w:pStyle w:val="Compact"/>
              <w:jc w:val="center"/>
            </w:pPr>
            <w:r>
              <w:t xml:space="preserve">α</w:t>
            </w:r>
          </w:p>
        </w:tc>
      </w:tr>
      <w:tr>
        <w:tc>
          <w:tcPr/>
          <w:p>
            <w:pPr>
              <w:pStyle w:val="Compact"/>
              <w:jc w:val="left"/>
            </w:pPr>
            <w:r>
              <w:t xml:space="preserve">Attitude</w:t>
            </w:r>
          </w:p>
        </w:tc>
        <w:tc>
          <w:tcPr/>
          <w:p>
            <w:pPr>
              <w:pStyle w:val="Compact"/>
              <w:jc w:val="center"/>
            </w:pPr>
            <w:r>
              <w:t xml:space="preserve">6.11</w:t>
            </w:r>
          </w:p>
        </w:tc>
        <w:tc>
          <w:tcPr/>
          <w:p>
            <w:pPr>
              <w:pStyle w:val="Compact"/>
              <w:jc w:val="center"/>
            </w:pPr>
            <w:r>
              <w:t xml:space="preserve">0.61</w:t>
            </w:r>
          </w:p>
        </w:tc>
        <w:tc>
          <w:tcPr/>
          <w:p>
            <w:pPr>
              <w:pStyle w:val="Compact"/>
              <w:jc w:val="center"/>
            </w:pPr>
            <w:r>
              <w:t xml:space="preserve">3.33</w:t>
            </w:r>
          </w:p>
        </w:tc>
        <w:tc>
          <w:tcPr/>
          <w:p>
            <w:pPr>
              <w:pStyle w:val="Compact"/>
              <w:jc w:val="center"/>
            </w:pPr>
            <w:r>
              <w:t xml:space="preserve">7.00</w:t>
            </w:r>
          </w:p>
        </w:tc>
        <w:tc>
          <w:tcPr/>
          <w:p>
            <w:pPr>
              <w:pStyle w:val="Compact"/>
              <w:jc w:val="center"/>
            </w:pPr>
            <w:r>
              <w:t xml:space="preserve">-1.03</w:t>
            </w:r>
          </w:p>
        </w:tc>
        <w:tc>
          <w:tcPr/>
          <w:p>
            <w:pPr>
              <w:pStyle w:val="Compact"/>
              <w:jc w:val="center"/>
            </w:pPr>
            <w:r>
              <w:t xml:space="preserve">1.85</w:t>
            </w:r>
          </w:p>
        </w:tc>
        <w:tc>
          <w:tcPr/>
          <w:p>
            <w:pPr>
              <w:pStyle w:val="Compact"/>
              <w:jc w:val="center"/>
            </w:pPr>
            <w:r>
              <w:t xml:space="preserve">.6449</w:t>
            </w:r>
          </w:p>
        </w:tc>
      </w:tr>
      <w:tr>
        <w:tc>
          <w:tcPr/>
          <w:p>
            <w:pPr>
              <w:pStyle w:val="Compact"/>
              <w:jc w:val="left"/>
            </w:pPr>
            <w:r>
              <w:t xml:space="preserve">Trust</w:t>
            </w:r>
          </w:p>
        </w:tc>
        <w:tc>
          <w:tcPr/>
          <w:p>
            <w:pPr>
              <w:pStyle w:val="Compact"/>
              <w:jc w:val="center"/>
            </w:pPr>
            <w:r>
              <w:t xml:space="preserve">5.61</w:t>
            </w:r>
          </w:p>
        </w:tc>
        <w:tc>
          <w:tcPr/>
          <w:p>
            <w:pPr>
              <w:pStyle w:val="Compact"/>
              <w:jc w:val="center"/>
            </w:pPr>
            <w:r>
              <w:t xml:space="preserve">0.69</w:t>
            </w:r>
          </w:p>
        </w:tc>
        <w:tc>
          <w:tcPr/>
          <w:p>
            <w:pPr>
              <w:pStyle w:val="Compact"/>
              <w:jc w:val="center"/>
            </w:pPr>
            <w:r>
              <w:t xml:space="preserve">2.40</w:t>
            </w:r>
          </w:p>
        </w:tc>
        <w:tc>
          <w:tcPr/>
          <w:p>
            <w:pPr>
              <w:pStyle w:val="Compact"/>
              <w:jc w:val="center"/>
            </w:pPr>
            <w:r>
              <w:t xml:space="preserve">7.00</w:t>
            </w:r>
          </w:p>
        </w:tc>
        <w:tc>
          <w:tcPr/>
          <w:p>
            <w:pPr>
              <w:pStyle w:val="Compact"/>
              <w:jc w:val="center"/>
            </w:pPr>
            <w:r>
              <w:t xml:space="preserve">-0.79</w:t>
            </w:r>
          </w:p>
        </w:tc>
        <w:tc>
          <w:tcPr/>
          <w:p>
            <w:pPr>
              <w:pStyle w:val="Compact"/>
              <w:jc w:val="center"/>
            </w:pPr>
            <w:r>
              <w:t xml:space="preserve">1.68</w:t>
            </w:r>
          </w:p>
        </w:tc>
        <w:tc>
          <w:tcPr/>
          <w:p>
            <w:pPr>
              <w:pStyle w:val="Compact"/>
              <w:jc w:val="center"/>
            </w:pPr>
            <w:r>
              <w:t xml:space="preserve">.8068</w:t>
            </w:r>
          </w:p>
        </w:tc>
      </w:tr>
      <w:tr>
        <w:tc>
          <w:tcPr/>
          <w:p>
            <w:pPr>
              <w:pStyle w:val="Compact"/>
              <w:jc w:val="left"/>
            </w:pPr>
            <w:r>
              <w:t xml:space="preserve">Self-efficacy</w:t>
            </w:r>
          </w:p>
        </w:tc>
        <w:tc>
          <w:tcPr/>
          <w:p>
            <w:pPr>
              <w:pStyle w:val="Compact"/>
              <w:jc w:val="center"/>
            </w:pPr>
            <w:r>
              <w:t xml:space="preserve">5.53</w:t>
            </w:r>
          </w:p>
        </w:tc>
        <w:tc>
          <w:tcPr/>
          <w:p>
            <w:pPr>
              <w:pStyle w:val="Compact"/>
              <w:jc w:val="center"/>
            </w:pPr>
            <w:r>
              <w:t xml:space="preserve">0.92</w:t>
            </w:r>
          </w:p>
        </w:tc>
        <w:tc>
          <w:tcPr/>
          <w:p>
            <w:pPr>
              <w:pStyle w:val="Compact"/>
              <w:jc w:val="center"/>
            </w:pPr>
            <w:r>
              <w:t xml:space="preserve">1.67</w:t>
            </w:r>
          </w:p>
        </w:tc>
        <w:tc>
          <w:tcPr/>
          <w:p>
            <w:pPr>
              <w:pStyle w:val="Compact"/>
              <w:jc w:val="center"/>
            </w:pPr>
            <w:r>
              <w:t xml:space="preserve">7.00</w:t>
            </w:r>
          </w:p>
        </w:tc>
        <w:tc>
          <w:tcPr/>
          <w:p>
            <w:pPr>
              <w:pStyle w:val="Compact"/>
              <w:jc w:val="center"/>
            </w:pPr>
            <w:r>
              <w:t xml:space="preserve">-1.16</w:t>
            </w:r>
          </w:p>
        </w:tc>
        <w:tc>
          <w:tcPr/>
          <w:p>
            <w:pPr>
              <w:pStyle w:val="Compact"/>
              <w:jc w:val="center"/>
            </w:pPr>
            <w:r>
              <w:t xml:space="preserve">2.20</w:t>
            </w:r>
          </w:p>
        </w:tc>
        <w:tc>
          <w:tcPr/>
          <w:p>
            <w:pPr>
              <w:pStyle w:val="Compact"/>
              <w:jc w:val="center"/>
            </w:pPr>
            <w:r>
              <w:t xml:space="preserve">.8166</w:t>
            </w:r>
          </w:p>
        </w:tc>
      </w:tr>
      <w:tr>
        <w:tc>
          <w:tcPr/>
          <w:p>
            <w:pPr>
              <w:pStyle w:val="Compact"/>
              <w:jc w:val="left"/>
            </w:pPr>
            <w:r>
              <w:t xml:space="preserve">Health Consciousness</w:t>
            </w:r>
          </w:p>
        </w:tc>
        <w:tc>
          <w:tcPr/>
          <w:p>
            <w:pPr>
              <w:pStyle w:val="Compact"/>
              <w:jc w:val="center"/>
            </w:pPr>
            <w:r>
              <w:t xml:space="preserve">5.77</w:t>
            </w:r>
          </w:p>
        </w:tc>
        <w:tc>
          <w:tcPr/>
          <w:p>
            <w:pPr>
              <w:pStyle w:val="Compact"/>
              <w:jc w:val="center"/>
            </w:pPr>
            <w:r>
              <w:t xml:space="preserve">0.58</w:t>
            </w:r>
          </w:p>
        </w:tc>
        <w:tc>
          <w:tcPr/>
          <w:p>
            <w:pPr>
              <w:pStyle w:val="Compact"/>
              <w:jc w:val="center"/>
            </w:pPr>
            <w:r>
              <w:t xml:space="preserve">4.00</w:t>
            </w:r>
          </w:p>
        </w:tc>
        <w:tc>
          <w:tcPr/>
          <w:p>
            <w:pPr>
              <w:pStyle w:val="Compact"/>
              <w:jc w:val="center"/>
            </w:pPr>
            <w:r>
              <w:t xml:space="preserve">7.00</w:t>
            </w:r>
          </w:p>
        </w:tc>
        <w:tc>
          <w:tcPr/>
          <w:p>
            <w:pPr>
              <w:pStyle w:val="Compact"/>
              <w:jc w:val="center"/>
            </w:pPr>
            <w:r>
              <w:t xml:space="preserve">-0.54</w:t>
            </w:r>
          </w:p>
        </w:tc>
        <w:tc>
          <w:tcPr/>
          <w:p>
            <w:pPr>
              <w:pStyle w:val="Compact"/>
              <w:jc w:val="center"/>
            </w:pPr>
            <w:r>
              <w:t xml:space="preserve">-0.05</w:t>
            </w:r>
          </w:p>
        </w:tc>
        <w:tc>
          <w:tcPr/>
          <w:p>
            <w:pPr>
              <w:pStyle w:val="Compact"/>
              <w:jc w:val="center"/>
            </w:pPr>
            <w:r>
              <w:t xml:space="preserve">.7434</w:t>
            </w:r>
          </w:p>
        </w:tc>
      </w:tr>
      <w:tr>
        <w:tc>
          <w:tcPr/>
          <w:p>
            <w:pPr>
              <w:pStyle w:val="Compact"/>
              <w:jc w:val="left"/>
            </w:pPr>
            <w:r>
              <w:t xml:space="preserve">Intention</w:t>
            </w:r>
          </w:p>
        </w:tc>
        <w:tc>
          <w:tcPr/>
          <w:p>
            <w:pPr>
              <w:pStyle w:val="Compact"/>
              <w:jc w:val="center"/>
            </w:pPr>
            <w:r>
              <w:t xml:space="preserve">5.83</w:t>
            </w:r>
          </w:p>
        </w:tc>
        <w:tc>
          <w:tcPr/>
          <w:p>
            <w:pPr>
              <w:pStyle w:val="Compact"/>
              <w:jc w:val="center"/>
            </w:pPr>
            <w:r>
              <w:t xml:space="preserve">0.68</w:t>
            </w:r>
          </w:p>
        </w:tc>
        <w:tc>
          <w:tcPr/>
          <w:p>
            <w:pPr>
              <w:pStyle w:val="Compact"/>
              <w:jc w:val="center"/>
            </w:pPr>
            <w:r>
              <w:t xml:space="preserve">2.67</w:t>
            </w:r>
          </w:p>
        </w:tc>
        <w:tc>
          <w:tcPr/>
          <w:p>
            <w:pPr>
              <w:pStyle w:val="Compact"/>
              <w:jc w:val="center"/>
            </w:pPr>
            <w:r>
              <w:t xml:space="preserve">7.00</w:t>
            </w:r>
          </w:p>
        </w:tc>
        <w:tc>
          <w:tcPr/>
          <w:p>
            <w:pPr>
              <w:pStyle w:val="Compact"/>
              <w:jc w:val="center"/>
            </w:pPr>
            <w:r>
              <w:t xml:space="preserve">-1.07</w:t>
            </w:r>
          </w:p>
        </w:tc>
        <w:tc>
          <w:tcPr/>
          <w:p>
            <w:pPr>
              <w:pStyle w:val="Compact"/>
              <w:jc w:val="center"/>
            </w:pPr>
            <w:r>
              <w:t xml:space="preserve">3.00</w:t>
            </w:r>
          </w:p>
        </w:tc>
        <w:tc>
          <w:tcPr/>
          <w:p>
            <w:pPr>
              <w:pStyle w:val="Compact"/>
              <w:jc w:val="center"/>
            </w:pPr>
            <w:r>
              <w:t xml:space="preserve">.7393</w:t>
            </w:r>
          </w:p>
        </w:tc>
      </w:tr>
    </w:tbl>
    <w:p>
      <w:pPr>
        <w:pStyle w:val="BodyText"/>
      </w:pPr>
      <w:r>
        <w:rPr>
          <w:iCs/>
          <w:i/>
        </w:rPr>
        <w:t xml:space="preserve">Note.</w:t>
      </w:r>
      <w:r>
        <w:t xml:space="preserve"> </w:t>
      </w:r>
      <w:r>
        <w:t xml:space="preserve">All variables measured on 7-point scales.</w:t>
      </w:r>
    </w:p>
    <w:p>
      <w:pPr>
        <w:pStyle w:val="BodyText"/>
      </w:pPr>
      <w:r>
        <w:rPr>
          <w:bCs/>
          <w:b/>
        </w:rPr>
        <w:t xml:space="preserve">Table 2</w:t>
      </w:r>
      <w:r>
        <w:t xml:space="preserve"> </w:t>
      </w:r>
      <w:r>
        <w:rPr>
          <w:iCs/>
          <w:i/>
        </w:rPr>
        <w:t xml:space="preserve">Bivariate Correlation Matrix (N = 199)</w:t>
      </w:r>
    </w:p>
    <w:tbl>
      <w:tblPr>
        <w:tblStyle w:val="Table"/>
        <w:tblW w:type="pct" w:w="5000"/>
        <w:tblLook w:firstRow="1" w:lastRow="0" w:firstColumn="0" w:lastColumn="0" w:noHBand="0" w:noVBand="0" w:val="0020"/>
        <w:jc w:val="start"/>
      </w:tblPr>
      <w:tblGrid>
        <w:gridCol w:w="990"/>
        <w:gridCol w:w="900"/>
        <w:gridCol w:w="720"/>
        <w:gridCol w:w="900"/>
        <w:gridCol w:w="900"/>
        <w:gridCol w:w="900"/>
        <w:gridCol w:w="900"/>
        <w:gridCol w:w="990"/>
        <w:gridCol w:w="720"/>
      </w:tblGrid>
      <w:tr>
        <w:trPr>
          <w:tblHeader w:val="true"/>
        </w:trPr>
        <w:tc>
          <w:tcPr/>
          <w:p>
            <w:pPr>
              <w:pStyle w:val="Compact"/>
            </w:pPr>
          </w:p>
        </w:tc>
        <w:tc>
          <w:tcPr/>
          <w:p>
            <w:pPr>
              <w:pStyle w:val="Compact"/>
              <w:jc w:val="center"/>
            </w:pPr>
            <w:r>
              <w:t xml:space="preserve">Source</w:t>
            </w:r>
          </w:p>
        </w:tc>
        <w:tc>
          <w:tcPr/>
          <w:p>
            <w:pPr>
              <w:pStyle w:val="Compact"/>
              <w:jc w:val="center"/>
            </w:pPr>
            <w:r>
              <w:t xml:space="preserve">Frame</w:t>
            </w:r>
          </w:p>
        </w:tc>
        <w:tc>
          <w:tcPr/>
          <w:p>
            <w:pPr>
              <w:pStyle w:val="Compact"/>
              <w:jc w:val="center"/>
            </w:pPr>
            <w:r>
              <w:t xml:space="preserve">Attitude</w:t>
            </w:r>
          </w:p>
        </w:tc>
        <w:tc>
          <w:tcPr/>
          <w:p>
            <w:pPr>
              <w:pStyle w:val="Compact"/>
              <w:jc w:val="center"/>
            </w:pPr>
            <w:r>
              <w:t xml:space="preserve">Trust</w:t>
            </w:r>
          </w:p>
        </w:tc>
        <w:tc>
          <w:tcPr/>
          <w:p>
            <w:pPr>
              <w:pStyle w:val="Compact"/>
              <w:jc w:val="center"/>
            </w:pPr>
            <w:r>
              <w:t xml:space="preserve">SE</w:t>
            </w:r>
          </w:p>
        </w:tc>
        <w:tc>
          <w:tcPr/>
          <w:p>
            <w:pPr>
              <w:pStyle w:val="Compact"/>
              <w:jc w:val="center"/>
            </w:pPr>
            <w:r>
              <w:t xml:space="preserve">HC</w:t>
            </w:r>
          </w:p>
        </w:tc>
        <w:tc>
          <w:tcPr/>
          <w:p>
            <w:pPr>
              <w:pStyle w:val="Compact"/>
              <w:jc w:val="center"/>
            </w:pPr>
            <w:r>
              <w:t xml:space="preserve">Intention</w:t>
            </w:r>
          </w:p>
        </w:tc>
        <w:tc>
          <w:tcPr/>
          <w:p>
            <w:pPr>
              <w:pStyle w:val="Compact"/>
              <w:jc w:val="center"/>
            </w:pPr>
            <w:r>
              <w:t xml:space="preserve">Sex</w:t>
            </w:r>
          </w:p>
        </w:tc>
      </w:tr>
      <w:tr>
        <w:tc>
          <w:tcPr/>
          <w:p>
            <w:pPr>
              <w:pStyle w:val="Compact"/>
              <w:jc w:val="left"/>
            </w:pPr>
            <w:r>
              <w:t xml:space="preserve">Source</w:t>
            </w:r>
          </w:p>
        </w:tc>
        <w:tc>
          <w:tcPr/>
          <w:p>
            <w:pPr>
              <w:pStyle w:val="Compact"/>
              <w:jc w:val="center"/>
            </w:pPr>
            <w:r>
              <w:t xml:space="preserve">—</w:t>
            </w:r>
          </w:p>
        </w:tc>
        <w:tc>
          <w:tcPr/>
          <w:p>
            <w:pPr>
              <w:pStyle w:val="Compact"/>
              <w:jc w:val="center"/>
            </w:pPr>
            <w:r>
              <w:t xml:space="preserve">.02</w:t>
            </w:r>
          </w:p>
        </w:tc>
        <w:tc>
          <w:tcPr/>
          <w:p>
            <w:pPr>
              <w:pStyle w:val="Compact"/>
              <w:jc w:val="center"/>
            </w:pPr>
            <w:r>
              <w:t xml:space="preserve">.04</w:t>
            </w:r>
          </w:p>
        </w:tc>
        <w:tc>
          <w:tcPr/>
          <w:p>
            <w:pPr>
              <w:pStyle w:val="Compact"/>
              <w:jc w:val="center"/>
            </w:pPr>
            <w:r>
              <w:t xml:space="preserve">-.36***</w:t>
            </w:r>
          </w:p>
        </w:tc>
        <w:tc>
          <w:tcPr/>
          <w:p>
            <w:pPr>
              <w:pStyle w:val="Compact"/>
              <w:jc w:val="center"/>
            </w:pPr>
            <w:r>
              <w:t xml:space="preserve">-.17*</w:t>
            </w:r>
          </w:p>
        </w:tc>
        <w:tc>
          <w:tcPr/>
          <w:p>
            <w:pPr>
              <w:pStyle w:val="Compact"/>
              <w:jc w:val="center"/>
            </w:pPr>
            <w:r>
              <w:t xml:space="preserve">-.11</w:t>
            </w:r>
          </w:p>
        </w:tc>
        <w:tc>
          <w:tcPr/>
          <w:p>
            <w:pPr>
              <w:pStyle w:val="Compact"/>
              <w:jc w:val="center"/>
            </w:pPr>
            <w:r>
              <w:t xml:space="preserve">-.01</w:t>
            </w:r>
          </w:p>
        </w:tc>
        <w:tc>
          <w:tcPr/>
          <w:p>
            <w:pPr>
              <w:pStyle w:val="Compact"/>
              <w:jc w:val="center"/>
            </w:pPr>
            <w:r>
              <w:t xml:space="preserve">-.01</w:t>
            </w:r>
          </w:p>
        </w:tc>
      </w:tr>
      <w:tr>
        <w:tc>
          <w:tcPr/>
          <w:p>
            <w:pPr>
              <w:pStyle w:val="Compact"/>
              <w:jc w:val="left"/>
            </w:pPr>
            <w:r>
              <w:t xml:space="preserve">Frame</w:t>
            </w:r>
          </w:p>
        </w:tc>
        <w:tc>
          <w:tcPr/>
          <w:p>
            <w:pPr>
              <w:pStyle w:val="Compact"/>
              <w:jc w:val="center"/>
            </w:pPr>
            <w:r>
              <w:t xml:space="preserve">.02</w:t>
            </w:r>
          </w:p>
        </w:tc>
        <w:tc>
          <w:tcPr/>
          <w:p>
            <w:pPr>
              <w:pStyle w:val="Compact"/>
              <w:jc w:val="center"/>
            </w:pPr>
            <w:r>
              <w:t xml:space="preserve">—</w:t>
            </w:r>
          </w:p>
        </w:tc>
        <w:tc>
          <w:tcPr/>
          <w:p>
            <w:pPr>
              <w:pStyle w:val="Compact"/>
              <w:jc w:val="center"/>
            </w:pPr>
            <w:r>
              <w:t xml:space="preserve">.08</w:t>
            </w:r>
          </w:p>
        </w:tc>
        <w:tc>
          <w:tcPr/>
          <w:p>
            <w:pPr>
              <w:pStyle w:val="Compact"/>
              <w:jc w:val="center"/>
            </w:pPr>
            <w:r>
              <w:t xml:space="preserve">.05</w:t>
            </w:r>
          </w:p>
        </w:tc>
        <w:tc>
          <w:tcPr/>
          <w:p>
            <w:pPr>
              <w:pStyle w:val="Compact"/>
              <w:jc w:val="center"/>
            </w:pPr>
            <w:r>
              <w:t xml:space="preserve">.05</w:t>
            </w:r>
          </w:p>
        </w:tc>
        <w:tc>
          <w:tcPr/>
          <w:p>
            <w:pPr>
              <w:pStyle w:val="Compact"/>
              <w:jc w:val="center"/>
            </w:pPr>
            <w:r>
              <w:t xml:space="preserve">.08</w:t>
            </w:r>
          </w:p>
        </w:tc>
        <w:tc>
          <w:tcPr/>
          <w:p>
            <w:pPr>
              <w:pStyle w:val="Compact"/>
              <w:jc w:val="center"/>
            </w:pPr>
            <w:r>
              <w:t xml:space="preserve">.09</w:t>
            </w:r>
          </w:p>
        </w:tc>
        <w:tc>
          <w:tcPr/>
          <w:p>
            <w:pPr>
              <w:pStyle w:val="Compact"/>
              <w:jc w:val="center"/>
            </w:pPr>
            <w:r>
              <w:t xml:space="preserve">.06</w:t>
            </w:r>
          </w:p>
        </w:tc>
      </w:tr>
      <w:tr>
        <w:tc>
          <w:tcPr/>
          <w:p>
            <w:pPr>
              <w:pStyle w:val="Compact"/>
              <w:jc w:val="left"/>
            </w:pPr>
            <w:r>
              <w:t xml:space="preserve">Attitude</w:t>
            </w:r>
          </w:p>
        </w:tc>
        <w:tc>
          <w:tcPr/>
          <w:p>
            <w:pPr>
              <w:pStyle w:val="Compact"/>
              <w:jc w:val="center"/>
            </w:pPr>
            <w:r>
              <w:t xml:space="preserve">.04</w:t>
            </w:r>
          </w:p>
        </w:tc>
        <w:tc>
          <w:tcPr/>
          <w:p>
            <w:pPr>
              <w:pStyle w:val="Compact"/>
              <w:jc w:val="center"/>
            </w:pPr>
            <w:r>
              <w:t xml:space="preserve">.08</w:t>
            </w:r>
          </w:p>
        </w:tc>
        <w:tc>
          <w:tcPr/>
          <w:p>
            <w:pPr>
              <w:pStyle w:val="Compact"/>
              <w:jc w:val="center"/>
            </w:pPr>
            <w:r>
              <w:t xml:space="preserve">—</w:t>
            </w:r>
          </w:p>
        </w:tc>
        <w:tc>
          <w:tcPr/>
          <w:p>
            <w:pPr>
              <w:pStyle w:val="Compact"/>
              <w:jc w:val="center"/>
            </w:pPr>
            <w:r>
              <w:t xml:space="preserve">.35***</w:t>
            </w:r>
          </w:p>
        </w:tc>
        <w:tc>
          <w:tcPr/>
          <w:p>
            <w:pPr>
              <w:pStyle w:val="Compact"/>
              <w:jc w:val="center"/>
            </w:pPr>
            <w:r>
              <w:t xml:space="preserve">.39***</w:t>
            </w:r>
          </w:p>
        </w:tc>
        <w:tc>
          <w:tcPr/>
          <w:p>
            <w:pPr>
              <w:pStyle w:val="Compact"/>
              <w:jc w:val="center"/>
            </w:pPr>
            <w:r>
              <w:t xml:space="preserve">.53***</w:t>
            </w:r>
          </w:p>
        </w:tc>
        <w:tc>
          <w:tcPr/>
          <w:p>
            <w:pPr>
              <w:pStyle w:val="Compact"/>
              <w:jc w:val="center"/>
            </w:pPr>
            <w:r>
              <w:t xml:space="preserve">.76***</w:t>
            </w:r>
          </w:p>
        </w:tc>
        <w:tc>
          <w:tcPr/>
          <w:p>
            <w:pPr>
              <w:pStyle w:val="Compact"/>
              <w:jc w:val="center"/>
            </w:pPr>
            <w:r>
              <w:t xml:space="preserve">.08</w:t>
            </w:r>
          </w:p>
        </w:tc>
      </w:tr>
      <w:tr>
        <w:tc>
          <w:tcPr/>
          <w:p>
            <w:pPr>
              <w:pStyle w:val="Compact"/>
              <w:jc w:val="left"/>
            </w:pPr>
            <w:r>
              <w:t xml:space="preserve">Trust</w:t>
            </w:r>
          </w:p>
        </w:tc>
        <w:tc>
          <w:tcPr/>
          <w:p>
            <w:pPr>
              <w:pStyle w:val="Compact"/>
              <w:jc w:val="center"/>
            </w:pPr>
            <w:r>
              <w:t xml:space="preserve">-.36***</w:t>
            </w:r>
          </w:p>
        </w:tc>
        <w:tc>
          <w:tcPr/>
          <w:p>
            <w:pPr>
              <w:pStyle w:val="Compact"/>
              <w:jc w:val="center"/>
            </w:pPr>
            <w:r>
              <w:t xml:space="preserve">.05</w:t>
            </w:r>
          </w:p>
        </w:tc>
        <w:tc>
          <w:tcPr/>
          <w:p>
            <w:pPr>
              <w:pStyle w:val="Compact"/>
              <w:jc w:val="center"/>
            </w:pPr>
            <w:r>
              <w:t xml:space="preserve">.35***</w:t>
            </w:r>
          </w:p>
        </w:tc>
        <w:tc>
          <w:tcPr/>
          <w:p>
            <w:pPr>
              <w:pStyle w:val="Compact"/>
              <w:jc w:val="center"/>
            </w:pPr>
            <w:r>
              <w:t xml:space="preserve">—</w:t>
            </w:r>
          </w:p>
        </w:tc>
        <w:tc>
          <w:tcPr/>
          <w:p>
            <w:pPr>
              <w:pStyle w:val="Compact"/>
              <w:jc w:val="center"/>
            </w:pPr>
            <w:r>
              <w:t xml:space="preserve">.41***</w:t>
            </w:r>
          </w:p>
        </w:tc>
        <w:tc>
          <w:tcPr/>
          <w:p>
            <w:pPr>
              <w:pStyle w:val="Compact"/>
              <w:jc w:val="center"/>
            </w:pPr>
            <w:r>
              <w:t xml:space="preserve">.47***</w:t>
            </w:r>
          </w:p>
        </w:tc>
        <w:tc>
          <w:tcPr/>
          <w:p>
            <w:pPr>
              <w:pStyle w:val="Compact"/>
              <w:jc w:val="center"/>
            </w:pPr>
            <w:r>
              <w:t xml:space="preserve">.37***</w:t>
            </w:r>
          </w:p>
        </w:tc>
        <w:tc>
          <w:tcPr/>
          <w:p>
            <w:pPr>
              <w:pStyle w:val="Compact"/>
              <w:jc w:val="center"/>
            </w:pPr>
            <w:r>
              <w:t xml:space="preserve">.05</w:t>
            </w:r>
          </w:p>
        </w:tc>
      </w:tr>
      <w:tr>
        <w:tc>
          <w:tcPr/>
          <w:p>
            <w:pPr>
              <w:pStyle w:val="Compact"/>
              <w:jc w:val="left"/>
            </w:pPr>
            <w:r>
              <w:t xml:space="preserve">SE</w:t>
            </w:r>
          </w:p>
        </w:tc>
        <w:tc>
          <w:tcPr/>
          <w:p>
            <w:pPr>
              <w:pStyle w:val="Compact"/>
              <w:jc w:val="center"/>
            </w:pPr>
            <w:r>
              <w:t xml:space="preserve">-.17*</w:t>
            </w:r>
          </w:p>
        </w:tc>
        <w:tc>
          <w:tcPr/>
          <w:p>
            <w:pPr>
              <w:pStyle w:val="Compact"/>
              <w:jc w:val="center"/>
            </w:pPr>
            <w:r>
              <w:t xml:space="preserve">.05</w:t>
            </w:r>
          </w:p>
        </w:tc>
        <w:tc>
          <w:tcPr/>
          <w:p>
            <w:pPr>
              <w:pStyle w:val="Compact"/>
              <w:jc w:val="center"/>
            </w:pPr>
            <w:r>
              <w:t xml:space="preserve">.39***</w:t>
            </w:r>
          </w:p>
        </w:tc>
        <w:tc>
          <w:tcPr/>
          <w:p>
            <w:pPr>
              <w:pStyle w:val="Compact"/>
              <w:jc w:val="center"/>
            </w:pPr>
            <w:r>
              <w:t xml:space="preserve">.41***</w:t>
            </w:r>
          </w:p>
        </w:tc>
        <w:tc>
          <w:tcPr/>
          <w:p>
            <w:pPr>
              <w:pStyle w:val="Compact"/>
              <w:jc w:val="center"/>
            </w:pPr>
            <w:r>
              <w:t xml:space="preserve">—</w:t>
            </w:r>
          </w:p>
        </w:tc>
        <w:tc>
          <w:tcPr/>
          <w:p>
            <w:pPr>
              <w:pStyle w:val="Compact"/>
              <w:jc w:val="center"/>
            </w:pPr>
            <w:r>
              <w:t xml:space="preserve">.53***</w:t>
            </w:r>
          </w:p>
        </w:tc>
        <w:tc>
          <w:tcPr/>
          <w:p>
            <w:pPr>
              <w:pStyle w:val="Compact"/>
              <w:jc w:val="center"/>
            </w:pPr>
            <w:r>
              <w:t xml:space="preserve">.47***</w:t>
            </w:r>
          </w:p>
        </w:tc>
        <w:tc>
          <w:tcPr/>
          <w:p>
            <w:pPr>
              <w:pStyle w:val="Compact"/>
              <w:jc w:val="center"/>
            </w:pPr>
            <w:r>
              <w:t xml:space="preserve">.14</w:t>
            </w:r>
          </w:p>
        </w:tc>
      </w:tr>
      <w:tr>
        <w:tc>
          <w:tcPr/>
          <w:p>
            <w:pPr>
              <w:pStyle w:val="Compact"/>
              <w:jc w:val="left"/>
            </w:pPr>
            <w:r>
              <w:t xml:space="preserve">HC</w:t>
            </w:r>
          </w:p>
        </w:tc>
        <w:tc>
          <w:tcPr/>
          <w:p>
            <w:pPr>
              <w:pStyle w:val="Compact"/>
              <w:jc w:val="center"/>
            </w:pPr>
            <w:r>
              <w:t xml:space="preserve">-.11</w:t>
            </w:r>
          </w:p>
        </w:tc>
        <w:tc>
          <w:tcPr/>
          <w:p>
            <w:pPr>
              <w:pStyle w:val="Compact"/>
              <w:jc w:val="center"/>
            </w:pPr>
            <w:r>
              <w:t xml:space="preserve">.08</w:t>
            </w:r>
          </w:p>
        </w:tc>
        <w:tc>
          <w:tcPr/>
          <w:p>
            <w:pPr>
              <w:pStyle w:val="Compact"/>
              <w:jc w:val="center"/>
            </w:pPr>
            <w:r>
              <w:t xml:space="preserve">.53***</w:t>
            </w:r>
          </w:p>
        </w:tc>
        <w:tc>
          <w:tcPr/>
          <w:p>
            <w:pPr>
              <w:pStyle w:val="Compact"/>
              <w:jc w:val="center"/>
            </w:pPr>
            <w:r>
              <w:t xml:space="preserve">.47***</w:t>
            </w:r>
          </w:p>
        </w:tc>
        <w:tc>
          <w:tcPr/>
          <w:p>
            <w:pPr>
              <w:pStyle w:val="Compact"/>
              <w:jc w:val="center"/>
            </w:pPr>
            <w:r>
              <w:t xml:space="preserve">.53***</w:t>
            </w:r>
          </w:p>
        </w:tc>
        <w:tc>
          <w:tcPr/>
          <w:p>
            <w:pPr>
              <w:pStyle w:val="Compact"/>
              <w:jc w:val="center"/>
            </w:pPr>
            <w:r>
              <w:t xml:space="preserve">—</w:t>
            </w:r>
          </w:p>
        </w:tc>
        <w:tc>
          <w:tcPr/>
          <w:p>
            <w:pPr>
              <w:pStyle w:val="Compact"/>
              <w:jc w:val="center"/>
            </w:pPr>
            <w:r>
              <w:t xml:space="preserve">.56***</w:t>
            </w:r>
          </w:p>
        </w:tc>
        <w:tc>
          <w:tcPr/>
          <w:p>
            <w:pPr>
              <w:pStyle w:val="Compact"/>
              <w:jc w:val="center"/>
            </w:pPr>
            <w:r>
              <w:t xml:space="preserve">.12</w:t>
            </w:r>
          </w:p>
        </w:tc>
      </w:tr>
      <w:tr>
        <w:tc>
          <w:tcPr/>
          <w:p>
            <w:pPr>
              <w:pStyle w:val="Compact"/>
              <w:jc w:val="left"/>
            </w:pPr>
            <w:r>
              <w:t xml:space="preserve">Intention</w:t>
            </w:r>
          </w:p>
        </w:tc>
        <w:tc>
          <w:tcPr/>
          <w:p>
            <w:pPr>
              <w:pStyle w:val="Compact"/>
              <w:jc w:val="center"/>
            </w:pPr>
            <w:r>
              <w:t xml:space="preserve">-.01</w:t>
            </w:r>
          </w:p>
        </w:tc>
        <w:tc>
          <w:tcPr/>
          <w:p>
            <w:pPr>
              <w:pStyle w:val="Compact"/>
              <w:jc w:val="center"/>
            </w:pPr>
            <w:r>
              <w:t xml:space="preserve">.09</w:t>
            </w:r>
          </w:p>
        </w:tc>
        <w:tc>
          <w:tcPr/>
          <w:p>
            <w:pPr>
              <w:pStyle w:val="Compact"/>
              <w:jc w:val="center"/>
            </w:pPr>
            <w:r>
              <w:t xml:space="preserve">.76***</w:t>
            </w:r>
          </w:p>
        </w:tc>
        <w:tc>
          <w:tcPr/>
          <w:p>
            <w:pPr>
              <w:pStyle w:val="Compact"/>
              <w:jc w:val="center"/>
            </w:pPr>
            <w:r>
              <w:t xml:space="preserve">.37***</w:t>
            </w:r>
          </w:p>
        </w:tc>
        <w:tc>
          <w:tcPr/>
          <w:p>
            <w:pPr>
              <w:pStyle w:val="Compact"/>
              <w:jc w:val="center"/>
            </w:pPr>
            <w:r>
              <w:t xml:space="preserve">.47***</w:t>
            </w:r>
          </w:p>
        </w:tc>
        <w:tc>
          <w:tcPr/>
          <w:p>
            <w:pPr>
              <w:pStyle w:val="Compact"/>
              <w:jc w:val="center"/>
            </w:pPr>
            <w:r>
              <w:t xml:space="preserve">.56***</w:t>
            </w:r>
          </w:p>
        </w:tc>
        <w:tc>
          <w:tcPr/>
          <w:p>
            <w:pPr>
              <w:pStyle w:val="Compact"/>
              <w:jc w:val="center"/>
            </w:pPr>
            <w:r>
              <w:t xml:space="preserve">—</w:t>
            </w:r>
          </w:p>
        </w:tc>
        <w:tc>
          <w:tcPr/>
          <w:p>
            <w:pPr>
              <w:pStyle w:val="Compact"/>
              <w:jc w:val="center"/>
            </w:pPr>
            <w:r>
              <w:t xml:space="preserve">.12</w:t>
            </w:r>
          </w:p>
        </w:tc>
      </w:tr>
      <w:tr>
        <w:tc>
          <w:tcPr/>
          <w:p>
            <w:pPr>
              <w:pStyle w:val="Compact"/>
              <w:jc w:val="left"/>
            </w:pPr>
            <w:r>
              <w:t xml:space="preserve">Sex</w:t>
            </w:r>
          </w:p>
        </w:tc>
        <w:tc>
          <w:tcPr/>
          <w:p>
            <w:pPr>
              <w:pStyle w:val="Compact"/>
              <w:jc w:val="center"/>
            </w:pPr>
            <w:r>
              <w:t xml:space="preserve">-.01</w:t>
            </w:r>
          </w:p>
        </w:tc>
        <w:tc>
          <w:tcPr/>
          <w:p>
            <w:pPr>
              <w:pStyle w:val="Compact"/>
              <w:jc w:val="center"/>
            </w:pPr>
            <w:r>
              <w:t xml:space="preserve">.06</w:t>
            </w:r>
          </w:p>
        </w:tc>
        <w:tc>
          <w:tcPr/>
          <w:p>
            <w:pPr>
              <w:pStyle w:val="Compact"/>
              <w:jc w:val="center"/>
            </w:pPr>
            <w:r>
              <w:t xml:space="preserve">.08</w:t>
            </w:r>
          </w:p>
        </w:tc>
        <w:tc>
          <w:tcPr/>
          <w:p>
            <w:pPr>
              <w:pStyle w:val="Compact"/>
              <w:jc w:val="center"/>
            </w:pPr>
            <w:r>
              <w:t xml:space="preserve">.05</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w:t>
            </w:r>
          </w:p>
        </w:tc>
      </w:tr>
    </w:tbl>
    <w:p>
      <w:pPr>
        <w:pStyle w:val="BodyText"/>
      </w:pPr>
      <w:r>
        <w:rPr>
          <w:iCs/>
          <w:i/>
        </w:rPr>
        <w:t xml:space="preserve">Note.</w:t>
      </w:r>
      <w:r>
        <w:t xml:space="preserve"> </w:t>
      </w:r>
      <w:r>
        <w:t xml:space="preserve">SE = Self-efficacy; HC = Health Consciousness. *</w:t>
      </w:r>
      <w:r>
        <w:rPr>
          <w:iCs/>
          <w:i/>
        </w:rPr>
        <w:t xml:space="preserve">p</w:t>
      </w:r>
      <w:r>
        <w:t xml:space="preserve"> </w:t>
      </w:r>
      <w:r>
        <w:t xml:space="preserve">&lt; .05. ***</w:t>
      </w:r>
      <w:r>
        <w:rPr>
          <w:iCs/>
          <w:i/>
        </w:rPr>
        <w:t xml:space="preserve">p</w:t>
      </w:r>
      <w:r>
        <w:t xml:space="preserve"> </w:t>
      </w:r>
      <w:r>
        <w:t xml:space="preserve">&lt; .001.</w:t>
      </w:r>
    </w:p>
    <w:p>
      <w:pPr>
        <w:pStyle w:val="BodyText"/>
      </w:pPr>
      <w:r>
        <w:t xml:space="preserve">To test the hypothesised direct and indirect relationships among variables (H1–H6), a structural path model was estimated using</w:t>
      </w:r>
      <w:r>
        <w:t xml:space="preserve"> </w:t>
      </w:r>
      <w:r>
        <w:rPr>
          <w:iCs/>
          <w:i/>
        </w:rPr>
        <w:t xml:space="preserve">lavaan</w:t>
      </w:r>
      <w:r>
        <w:t xml:space="preserve">. Information Source, Message Frame, and Sex served as exogenous predictors; Attitude, Trust, and Self-efficacy as mediators; and Behavioural Intention as the outcome. Health Consciousness (mean-centred) and its interaction with Information Source were also included in the Intention equation to simultaneously account for the moderation hypothesis (H7). This integrated model permits the estimation of all direct and indirect pathways within a single framework rather than relying on separate analyses. The full set of structural path coefficients is presented in Table 5. Information Source did not significantly predict Behavioural Intention directly (β = 0.02,</w:t>
      </w:r>
      <w:r>
        <w:t xml:space="preserve"> </w:t>
      </w:r>
      <w:r>
        <w:rPr>
          <w:iCs/>
          <w:i/>
        </w:rPr>
        <w:t xml:space="preserve">SE</w:t>
      </w:r>
      <w:r>
        <w:t xml:space="preserve"> </w:t>
      </w:r>
      <w:r>
        <w:t xml:space="preserve">= 0.07,</w:t>
      </w:r>
      <w:r>
        <w:t xml:space="preserve"> </w:t>
      </w:r>
      <w:r>
        <w:rPr>
          <w:iCs/>
          <w:i/>
        </w:rPr>
        <w:t xml:space="preserve">p</w:t>
      </w:r>
      <w:r>
        <w:t xml:space="preserve"> </w:t>
      </w:r>
      <w:r>
        <w:t xml:space="preserve">= .76, 95% CI [-0.11, 0.15]), nor did Message Frame (β = 0.02,</w:t>
      </w:r>
      <w:r>
        <w:t xml:space="preserve"> </w:t>
      </w:r>
      <w:r>
        <w:rPr>
          <w:iCs/>
          <w:i/>
        </w:rPr>
        <w:t xml:space="preserve">SE</w:t>
      </w:r>
      <w:r>
        <w:t xml:space="preserve"> </w:t>
      </w:r>
      <w:r>
        <w:t xml:space="preserve">= 0.06,</w:t>
      </w:r>
      <w:r>
        <w:t xml:space="preserve"> </w:t>
      </w:r>
      <w:r>
        <w:rPr>
          <w:iCs/>
          <w:i/>
        </w:rPr>
        <w:t xml:space="preserve">p</w:t>
      </w:r>
      <w:r>
        <w:t xml:space="preserve"> </w:t>
      </w:r>
      <w:r>
        <w:t xml:space="preserve">= .73, 95% CI [-0.10, 0.13]). These results do not support Hypothesis 1 (that human-sourced information increases exercise behavioural intention more than AI-sourced information) or Hypothesis 2 (that gain-framed messages increase intention more than loss-framed messages). Attitude emerged as the dominant predictor of Behavioural Intention (β = 0.69,</w:t>
      </w:r>
      <w:r>
        <w:t xml:space="preserve"> </w:t>
      </w:r>
      <w:r>
        <w:rPr>
          <w:iCs/>
          <w:i/>
        </w:rPr>
        <w:t xml:space="preserve">SE</w:t>
      </w:r>
      <w:r>
        <w:t xml:space="preserve"> </w:t>
      </w:r>
      <w:r>
        <w:t xml:space="preserve">= 0.08,</w:t>
      </w:r>
      <w:r>
        <w:t xml:space="preserve"> </w:t>
      </w:r>
      <w:r>
        <w:rPr>
          <w:iCs/>
          <w:i/>
        </w:rPr>
        <w:t xml:space="preserve">p</w:t>
      </w:r>
      <w:r>
        <w:t xml:space="preserve"> </w:t>
      </w:r>
      <w:r>
        <w:t xml:space="preserve">&lt; .001, 95% CI [0.52, 0.83]), and Self-efficacy served as a secondary predictor (β = 0.10,</w:t>
      </w:r>
      <w:r>
        <w:t xml:space="preserve"> </w:t>
      </w:r>
      <w:r>
        <w:rPr>
          <w:iCs/>
          <w:i/>
        </w:rPr>
        <w:t xml:space="preserve">SE</w:t>
      </w:r>
      <w:r>
        <w:t xml:space="preserve"> </w:t>
      </w:r>
      <w:r>
        <w:t xml:space="preserve">= 0.04,</w:t>
      </w:r>
      <w:r>
        <w:t xml:space="preserve"> </w:t>
      </w:r>
      <w:r>
        <w:rPr>
          <w:iCs/>
          <w:i/>
        </w:rPr>
        <w:t xml:space="preserve">p</w:t>
      </w:r>
      <w:r>
        <w:t xml:space="preserve"> </w:t>
      </w:r>
      <w:r>
        <w:t xml:space="preserve">= .013, 95% CI [0.03, 0.19]), whereas Trust did not significantly predict Intention (β = 0.03,</w:t>
      </w:r>
      <w:r>
        <w:t xml:space="preserve"> </w:t>
      </w:r>
      <w:r>
        <w:rPr>
          <w:iCs/>
          <w:i/>
        </w:rPr>
        <w:t xml:space="preserve">SE</w:t>
      </w:r>
      <w:r>
        <w:t xml:space="preserve"> </w:t>
      </w:r>
      <w:r>
        <w:t xml:space="preserve">= 0.06,</w:t>
      </w:r>
      <w:r>
        <w:t xml:space="preserve"> </w:t>
      </w:r>
      <w:r>
        <w:rPr>
          <w:iCs/>
          <w:i/>
        </w:rPr>
        <w:t xml:space="preserve">p</w:t>
      </w:r>
      <w:r>
        <w:t xml:space="preserve"> </w:t>
      </w:r>
      <w:r>
        <w:t xml:space="preserve">= .65). Regarding the upstream a-paths linking the independent variables to the mediators, Information Source significantly predicted Trust (β = -0.50,</w:t>
      </w:r>
      <w:r>
        <w:t xml:space="preserve"> </w:t>
      </w:r>
      <w:r>
        <w:rPr>
          <w:iCs/>
          <w:i/>
        </w:rPr>
        <w:t xml:space="preserve">SE</w:t>
      </w:r>
      <w:r>
        <w:t xml:space="preserve"> </w:t>
      </w:r>
      <w:r>
        <w:t xml:space="preserve">= 0.09,</w:t>
      </w:r>
      <w:r>
        <w:t xml:space="preserve"> </w:t>
      </w:r>
      <w:r>
        <w:rPr>
          <w:iCs/>
          <w:i/>
        </w:rPr>
        <w:t xml:space="preserve">p</w:t>
      </w:r>
      <w:r>
        <w:t xml:space="preserve"> </w:t>
      </w:r>
      <w:r>
        <w:t xml:space="preserve">&lt; .001, 95% CI [-0.68, -0.31]) and Self-efficacy (β = -0.30,</w:t>
      </w:r>
      <w:r>
        <w:t xml:space="preserve"> </w:t>
      </w:r>
      <w:r>
        <w:rPr>
          <w:iCs/>
          <w:i/>
        </w:rPr>
        <w:t xml:space="preserve">SE</w:t>
      </w:r>
      <w:r>
        <w:t xml:space="preserve"> </w:t>
      </w:r>
      <w:r>
        <w:t xml:space="preserve">= 0.13,</w:t>
      </w:r>
      <w:r>
        <w:t xml:space="preserve"> </w:t>
      </w:r>
      <w:r>
        <w:rPr>
          <w:iCs/>
          <w:i/>
        </w:rPr>
        <w:t xml:space="preserve">p</w:t>
      </w:r>
      <w:r>
        <w:t xml:space="preserve"> </w:t>
      </w:r>
      <w:r>
        <w:t xml:space="preserve">= .019, 95% CI [-0.55, -0.05]), with AI-sourced information associated with lower trust and self-efficacy relative to human-sourced information. Information Source did not significantly predict Attitude (β = 0.05,</w:t>
      </w:r>
      <w:r>
        <w:t xml:space="preserve"> </w:t>
      </w:r>
      <w:r>
        <w:rPr>
          <w:iCs/>
          <w:i/>
        </w:rPr>
        <w:t xml:space="preserve">SE</w:t>
      </w:r>
      <w:r>
        <w:t xml:space="preserve"> </w:t>
      </w:r>
      <w:r>
        <w:t xml:space="preserve">= 0.09,</w:t>
      </w:r>
      <w:r>
        <w:t xml:space="preserve"> </w:t>
      </w:r>
      <w:r>
        <w:rPr>
          <w:iCs/>
          <w:i/>
        </w:rPr>
        <w:t xml:space="preserve">p</w:t>
      </w:r>
      <w:r>
        <w:t xml:space="preserve"> </w:t>
      </w:r>
      <w:r>
        <w:t xml:space="preserve">= .59). Message Frame showed no significant effects on any mediator (all</w:t>
      </w:r>
      <w:r>
        <w:t xml:space="preserve"> </w:t>
      </w:r>
      <w:r>
        <w:rPr>
          <w:iCs/>
          <w:i/>
        </w:rPr>
        <w:t xml:space="preserve">p</w:t>
      </w:r>
      <w:r>
        <w:t xml:space="preserve"> </w:t>
      </w:r>
      <w:r>
        <w:t xml:space="preserve">&gt; .30).</w:t>
      </w:r>
    </w:p>
    <w:p>
      <w:pPr>
        <w:pStyle w:val="BodyText"/>
      </w:pPr>
      <w:r>
        <w:rPr>
          <w:bCs/>
          <w:b/>
        </w:rPr>
        <w:t xml:space="preserve">Table 5</w:t>
      </w:r>
      <w:r>
        <w:t xml:space="preserve"> </w:t>
      </w:r>
      <w:r>
        <w:rPr>
          <w:iCs/>
          <w:i/>
        </w:rPr>
        <w:t xml:space="preserve">Structural Path Coefficients</w:t>
      </w:r>
    </w:p>
    <w:tbl>
      <w:tblPr>
        <w:tblStyle w:val="Table"/>
        <w:tblW w:type="pct" w:w="5000"/>
        <w:tblLook w:firstRow="1" w:lastRow="0" w:firstColumn="0" w:lastColumn="0" w:noHBand="0" w:noVBand="0" w:val="0020"/>
        <w:jc w:val="start"/>
      </w:tblPr>
      <w:tblGrid>
        <w:gridCol w:w="1188"/>
        <w:gridCol w:w="1386"/>
        <w:gridCol w:w="1386"/>
        <w:gridCol w:w="1386"/>
        <w:gridCol w:w="990"/>
        <w:gridCol w:w="1584"/>
      </w:tblGrid>
      <w:tr>
        <w:trPr>
          <w:tblHeader w:val="true"/>
        </w:trPr>
        <w:tc>
          <w:tcPr/>
          <w:p>
            <w:pPr>
              <w:pStyle w:val="Compact"/>
              <w:jc w:val="left"/>
            </w:pPr>
            <w:r>
              <w:t xml:space="preserve">Path</w:t>
            </w:r>
          </w:p>
        </w:tc>
        <w:tc>
          <w:tcPr/>
          <w:p>
            <w:pPr>
              <w:pStyle w:val="Compact"/>
              <w:jc w:val="right"/>
            </w:pPr>
            <w:r>
              <w:t xml:space="preserve">β</w:t>
            </w:r>
          </w:p>
        </w:tc>
        <w:tc>
          <w:tcPr/>
          <w:p>
            <w:pPr>
              <w:pStyle w:val="Compact"/>
              <w:jc w:val="right"/>
            </w:pPr>
            <w:r>
              <w:rPr>
                <w:iCs/>
                <w:i/>
              </w:rPr>
              <w:t xml:space="preserve">SE</w:t>
            </w:r>
          </w:p>
        </w:tc>
        <w:tc>
          <w:tcPr/>
          <w:p>
            <w:pPr>
              <w:pStyle w:val="Compact"/>
              <w:jc w:val="right"/>
            </w:pPr>
            <w:r>
              <w:rPr>
                <w:iCs/>
                <w:i/>
              </w:rPr>
              <w:t xml:space="preserve">p</w:t>
            </w:r>
          </w:p>
        </w:tc>
        <w:tc>
          <w:tcPr/>
          <w:p>
            <w:pPr>
              <w:pStyle w:val="Compact"/>
              <w:jc w:val="center"/>
            </w:pPr>
            <w:r>
              <w:t xml:space="preserve">Sig</w:t>
            </w:r>
          </w:p>
        </w:tc>
        <w:tc>
          <w:tcPr/>
          <w:p>
            <w:pPr>
              <w:pStyle w:val="Compact"/>
              <w:jc w:val="center"/>
            </w:pPr>
            <w:r>
              <w:t xml:space="preserve">95% CI</w:t>
            </w:r>
          </w:p>
        </w:tc>
      </w:tr>
      <w:tr>
        <w:tc>
          <w:tcPr/>
          <w:p>
            <w:pPr>
              <w:pStyle w:val="Compact"/>
              <w:jc w:val="left"/>
            </w:pPr>
            <w:r>
              <w:t xml:space="preserve">Attitude ← Source</w:t>
            </w:r>
          </w:p>
        </w:tc>
        <w:tc>
          <w:tcPr/>
          <w:p>
            <w:pPr>
              <w:pStyle w:val="Compact"/>
              <w:jc w:val="right"/>
            </w:pPr>
            <w:r>
              <w:t xml:space="preserve">0.0478</w:t>
            </w:r>
          </w:p>
        </w:tc>
        <w:tc>
          <w:tcPr/>
          <w:p>
            <w:pPr>
              <w:pStyle w:val="Compact"/>
              <w:jc w:val="right"/>
            </w:pPr>
            <w:r>
              <w:t xml:space="preserve">0.0877</w:t>
            </w:r>
          </w:p>
        </w:tc>
        <w:tc>
          <w:tcPr/>
          <w:p>
            <w:pPr>
              <w:pStyle w:val="Compact"/>
              <w:jc w:val="right"/>
            </w:pPr>
            <w:r>
              <w:t xml:space="preserve">.5855</w:t>
            </w:r>
          </w:p>
        </w:tc>
        <w:tc>
          <w:tcPr/>
          <w:p>
            <w:pPr>
              <w:pStyle w:val="Compact"/>
            </w:pPr>
          </w:p>
        </w:tc>
        <w:tc>
          <w:tcPr/>
          <w:p>
            <w:pPr>
              <w:pStyle w:val="Compact"/>
              <w:jc w:val="center"/>
            </w:pPr>
            <w:r>
              <w:t xml:space="preserve">[-0.126, 0.220]</w:t>
            </w:r>
          </w:p>
        </w:tc>
      </w:tr>
      <w:tr>
        <w:tc>
          <w:tcPr/>
          <w:p>
            <w:pPr>
              <w:pStyle w:val="Compact"/>
              <w:jc w:val="left"/>
            </w:pPr>
            <w:r>
              <w:t xml:space="preserve">Attitude ← Frame</w:t>
            </w:r>
          </w:p>
        </w:tc>
        <w:tc>
          <w:tcPr/>
          <w:p>
            <w:pPr>
              <w:pStyle w:val="Compact"/>
              <w:jc w:val="right"/>
            </w:pPr>
            <w:r>
              <w:t xml:space="preserve">0.0884</w:t>
            </w:r>
          </w:p>
        </w:tc>
        <w:tc>
          <w:tcPr/>
          <w:p>
            <w:pPr>
              <w:pStyle w:val="Compact"/>
              <w:jc w:val="right"/>
            </w:pPr>
            <w:r>
              <w:t xml:space="preserve">0.0873</w:t>
            </w:r>
          </w:p>
        </w:tc>
        <w:tc>
          <w:tcPr/>
          <w:p>
            <w:pPr>
              <w:pStyle w:val="Compact"/>
              <w:jc w:val="right"/>
            </w:pPr>
            <w:r>
              <w:t xml:space="preserve">.3113</w:t>
            </w:r>
          </w:p>
        </w:tc>
        <w:tc>
          <w:tcPr/>
          <w:p>
            <w:pPr>
              <w:pStyle w:val="Compact"/>
            </w:pPr>
          </w:p>
        </w:tc>
        <w:tc>
          <w:tcPr/>
          <w:p>
            <w:pPr>
              <w:pStyle w:val="Compact"/>
              <w:jc w:val="center"/>
            </w:pPr>
            <w:r>
              <w:t xml:space="preserve">[-0.080, 0.262]</w:t>
            </w:r>
          </w:p>
        </w:tc>
      </w:tr>
      <w:tr>
        <w:tc>
          <w:tcPr/>
          <w:p>
            <w:pPr>
              <w:pStyle w:val="Compact"/>
              <w:jc w:val="left"/>
            </w:pPr>
            <w:r>
              <w:t xml:space="preserve">Attitude ← Sex</w:t>
            </w:r>
          </w:p>
        </w:tc>
        <w:tc>
          <w:tcPr/>
          <w:p>
            <w:pPr>
              <w:pStyle w:val="Compact"/>
              <w:jc w:val="right"/>
            </w:pPr>
            <w:r>
              <w:t xml:space="preserve">0.0910</w:t>
            </w:r>
          </w:p>
        </w:tc>
        <w:tc>
          <w:tcPr/>
          <w:p>
            <w:pPr>
              <w:pStyle w:val="Compact"/>
              <w:jc w:val="right"/>
            </w:pPr>
            <w:r>
              <w:t xml:space="preserve">0.0862</w:t>
            </w:r>
          </w:p>
        </w:tc>
        <w:tc>
          <w:tcPr/>
          <w:p>
            <w:pPr>
              <w:pStyle w:val="Compact"/>
              <w:jc w:val="right"/>
            </w:pPr>
            <w:r>
              <w:t xml:space="preserve">.2910</w:t>
            </w:r>
          </w:p>
        </w:tc>
        <w:tc>
          <w:tcPr/>
          <w:p>
            <w:pPr>
              <w:pStyle w:val="Compact"/>
            </w:pPr>
          </w:p>
        </w:tc>
        <w:tc>
          <w:tcPr/>
          <w:p>
            <w:pPr>
              <w:pStyle w:val="Compact"/>
              <w:jc w:val="center"/>
            </w:pPr>
            <w:r>
              <w:t xml:space="preserve">[-0.076, 0.260]</w:t>
            </w:r>
          </w:p>
        </w:tc>
      </w:tr>
      <w:tr>
        <w:tc>
          <w:tcPr/>
          <w:p>
            <w:pPr>
              <w:pStyle w:val="Compact"/>
              <w:jc w:val="left"/>
            </w:pPr>
            <w:r>
              <w:t xml:space="preserve">Trust ← Source</w:t>
            </w:r>
          </w:p>
        </w:tc>
        <w:tc>
          <w:tcPr/>
          <w:p>
            <w:pPr>
              <w:pStyle w:val="Compact"/>
              <w:jc w:val="right"/>
            </w:pPr>
            <w:r>
              <w:t xml:space="preserve">-0.4951</w:t>
            </w:r>
          </w:p>
        </w:tc>
        <w:tc>
          <w:tcPr/>
          <w:p>
            <w:pPr>
              <w:pStyle w:val="Compact"/>
              <w:jc w:val="right"/>
            </w:pPr>
            <w:r>
              <w:t xml:space="preserve">0.0922</w:t>
            </w:r>
          </w:p>
        </w:tc>
        <w:tc>
          <w:tcPr/>
          <w:p>
            <w:pPr>
              <w:pStyle w:val="Compact"/>
              <w:jc w:val="right"/>
            </w:pPr>
            <w:r>
              <w:t xml:space="preserve">&lt; .001</w:t>
            </w:r>
          </w:p>
        </w:tc>
        <w:tc>
          <w:tcPr/>
          <w:p>
            <w:pPr>
              <w:pStyle w:val="Compact"/>
              <w:jc w:val="center"/>
            </w:pPr>
            <w:r>
              <w:t xml:space="preserve">***</w:t>
            </w:r>
          </w:p>
        </w:tc>
        <w:tc>
          <w:tcPr/>
          <w:p>
            <w:pPr>
              <w:pStyle w:val="Compact"/>
              <w:jc w:val="center"/>
            </w:pPr>
            <w:r>
              <w:t xml:space="preserve">[-0.676, -0.313]</w:t>
            </w:r>
          </w:p>
        </w:tc>
      </w:tr>
      <w:tr>
        <w:tc>
          <w:tcPr/>
          <w:p>
            <w:pPr>
              <w:pStyle w:val="Compact"/>
              <w:jc w:val="left"/>
            </w:pPr>
            <w:r>
              <w:t xml:space="preserve">Trust ← Frame</w:t>
            </w:r>
          </w:p>
        </w:tc>
        <w:tc>
          <w:tcPr/>
          <w:p>
            <w:pPr>
              <w:pStyle w:val="Compact"/>
              <w:jc w:val="right"/>
            </w:pPr>
            <w:r>
              <w:t xml:space="preserve">0.0681</w:t>
            </w:r>
          </w:p>
        </w:tc>
        <w:tc>
          <w:tcPr/>
          <w:p>
            <w:pPr>
              <w:pStyle w:val="Compact"/>
              <w:jc w:val="right"/>
            </w:pPr>
            <w:r>
              <w:t xml:space="preserve">0.0914</w:t>
            </w:r>
          </w:p>
        </w:tc>
        <w:tc>
          <w:tcPr/>
          <w:p>
            <w:pPr>
              <w:pStyle w:val="Compact"/>
              <w:jc w:val="right"/>
            </w:pPr>
            <w:r>
              <w:t xml:space="preserve">.4565</w:t>
            </w:r>
          </w:p>
        </w:tc>
        <w:tc>
          <w:tcPr/>
          <w:p>
            <w:pPr>
              <w:pStyle w:val="Compact"/>
            </w:pPr>
          </w:p>
        </w:tc>
        <w:tc>
          <w:tcPr/>
          <w:p>
            <w:pPr>
              <w:pStyle w:val="Compact"/>
              <w:jc w:val="center"/>
            </w:pPr>
            <w:r>
              <w:t xml:space="preserve">[-0.113, 0.245]</w:t>
            </w:r>
          </w:p>
        </w:tc>
      </w:tr>
      <w:tr>
        <w:tc>
          <w:tcPr/>
          <w:p>
            <w:pPr>
              <w:pStyle w:val="Compact"/>
              <w:jc w:val="left"/>
            </w:pPr>
            <w:r>
              <w:t xml:space="preserve">Trust ← Sex</w:t>
            </w:r>
          </w:p>
        </w:tc>
        <w:tc>
          <w:tcPr/>
          <w:p>
            <w:pPr>
              <w:pStyle w:val="Compact"/>
              <w:jc w:val="right"/>
            </w:pPr>
            <w:r>
              <w:t xml:space="preserve">0.0662</w:t>
            </w:r>
          </w:p>
        </w:tc>
        <w:tc>
          <w:tcPr/>
          <w:p>
            <w:pPr>
              <w:pStyle w:val="Compact"/>
              <w:jc w:val="right"/>
            </w:pPr>
            <w:r>
              <w:t xml:space="preserve">0.0900</w:t>
            </w:r>
          </w:p>
        </w:tc>
        <w:tc>
          <w:tcPr/>
          <w:p>
            <w:pPr>
              <w:pStyle w:val="Compact"/>
              <w:jc w:val="right"/>
            </w:pPr>
            <w:r>
              <w:t xml:space="preserve">.4621</w:t>
            </w:r>
          </w:p>
        </w:tc>
        <w:tc>
          <w:tcPr/>
          <w:p>
            <w:pPr>
              <w:pStyle w:val="Compact"/>
            </w:pPr>
          </w:p>
        </w:tc>
        <w:tc>
          <w:tcPr/>
          <w:p>
            <w:pPr>
              <w:pStyle w:val="Compact"/>
              <w:jc w:val="center"/>
            </w:pPr>
            <w:r>
              <w:t xml:space="preserve">[-0.112, 0.246]</w:t>
            </w:r>
          </w:p>
        </w:tc>
      </w:tr>
      <w:tr>
        <w:tc>
          <w:tcPr/>
          <w:p>
            <w:pPr>
              <w:pStyle w:val="Compact"/>
              <w:jc w:val="left"/>
            </w:pPr>
            <w:r>
              <w:t xml:space="preserve">SE ← Frame</w:t>
            </w:r>
          </w:p>
        </w:tc>
        <w:tc>
          <w:tcPr/>
          <w:p>
            <w:pPr>
              <w:pStyle w:val="Compact"/>
              <w:jc w:val="right"/>
            </w:pPr>
            <w:r>
              <w:t xml:space="preserve">0.0838</w:t>
            </w:r>
          </w:p>
        </w:tc>
        <w:tc>
          <w:tcPr/>
          <w:p>
            <w:pPr>
              <w:pStyle w:val="Compact"/>
              <w:jc w:val="right"/>
            </w:pPr>
            <w:r>
              <w:t xml:space="preserve">0.1275</w:t>
            </w:r>
          </w:p>
        </w:tc>
        <w:tc>
          <w:tcPr/>
          <w:p>
            <w:pPr>
              <w:pStyle w:val="Compact"/>
              <w:jc w:val="right"/>
            </w:pPr>
            <w:r>
              <w:t xml:space="preserve">.5110</w:t>
            </w:r>
          </w:p>
        </w:tc>
        <w:tc>
          <w:tcPr/>
          <w:p>
            <w:pPr>
              <w:pStyle w:val="Compact"/>
            </w:pPr>
          </w:p>
        </w:tc>
        <w:tc>
          <w:tcPr/>
          <w:p>
            <w:pPr>
              <w:pStyle w:val="Compact"/>
              <w:jc w:val="center"/>
            </w:pPr>
            <w:r>
              <w:t xml:space="preserve">[-0.169, 0.337]</w:t>
            </w:r>
          </w:p>
        </w:tc>
      </w:tr>
      <w:tr>
        <w:tc>
          <w:tcPr/>
          <w:p>
            <w:pPr>
              <w:pStyle w:val="Compact"/>
              <w:jc w:val="left"/>
            </w:pPr>
            <w:r>
              <w:t xml:space="preserve">SE ← Source</w:t>
            </w:r>
          </w:p>
        </w:tc>
        <w:tc>
          <w:tcPr/>
          <w:p>
            <w:pPr>
              <w:pStyle w:val="Compact"/>
              <w:jc w:val="right"/>
            </w:pPr>
            <w:r>
              <w:t xml:space="preserve">-0.3033</w:t>
            </w:r>
          </w:p>
        </w:tc>
        <w:tc>
          <w:tcPr/>
          <w:p>
            <w:pPr>
              <w:pStyle w:val="Compact"/>
              <w:jc w:val="right"/>
            </w:pPr>
            <w:r>
              <w:t xml:space="preserve">0.1288</w:t>
            </w:r>
          </w:p>
        </w:tc>
        <w:tc>
          <w:tcPr/>
          <w:p>
            <w:pPr>
              <w:pStyle w:val="Compact"/>
              <w:jc w:val="right"/>
            </w:pPr>
            <w:r>
              <w:t xml:space="preserve">.0185</w:t>
            </w:r>
          </w:p>
        </w:tc>
        <w:tc>
          <w:tcPr/>
          <w:p>
            <w:pPr>
              <w:pStyle w:val="Compact"/>
              <w:jc w:val="center"/>
            </w:pPr>
            <w:r>
              <w:t xml:space="preserve">*</w:t>
            </w:r>
          </w:p>
        </w:tc>
        <w:tc>
          <w:tcPr/>
          <w:p>
            <w:pPr>
              <w:pStyle w:val="Compact"/>
              <w:jc w:val="center"/>
            </w:pPr>
            <w:r>
              <w:t xml:space="preserve">[-0.549, -0.050]</w:t>
            </w:r>
          </w:p>
        </w:tc>
      </w:tr>
      <w:tr>
        <w:tc>
          <w:tcPr/>
          <w:p>
            <w:pPr>
              <w:pStyle w:val="Compact"/>
              <w:jc w:val="left"/>
            </w:pPr>
            <w:r>
              <w:t xml:space="preserve">SE ← Sex</w:t>
            </w:r>
          </w:p>
        </w:tc>
        <w:tc>
          <w:tcPr/>
          <w:p>
            <w:pPr>
              <w:pStyle w:val="Compact"/>
              <w:jc w:val="right"/>
            </w:pPr>
            <w:r>
              <w:t xml:space="preserve">0.2467</w:t>
            </w:r>
          </w:p>
        </w:tc>
        <w:tc>
          <w:tcPr/>
          <w:p>
            <w:pPr>
              <w:pStyle w:val="Compact"/>
              <w:jc w:val="right"/>
            </w:pPr>
            <w:r>
              <w:t xml:space="preserve">0.1237</w:t>
            </w:r>
          </w:p>
        </w:tc>
        <w:tc>
          <w:tcPr/>
          <w:p>
            <w:pPr>
              <w:pStyle w:val="Compact"/>
              <w:jc w:val="right"/>
            </w:pPr>
            <w:r>
              <w:t xml:space="preserve">.0462</w:t>
            </w:r>
          </w:p>
        </w:tc>
        <w:tc>
          <w:tcPr/>
          <w:p>
            <w:pPr>
              <w:pStyle w:val="Compact"/>
              <w:jc w:val="center"/>
            </w:pPr>
            <w:r>
              <w:t xml:space="preserve">*</w:t>
            </w:r>
          </w:p>
        </w:tc>
        <w:tc>
          <w:tcPr/>
          <w:p>
            <w:pPr>
              <w:pStyle w:val="Compact"/>
              <w:jc w:val="center"/>
            </w:pPr>
            <w:r>
              <w:t xml:space="preserve">[0.004, 0.494]</w:t>
            </w:r>
          </w:p>
        </w:tc>
      </w:tr>
      <w:tr>
        <w:tc>
          <w:tcPr/>
          <w:p>
            <w:pPr>
              <w:pStyle w:val="Compact"/>
              <w:jc w:val="left"/>
            </w:pPr>
            <w:r>
              <w:t xml:space="preserve">Intention ← Source</w:t>
            </w:r>
          </w:p>
        </w:tc>
        <w:tc>
          <w:tcPr/>
          <w:p>
            <w:pPr>
              <w:pStyle w:val="Compact"/>
              <w:jc w:val="right"/>
            </w:pPr>
            <w:r>
              <w:t xml:space="preserve">0.0198</w:t>
            </w:r>
          </w:p>
        </w:tc>
        <w:tc>
          <w:tcPr/>
          <w:p>
            <w:pPr>
              <w:pStyle w:val="Compact"/>
              <w:jc w:val="right"/>
            </w:pPr>
            <w:r>
              <w:t xml:space="preserve">0.0652</w:t>
            </w:r>
          </w:p>
        </w:tc>
        <w:tc>
          <w:tcPr/>
          <w:p>
            <w:pPr>
              <w:pStyle w:val="Compact"/>
              <w:jc w:val="right"/>
            </w:pPr>
            <w:r>
              <w:t xml:space="preserve">.7617</w:t>
            </w:r>
          </w:p>
        </w:tc>
        <w:tc>
          <w:tcPr/>
          <w:p>
            <w:pPr>
              <w:pStyle w:val="Compact"/>
            </w:pPr>
          </w:p>
        </w:tc>
        <w:tc>
          <w:tcPr/>
          <w:p>
            <w:pPr>
              <w:pStyle w:val="Compact"/>
              <w:jc w:val="center"/>
            </w:pPr>
            <w:r>
              <w:t xml:space="preserve">[-0.106, 0.150]</w:t>
            </w:r>
          </w:p>
        </w:tc>
      </w:tr>
      <w:tr>
        <w:tc>
          <w:tcPr/>
          <w:p>
            <w:pPr>
              <w:pStyle w:val="Compact"/>
              <w:jc w:val="left"/>
            </w:pPr>
            <w:r>
              <w:t xml:space="preserve">Intention ← Frame</w:t>
            </w:r>
          </w:p>
        </w:tc>
        <w:tc>
          <w:tcPr/>
          <w:p>
            <w:pPr>
              <w:pStyle w:val="Compact"/>
              <w:jc w:val="right"/>
            </w:pPr>
            <w:r>
              <w:t xml:space="preserve">0.0205</w:t>
            </w:r>
          </w:p>
        </w:tc>
        <w:tc>
          <w:tcPr/>
          <w:p>
            <w:pPr>
              <w:pStyle w:val="Compact"/>
              <w:jc w:val="right"/>
            </w:pPr>
            <w:r>
              <w:t xml:space="preserve">0.0593</w:t>
            </w:r>
          </w:p>
        </w:tc>
        <w:tc>
          <w:tcPr/>
          <w:p>
            <w:pPr>
              <w:pStyle w:val="Compact"/>
              <w:jc w:val="right"/>
            </w:pPr>
            <w:r>
              <w:t xml:space="preserve">.7300</w:t>
            </w:r>
          </w:p>
        </w:tc>
        <w:tc>
          <w:tcPr/>
          <w:p>
            <w:pPr>
              <w:pStyle w:val="Compact"/>
            </w:pPr>
          </w:p>
        </w:tc>
        <w:tc>
          <w:tcPr/>
          <w:p>
            <w:pPr>
              <w:pStyle w:val="Compact"/>
              <w:jc w:val="center"/>
            </w:pPr>
            <w:r>
              <w:t xml:space="preserve">[-0.098, 0.133]</w:t>
            </w:r>
          </w:p>
        </w:tc>
      </w:tr>
      <w:tr>
        <w:tc>
          <w:tcPr/>
          <w:p>
            <w:pPr>
              <w:pStyle w:val="Compact"/>
              <w:jc w:val="left"/>
            </w:pPr>
            <w:r>
              <w:t xml:space="preserve">Intention ← Attitude</w:t>
            </w:r>
          </w:p>
        </w:tc>
        <w:tc>
          <w:tcPr/>
          <w:p>
            <w:pPr>
              <w:pStyle w:val="Compact"/>
              <w:jc w:val="right"/>
            </w:pPr>
            <w:r>
              <w:t xml:space="preserve">0.6943</w:t>
            </w:r>
          </w:p>
        </w:tc>
        <w:tc>
          <w:tcPr/>
          <w:p>
            <w:pPr>
              <w:pStyle w:val="Compact"/>
              <w:jc w:val="right"/>
            </w:pPr>
            <w:r>
              <w:t xml:space="preserve">0.0807</w:t>
            </w:r>
          </w:p>
        </w:tc>
        <w:tc>
          <w:tcPr/>
          <w:p>
            <w:pPr>
              <w:pStyle w:val="Compact"/>
              <w:jc w:val="right"/>
            </w:pPr>
            <w:r>
              <w:t xml:space="preserve">&lt; .001</w:t>
            </w:r>
          </w:p>
        </w:tc>
        <w:tc>
          <w:tcPr/>
          <w:p>
            <w:pPr>
              <w:pStyle w:val="Compact"/>
              <w:jc w:val="center"/>
            </w:pPr>
            <w:r>
              <w:t xml:space="preserve">***</w:t>
            </w:r>
          </w:p>
        </w:tc>
        <w:tc>
          <w:tcPr/>
          <w:p>
            <w:pPr>
              <w:pStyle w:val="Compact"/>
              <w:jc w:val="center"/>
            </w:pPr>
            <w:r>
              <w:t xml:space="preserve">[0.517, 0.832]</w:t>
            </w:r>
          </w:p>
        </w:tc>
      </w:tr>
      <w:tr>
        <w:tc>
          <w:tcPr/>
          <w:p>
            <w:pPr>
              <w:pStyle w:val="Compact"/>
              <w:jc w:val="left"/>
            </w:pPr>
            <w:r>
              <w:t xml:space="preserve">Intention ← Trust</w:t>
            </w:r>
          </w:p>
        </w:tc>
        <w:tc>
          <w:tcPr/>
          <w:p>
            <w:pPr>
              <w:pStyle w:val="Compact"/>
              <w:jc w:val="right"/>
            </w:pPr>
            <w:r>
              <w:t xml:space="preserve">0.0269</w:t>
            </w:r>
          </w:p>
        </w:tc>
        <w:tc>
          <w:tcPr/>
          <w:p>
            <w:pPr>
              <w:pStyle w:val="Compact"/>
              <w:jc w:val="right"/>
            </w:pPr>
            <w:r>
              <w:t xml:space="preserve">0.0588</w:t>
            </w:r>
          </w:p>
        </w:tc>
        <w:tc>
          <w:tcPr/>
          <w:p>
            <w:pPr>
              <w:pStyle w:val="Compact"/>
              <w:jc w:val="right"/>
            </w:pPr>
            <w:r>
              <w:t xml:space="preserve">.6473</w:t>
            </w:r>
          </w:p>
        </w:tc>
        <w:tc>
          <w:tcPr/>
          <w:p>
            <w:pPr>
              <w:pStyle w:val="Compact"/>
            </w:pPr>
          </w:p>
        </w:tc>
        <w:tc>
          <w:tcPr/>
          <w:p>
            <w:pPr>
              <w:pStyle w:val="Compact"/>
              <w:jc w:val="center"/>
            </w:pPr>
            <w:r>
              <w:t xml:space="preserve">[-0.079, 0.153]</w:t>
            </w:r>
          </w:p>
        </w:tc>
      </w:tr>
      <w:tr>
        <w:tc>
          <w:tcPr/>
          <w:p>
            <w:pPr>
              <w:pStyle w:val="Compact"/>
              <w:jc w:val="left"/>
            </w:pPr>
            <w:r>
              <w:t xml:space="preserve">Intention ← SE</w:t>
            </w:r>
          </w:p>
        </w:tc>
        <w:tc>
          <w:tcPr/>
          <w:p>
            <w:pPr>
              <w:pStyle w:val="Compact"/>
              <w:jc w:val="right"/>
            </w:pPr>
            <w:r>
              <w:t xml:space="preserve">0.1025</w:t>
            </w:r>
          </w:p>
        </w:tc>
        <w:tc>
          <w:tcPr/>
          <w:p>
            <w:pPr>
              <w:pStyle w:val="Compact"/>
              <w:jc w:val="right"/>
            </w:pPr>
            <w:r>
              <w:t xml:space="preserve">0.0415</w:t>
            </w:r>
          </w:p>
        </w:tc>
        <w:tc>
          <w:tcPr/>
          <w:p>
            <w:pPr>
              <w:pStyle w:val="Compact"/>
              <w:jc w:val="right"/>
            </w:pPr>
            <w:r>
              <w:t xml:space="preserve">.0134</w:t>
            </w:r>
          </w:p>
        </w:tc>
        <w:tc>
          <w:tcPr/>
          <w:p>
            <w:pPr>
              <w:pStyle w:val="Compact"/>
              <w:jc w:val="center"/>
            </w:pPr>
            <w:r>
              <w:t xml:space="preserve">*</w:t>
            </w:r>
          </w:p>
        </w:tc>
        <w:tc>
          <w:tcPr/>
          <w:p>
            <w:pPr>
              <w:pStyle w:val="Compact"/>
              <w:jc w:val="center"/>
            </w:pPr>
            <w:r>
              <w:t xml:space="preserve">[0.026, 0.188]</w:t>
            </w:r>
          </w:p>
        </w:tc>
      </w:tr>
      <w:tr>
        <w:tc>
          <w:tcPr/>
          <w:p>
            <w:pPr>
              <w:pStyle w:val="Compact"/>
              <w:jc w:val="left"/>
            </w:pPr>
            <w:r>
              <w:t xml:space="preserve">Intention ← HC (centred)</w:t>
            </w:r>
          </w:p>
        </w:tc>
        <w:tc>
          <w:tcPr/>
          <w:p>
            <w:pPr>
              <w:pStyle w:val="Compact"/>
              <w:jc w:val="right"/>
            </w:pPr>
            <w:r>
              <w:t xml:space="preserve">0.1689</w:t>
            </w:r>
          </w:p>
        </w:tc>
        <w:tc>
          <w:tcPr/>
          <w:p>
            <w:pPr>
              <w:pStyle w:val="Compact"/>
              <w:jc w:val="right"/>
            </w:pPr>
            <w:r>
              <w:t xml:space="preserve">0.1034</w:t>
            </w:r>
          </w:p>
        </w:tc>
        <w:tc>
          <w:tcPr/>
          <w:p>
            <w:pPr>
              <w:pStyle w:val="Compact"/>
              <w:jc w:val="right"/>
            </w:pPr>
            <w:r>
              <w:t xml:space="preserve">.1024</w:t>
            </w:r>
          </w:p>
        </w:tc>
        <w:tc>
          <w:tcPr/>
          <w:p>
            <w:pPr>
              <w:pStyle w:val="Compact"/>
            </w:pPr>
          </w:p>
        </w:tc>
        <w:tc>
          <w:tcPr/>
          <w:p>
            <w:pPr>
              <w:pStyle w:val="Compact"/>
              <w:jc w:val="center"/>
            </w:pPr>
            <w:r>
              <w:t xml:space="preserve">[-0.022, 0.385]</w:t>
            </w:r>
          </w:p>
        </w:tc>
      </w:tr>
      <w:tr>
        <w:tc>
          <w:tcPr/>
          <w:p>
            <w:pPr>
              <w:pStyle w:val="Compact"/>
              <w:jc w:val="left"/>
            </w:pPr>
            <w:r>
              <w:t xml:space="preserve">Intention ← Source × HC</w:t>
            </w:r>
          </w:p>
        </w:tc>
        <w:tc>
          <w:tcPr/>
          <w:p>
            <w:pPr>
              <w:pStyle w:val="Compact"/>
              <w:jc w:val="right"/>
            </w:pPr>
            <w:r>
              <w:t xml:space="preserve">0.0007</w:t>
            </w:r>
          </w:p>
        </w:tc>
        <w:tc>
          <w:tcPr/>
          <w:p>
            <w:pPr>
              <w:pStyle w:val="Compact"/>
              <w:jc w:val="right"/>
            </w:pPr>
            <w:r>
              <w:t xml:space="preserve">0.1144</w:t>
            </w:r>
          </w:p>
        </w:tc>
        <w:tc>
          <w:tcPr/>
          <w:p>
            <w:pPr>
              <w:pStyle w:val="Compact"/>
              <w:jc w:val="right"/>
            </w:pPr>
            <w:r>
              <w:t xml:space="preserve">.9948</w:t>
            </w:r>
          </w:p>
        </w:tc>
        <w:tc>
          <w:tcPr/>
          <w:p>
            <w:pPr>
              <w:pStyle w:val="Compact"/>
            </w:pPr>
          </w:p>
        </w:tc>
        <w:tc>
          <w:tcPr/>
          <w:p>
            <w:pPr>
              <w:pStyle w:val="Compact"/>
              <w:jc w:val="center"/>
            </w:pPr>
            <w:r>
              <w:t xml:space="preserve">[-0.235, 0.213]</w:t>
            </w:r>
          </w:p>
        </w:tc>
      </w:tr>
      <w:tr>
        <w:tc>
          <w:tcPr/>
          <w:p>
            <w:pPr>
              <w:pStyle w:val="Compact"/>
              <w:jc w:val="left"/>
            </w:pPr>
            <w:r>
              <w:t xml:space="preserve">Intention ← Sex</w:t>
            </w:r>
          </w:p>
        </w:tc>
        <w:tc>
          <w:tcPr/>
          <w:p>
            <w:pPr>
              <w:pStyle w:val="Compact"/>
              <w:jc w:val="right"/>
            </w:pPr>
            <w:r>
              <w:t xml:space="preserve">0.0440</w:t>
            </w:r>
          </w:p>
        </w:tc>
        <w:tc>
          <w:tcPr/>
          <w:p>
            <w:pPr>
              <w:pStyle w:val="Compact"/>
              <w:jc w:val="right"/>
            </w:pPr>
            <w:r>
              <w:t xml:space="preserve">0.0590</w:t>
            </w:r>
          </w:p>
        </w:tc>
        <w:tc>
          <w:tcPr/>
          <w:p>
            <w:pPr>
              <w:pStyle w:val="Compact"/>
              <w:jc w:val="right"/>
            </w:pPr>
            <w:r>
              <w:t xml:space="preserve">.4565</w:t>
            </w:r>
          </w:p>
        </w:tc>
        <w:tc>
          <w:tcPr/>
          <w:p>
            <w:pPr>
              <w:pStyle w:val="Compact"/>
            </w:pPr>
          </w:p>
        </w:tc>
        <w:tc>
          <w:tcPr/>
          <w:p>
            <w:pPr>
              <w:pStyle w:val="Compact"/>
              <w:jc w:val="center"/>
            </w:pPr>
            <w:r>
              <w:t xml:space="preserve">[-0.074, 0.161]</w:t>
            </w:r>
          </w:p>
        </w:tc>
      </w:tr>
    </w:tbl>
    <w:p>
      <w:pPr>
        <w:pStyle w:val="BodyText"/>
      </w:pPr>
      <w:r>
        <w:rPr>
          <w:iCs/>
          <w:i/>
        </w:rPr>
        <w:t xml:space="preserve">Note.</w:t>
      </w:r>
      <w:r>
        <w:t xml:space="preserve"> </w:t>
      </w:r>
      <w:r>
        <w:t xml:space="preserve">SE = Self-efficacy; HC = Health Consciousness. *</w:t>
      </w:r>
      <w:r>
        <w:rPr>
          <w:iCs/>
          <w:i/>
        </w:rPr>
        <w:t xml:space="preserve">p</w:t>
      </w:r>
      <w:r>
        <w:t xml:space="preserve"> </w:t>
      </w:r>
      <w:r>
        <w:t xml:space="preserve">&lt; .05. ***</w:t>
      </w:r>
      <w:r>
        <w:rPr>
          <w:iCs/>
          <w:i/>
        </w:rPr>
        <w:t xml:space="preserve">p</w:t>
      </w:r>
      <w:r>
        <w:t xml:space="preserve"> </w:t>
      </w:r>
      <w:r>
        <w:t xml:space="preserve">&lt; .001.</w:t>
      </w:r>
    </w:p>
    <w:p>
      <w:pPr>
        <w:pStyle w:val="BodyText"/>
      </w:pPr>
      <w:r>
        <w:t xml:space="preserve">To test the proposed mediation hypotheses (H3–H6), indirect effects were computed as the products of the relevant a-path and b-path coefficients, with 95% confidence intervals derived via the delta method. This approach assesses whether information source and message frame influence behavioural intention</w:t>
      </w:r>
      <w:r>
        <w:t xml:space="preserve"> </w:t>
      </w:r>
      <w:r>
        <w:rPr>
          <w:iCs/>
          <w:i/>
        </w:rPr>
        <w:t xml:space="preserve">through</w:t>
      </w:r>
      <w:r>
        <w:t xml:space="preserve"> </w:t>
      </w:r>
      <w:r>
        <w:t xml:space="preserve">the hypothesised mediating mechanisms rather than directly. As presented in Table 6, the indirect effect of Information Source through Attitude on Intention (H3: Source → Attitude → Intention) was not significant (β = 0.03,</w:t>
      </w:r>
      <w:r>
        <w:t xml:space="preserve"> </w:t>
      </w:r>
      <w:r>
        <w:rPr>
          <w:iCs/>
          <w:i/>
        </w:rPr>
        <w:t xml:space="preserve">SE</w:t>
      </w:r>
      <w:r>
        <w:t xml:space="preserve"> </w:t>
      </w:r>
      <w:r>
        <w:t xml:space="preserve">= 0.06,</w:t>
      </w:r>
      <w:r>
        <w:t xml:space="preserve"> </w:t>
      </w:r>
      <w:r>
        <w:rPr>
          <w:iCs/>
          <w:i/>
        </w:rPr>
        <w:t xml:space="preserve">p</w:t>
      </w:r>
      <w:r>
        <w:t xml:space="preserve"> </w:t>
      </w:r>
      <w:r>
        <w:t xml:space="preserve">= .58, 95% CI [-0.09, 0.15]). The indirect effect of Message Frame through Attitude (H4: Frame → Attitude → Intention) was likewise non-significant (β = 0.06,</w:t>
      </w:r>
      <w:r>
        <w:t xml:space="preserve"> </w:t>
      </w:r>
      <w:r>
        <w:rPr>
          <w:iCs/>
          <w:i/>
        </w:rPr>
        <w:t xml:space="preserve">SE</w:t>
      </w:r>
      <w:r>
        <w:t xml:space="preserve"> </w:t>
      </w:r>
      <w:r>
        <w:t xml:space="preserve">= 0.06,</w:t>
      </w:r>
      <w:r>
        <w:t xml:space="preserve"> </w:t>
      </w:r>
      <w:r>
        <w:rPr>
          <w:iCs/>
          <w:i/>
        </w:rPr>
        <w:t xml:space="preserve">p</w:t>
      </w:r>
      <w:r>
        <w:t xml:space="preserve"> </w:t>
      </w:r>
      <w:r>
        <w:t xml:space="preserve">= .33, 95% CI [-0.05, 0.20]). The indirect effect of Information Source through Trust (H5: Source → Trust → Intention) was non-significant (β = -0.01,</w:t>
      </w:r>
      <w:r>
        <w:t xml:space="preserve"> </w:t>
      </w:r>
      <w:r>
        <w:rPr>
          <w:iCs/>
          <w:i/>
        </w:rPr>
        <w:t xml:space="preserve">SE</w:t>
      </w:r>
      <w:r>
        <w:t xml:space="preserve"> </w:t>
      </w:r>
      <w:r>
        <w:t xml:space="preserve">= 0.03,</w:t>
      </w:r>
      <w:r>
        <w:t xml:space="preserve"> </w:t>
      </w:r>
      <w:r>
        <w:rPr>
          <w:iCs/>
          <w:i/>
        </w:rPr>
        <w:t xml:space="preserve">p</w:t>
      </w:r>
      <w:r>
        <w:t xml:space="preserve"> </w:t>
      </w:r>
      <w:r>
        <w:t xml:space="preserve">= .64, 95% CI [-0.07, 0.04]), despite the significant Source → Trust path, because Trust itself did not significantly predict Intention (b-path</w:t>
      </w:r>
      <w:r>
        <w:t xml:space="preserve"> </w:t>
      </w:r>
      <w:r>
        <w:rPr>
          <w:iCs/>
          <w:i/>
        </w:rPr>
        <w:t xml:space="preserve">p</w:t>
      </w:r>
      <w:r>
        <w:t xml:space="preserve"> </w:t>
      </w:r>
      <w:r>
        <w:t xml:space="preserve">= .65). The indirect effect of Message Frame through Self-efficacy (H6: Frame → SE → Intention) was also non-significant (β = 0.01,</w:t>
      </w:r>
      <w:r>
        <w:t xml:space="preserve"> </w:t>
      </w:r>
      <w:r>
        <w:rPr>
          <w:iCs/>
          <w:i/>
        </w:rPr>
        <w:t xml:space="preserve">SE</w:t>
      </w:r>
      <w:r>
        <w:t xml:space="preserve"> </w:t>
      </w:r>
      <w:r>
        <w:t xml:space="preserve">= 0.01,</w:t>
      </w:r>
      <w:r>
        <w:t xml:space="preserve"> </w:t>
      </w:r>
      <w:r>
        <w:rPr>
          <w:iCs/>
          <w:i/>
        </w:rPr>
        <w:t xml:space="preserve">p</w:t>
      </w:r>
      <w:r>
        <w:t xml:space="preserve"> </w:t>
      </w:r>
      <w:r>
        <w:t xml:space="preserve">= .55, 95% CI [-0.02, 0.04]). The total indirect effects were non-significant for both Information Source (β = 0.02,</w:t>
      </w:r>
      <w:r>
        <w:t xml:space="preserve"> </w:t>
      </w:r>
      <w:r>
        <w:rPr>
          <w:iCs/>
          <w:i/>
        </w:rPr>
        <w:t xml:space="preserve">SE</w:t>
      </w:r>
      <w:r>
        <w:t xml:space="preserve"> </w:t>
      </w:r>
      <w:r>
        <w:t xml:space="preserve">= 0.07,</w:t>
      </w:r>
      <w:r>
        <w:t xml:space="preserve"> </w:t>
      </w:r>
      <w:r>
        <w:rPr>
          <w:iCs/>
          <w:i/>
        </w:rPr>
        <w:t xml:space="preserve">p</w:t>
      </w:r>
      <w:r>
        <w:t xml:space="preserve"> </w:t>
      </w:r>
      <w:r>
        <w:t xml:space="preserve">= .77, 95% CI [-0.11, 0.15]) and Message Frame (β = 0.07,</w:t>
      </w:r>
      <w:r>
        <w:t xml:space="preserve"> </w:t>
      </w:r>
      <w:r>
        <w:rPr>
          <w:iCs/>
          <w:i/>
        </w:rPr>
        <w:t xml:space="preserve">SE</w:t>
      </w:r>
      <w:r>
        <w:t xml:space="preserve"> </w:t>
      </w:r>
      <w:r>
        <w:t xml:space="preserve">= 0.07,</w:t>
      </w:r>
      <w:r>
        <w:t xml:space="preserve"> </w:t>
      </w:r>
      <w:r>
        <w:rPr>
          <w:iCs/>
          <w:i/>
        </w:rPr>
        <w:t xml:space="preserve">p</w:t>
      </w:r>
      <w:r>
        <w:t xml:space="preserve"> </w:t>
      </w:r>
      <w:r>
        <w:t xml:space="preserve">= .31, 95% CI [-0.06, 0.22]), and total effects (direct + indirect combined) were likewise non-significant (Source: β = 0.04,</w:t>
      </w:r>
      <w:r>
        <w:t xml:space="preserve"> </w:t>
      </w:r>
      <w:r>
        <w:rPr>
          <w:iCs/>
          <w:i/>
        </w:rPr>
        <w:t xml:space="preserve">SE</w:t>
      </w:r>
      <w:r>
        <w:t xml:space="preserve"> </w:t>
      </w:r>
      <w:r>
        <w:t xml:space="preserve">= 0.09,</w:t>
      </w:r>
      <w:r>
        <w:t xml:space="preserve"> </w:t>
      </w:r>
      <w:r>
        <w:rPr>
          <w:iCs/>
          <w:i/>
        </w:rPr>
        <w:t xml:space="preserve">p</w:t>
      </w:r>
      <w:r>
        <w:t xml:space="preserve"> </w:t>
      </w:r>
      <w:r>
        <w:t xml:space="preserve">= .64, 95% CI [-0.13, 0.21]; Frame: β = 0.09,</w:t>
      </w:r>
      <w:r>
        <w:t xml:space="preserve"> </w:t>
      </w:r>
      <w:r>
        <w:rPr>
          <w:iCs/>
          <w:i/>
        </w:rPr>
        <w:t xml:space="preserve">SE</w:t>
      </w:r>
      <w:r>
        <w:t xml:space="preserve"> </w:t>
      </w:r>
      <w:r>
        <w:t xml:space="preserve">= 0.09,</w:t>
      </w:r>
      <w:r>
        <w:t xml:space="preserve"> </w:t>
      </w:r>
      <w:r>
        <w:rPr>
          <w:iCs/>
          <w:i/>
        </w:rPr>
        <w:t xml:space="preserve">p</w:t>
      </w:r>
      <w:r>
        <w:t xml:space="preserve"> </w:t>
      </w:r>
      <w:r>
        <w:t xml:space="preserve">= .31, 95% CI [-0.08, 0.27]). Hypotheses 3 through 6 were therefore not supported.</w:t>
      </w:r>
    </w:p>
    <w:p>
      <w:pPr>
        <w:pStyle w:val="BodyText"/>
      </w:pPr>
      <w:r>
        <w:rPr>
          <w:bCs/>
          <w:b/>
        </w:rPr>
        <w:t xml:space="preserve">Table 6</w:t>
      </w:r>
      <w:r>
        <w:t xml:space="preserve"> </w:t>
      </w:r>
      <w:r>
        <w:rPr>
          <w:iCs/>
          <w:i/>
        </w:rPr>
        <w:t xml:space="preserve">Indirect and Total Effects</w:t>
      </w:r>
    </w:p>
    <w:tbl>
      <w:tblPr>
        <w:tblStyle w:val="Table"/>
        <w:tblW w:type="pct" w:w="5000"/>
        <w:tblLook w:firstRow="1" w:lastRow="0" w:firstColumn="0" w:lastColumn="0" w:noHBand="0" w:noVBand="0" w:val="0020"/>
        <w:jc w:val="start"/>
      </w:tblPr>
      <w:tblGrid>
        <w:gridCol w:w="1508"/>
        <w:gridCol w:w="1320"/>
        <w:gridCol w:w="1320"/>
        <w:gridCol w:w="1320"/>
        <w:gridCol w:w="942"/>
        <w:gridCol w:w="1508"/>
      </w:tblGrid>
      <w:tr>
        <w:trPr>
          <w:tblHeader w:val="true"/>
        </w:trPr>
        <w:tc>
          <w:tcPr/>
          <w:p>
            <w:pPr>
              <w:pStyle w:val="Compact"/>
              <w:jc w:val="left"/>
            </w:pPr>
            <w:r>
              <w:t xml:space="preserve">Effect</w:t>
            </w:r>
          </w:p>
        </w:tc>
        <w:tc>
          <w:tcPr/>
          <w:p>
            <w:pPr>
              <w:pStyle w:val="Compact"/>
              <w:jc w:val="right"/>
            </w:pPr>
            <w:r>
              <w:t xml:space="preserve">β</w:t>
            </w:r>
          </w:p>
        </w:tc>
        <w:tc>
          <w:tcPr/>
          <w:p>
            <w:pPr>
              <w:pStyle w:val="Compact"/>
              <w:jc w:val="right"/>
            </w:pPr>
            <w:r>
              <w:rPr>
                <w:iCs/>
                <w:i/>
              </w:rPr>
              <w:t xml:space="preserve">SE</w:t>
            </w:r>
          </w:p>
        </w:tc>
        <w:tc>
          <w:tcPr/>
          <w:p>
            <w:pPr>
              <w:pStyle w:val="Compact"/>
              <w:jc w:val="right"/>
            </w:pPr>
            <w:r>
              <w:rPr>
                <w:iCs/>
                <w:i/>
              </w:rPr>
              <w:t xml:space="preserve">p</w:t>
            </w:r>
          </w:p>
        </w:tc>
        <w:tc>
          <w:tcPr/>
          <w:p>
            <w:pPr>
              <w:pStyle w:val="Compact"/>
              <w:jc w:val="center"/>
            </w:pPr>
            <w:r>
              <w:t xml:space="preserve">Sig</w:t>
            </w:r>
          </w:p>
        </w:tc>
        <w:tc>
          <w:tcPr/>
          <w:p>
            <w:pPr>
              <w:pStyle w:val="Compact"/>
              <w:jc w:val="center"/>
            </w:pPr>
            <w:r>
              <w:t xml:space="preserve">95% CI</w:t>
            </w:r>
          </w:p>
        </w:tc>
      </w:tr>
      <w:tr>
        <w:tc>
          <w:tcPr/>
          <w:p>
            <w:pPr>
              <w:pStyle w:val="Compact"/>
              <w:jc w:val="left"/>
            </w:pPr>
            <w:r>
              <w:t xml:space="preserve">H3: Source → Attitude → Intention</w:t>
            </w:r>
          </w:p>
        </w:tc>
        <w:tc>
          <w:tcPr/>
          <w:p>
            <w:pPr>
              <w:pStyle w:val="Compact"/>
              <w:jc w:val="right"/>
            </w:pPr>
            <w:r>
              <w:t xml:space="preserve">0.0332</w:t>
            </w:r>
          </w:p>
        </w:tc>
        <w:tc>
          <w:tcPr/>
          <w:p>
            <w:pPr>
              <w:pStyle w:val="Compact"/>
              <w:jc w:val="right"/>
            </w:pPr>
            <w:r>
              <w:t xml:space="preserve">0.0606</w:t>
            </w:r>
          </w:p>
        </w:tc>
        <w:tc>
          <w:tcPr/>
          <w:p>
            <w:pPr>
              <w:pStyle w:val="Compact"/>
              <w:jc w:val="right"/>
            </w:pPr>
            <w:r>
              <w:t xml:space="preserve">.5837</w:t>
            </w:r>
          </w:p>
        </w:tc>
        <w:tc>
          <w:tcPr/>
          <w:p>
            <w:pPr>
              <w:pStyle w:val="Compact"/>
            </w:pPr>
          </w:p>
        </w:tc>
        <w:tc>
          <w:tcPr/>
          <w:p>
            <w:pPr>
              <w:pStyle w:val="Compact"/>
              <w:jc w:val="center"/>
            </w:pPr>
            <w:r>
              <w:t xml:space="preserve">[-0.090, 0.152]</w:t>
            </w:r>
          </w:p>
        </w:tc>
      </w:tr>
      <w:tr>
        <w:tc>
          <w:tcPr/>
          <w:p>
            <w:pPr>
              <w:pStyle w:val="Compact"/>
              <w:jc w:val="left"/>
            </w:pPr>
            <w:r>
              <w:t xml:space="preserve">H4: Frame → Attitude → Intention</w:t>
            </w:r>
          </w:p>
        </w:tc>
        <w:tc>
          <w:tcPr/>
          <w:p>
            <w:pPr>
              <w:pStyle w:val="Compact"/>
              <w:jc w:val="right"/>
            </w:pPr>
            <w:r>
              <w:t xml:space="preserve">0.0614</w:t>
            </w:r>
          </w:p>
        </w:tc>
        <w:tc>
          <w:tcPr/>
          <w:p>
            <w:pPr>
              <w:pStyle w:val="Compact"/>
              <w:jc w:val="right"/>
            </w:pPr>
            <w:r>
              <w:t xml:space="preserve">0.0626</w:t>
            </w:r>
          </w:p>
        </w:tc>
        <w:tc>
          <w:tcPr/>
          <w:p>
            <w:pPr>
              <w:pStyle w:val="Compact"/>
              <w:jc w:val="right"/>
            </w:pPr>
            <w:r>
              <w:t xml:space="preserve">.3268</w:t>
            </w:r>
          </w:p>
        </w:tc>
        <w:tc>
          <w:tcPr/>
          <w:p>
            <w:pPr>
              <w:pStyle w:val="Compact"/>
            </w:pPr>
          </w:p>
        </w:tc>
        <w:tc>
          <w:tcPr/>
          <w:p>
            <w:pPr>
              <w:pStyle w:val="Compact"/>
              <w:jc w:val="center"/>
            </w:pPr>
            <w:r>
              <w:t xml:space="preserve">[-0.050, 0.197]</w:t>
            </w:r>
          </w:p>
        </w:tc>
      </w:tr>
      <w:tr>
        <w:tc>
          <w:tcPr/>
          <w:p>
            <w:pPr>
              <w:pStyle w:val="Compact"/>
              <w:jc w:val="left"/>
            </w:pPr>
            <w:r>
              <w:t xml:space="preserve">H5: Source → Trust → Intention</w:t>
            </w:r>
          </w:p>
        </w:tc>
        <w:tc>
          <w:tcPr/>
          <w:p>
            <w:pPr>
              <w:pStyle w:val="Compact"/>
              <w:jc w:val="right"/>
            </w:pPr>
            <w:r>
              <w:t xml:space="preserve">-0.0133</w:t>
            </w:r>
          </w:p>
        </w:tc>
        <w:tc>
          <w:tcPr/>
          <w:p>
            <w:pPr>
              <w:pStyle w:val="Compact"/>
              <w:jc w:val="right"/>
            </w:pPr>
            <w:r>
              <w:t xml:space="preserve">0.0286</w:t>
            </w:r>
          </w:p>
        </w:tc>
        <w:tc>
          <w:tcPr/>
          <w:p>
            <w:pPr>
              <w:pStyle w:val="Compact"/>
              <w:jc w:val="right"/>
            </w:pPr>
            <w:r>
              <w:t xml:space="preserve">.6412</w:t>
            </w:r>
          </w:p>
        </w:tc>
        <w:tc>
          <w:tcPr/>
          <w:p>
            <w:pPr>
              <w:pStyle w:val="Compact"/>
            </w:pPr>
          </w:p>
        </w:tc>
        <w:tc>
          <w:tcPr/>
          <w:p>
            <w:pPr>
              <w:pStyle w:val="Compact"/>
              <w:jc w:val="center"/>
            </w:pPr>
            <w:r>
              <w:t xml:space="preserve">[-0.073, 0.041]</w:t>
            </w:r>
          </w:p>
        </w:tc>
      </w:tr>
      <w:tr>
        <w:tc>
          <w:tcPr/>
          <w:p>
            <w:pPr>
              <w:pStyle w:val="Compact"/>
              <w:jc w:val="left"/>
            </w:pPr>
            <w:r>
              <w:t xml:space="preserve">H6: Frame → SE → Intention</w:t>
            </w:r>
          </w:p>
        </w:tc>
        <w:tc>
          <w:tcPr/>
          <w:p>
            <w:pPr>
              <w:pStyle w:val="Compact"/>
              <w:jc w:val="right"/>
            </w:pPr>
            <w:r>
              <w:t xml:space="preserve">0.0086</w:t>
            </w:r>
          </w:p>
        </w:tc>
        <w:tc>
          <w:tcPr/>
          <w:p>
            <w:pPr>
              <w:pStyle w:val="Compact"/>
              <w:jc w:val="right"/>
            </w:pPr>
            <w:r>
              <w:t xml:space="preserve">0.0144</w:t>
            </w:r>
          </w:p>
        </w:tc>
        <w:tc>
          <w:tcPr/>
          <w:p>
            <w:pPr>
              <w:pStyle w:val="Compact"/>
              <w:jc w:val="right"/>
            </w:pPr>
            <w:r>
              <w:t xml:space="preserve">.5496</w:t>
            </w:r>
          </w:p>
        </w:tc>
        <w:tc>
          <w:tcPr/>
          <w:p>
            <w:pPr>
              <w:pStyle w:val="Compact"/>
            </w:pPr>
          </w:p>
        </w:tc>
        <w:tc>
          <w:tcPr/>
          <w:p>
            <w:pPr>
              <w:pStyle w:val="Compact"/>
              <w:jc w:val="center"/>
            </w:pPr>
            <w:r>
              <w:t xml:space="preserve">[-0.019, 0.039]</w:t>
            </w:r>
          </w:p>
        </w:tc>
      </w:tr>
      <w:tr>
        <w:tc>
          <w:tcPr/>
          <w:p>
            <w:pPr>
              <w:pStyle w:val="Compact"/>
              <w:jc w:val="left"/>
            </w:pPr>
            <w:r>
              <w:t xml:space="preserve">Total indirect (Source)</w:t>
            </w:r>
          </w:p>
        </w:tc>
        <w:tc>
          <w:tcPr/>
          <w:p>
            <w:pPr>
              <w:pStyle w:val="Compact"/>
              <w:jc w:val="right"/>
            </w:pPr>
            <w:r>
              <w:t xml:space="preserve">0.0199</w:t>
            </w:r>
          </w:p>
        </w:tc>
        <w:tc>
          <w:tcPr/>
          <w:p>
            <w:pPr>
              <w:pStyle w:val="Compact"/>
              <w:jc w:val="right"/>
            </w:pPr>
            <w:r>
              <w:t xml:space="preserve">0.0670</w:t>
            </w:r>
          </w:p>
        </w:tc>
        <w:tc>
          <w:tcPr/>
          <w:p>
            <w:pPr>
              <w:pStyle w:val="Compact"/>
              <w:jc w:val="right"/>
            </w:pPr>
            <w:r>
              <w:t xml:space="preserve">.7665</w:t>
            </w:r>
          </w:p>
        </w:tc>
        <w:tc>
          <w:tcPr/>
          <w:p>
            <w:pPr>
              <w:pStyle w:val="Compact"/>
            </w:pPr>
          </w:p>
        </w:tc>
        <w:tc>
          <w:tcPr/>
          <w:p>
            <w:pPr>
              <w:pStyle w:val="Compact"/>
              <w:jc w:val="center"/>
            </w:pPr>
            <w:r>
              <w:t xml:space="preserve">[-0.114, 0.149]</w:t>
            </w:r>
          </w:p>
        </w:tc>
      </w:tr>
      <w:tr>
        <w:tc>
          <w:tcPr/>
          <w:p>
            <w:pPr>
              <w:pStyle w:val="Compact"/>
              <w:jc w:val="left"/>
            </w:pPr>
            <w:r>
              <w:t xml:space="preserve">Total indirect (Frame)</w:t>
            </w:r>
          </w:p>
        </w:tc>
        <w:tc>
          <w:tcPr/>
          <w:p>
            <w:pPr>
              <w:pStyle w:val="Compact"/>
              <w:jc w:val="right"/>
            </w:pPr>
            <w:r>
              <w:t xml:space="preserve">0.0700</w:t>
            </w:r>
          </w:p>
        </w:tc>
        <w:tc>
          <w:tcPr/>
          <w:p>
            <w:pPr>
              <w:pStyle w:val="Compact"/>
              <w:jc w:val="right"/>
            </w:pPr>
            <w:r>
              <w:t xml:space="preserve">0.0692</w:t>
            </w:r>
          </w:p>
        </w:tc>
        <w:tc>
          <w:tcPr/>
          <w:p>
            <w:pPr>
              <w:pStyle w:val="Compact"/>
              <w:jc w:val="right"/>
            </w:pPr>
            <w:r>
              <w:t xml:space="preserve">.3120</w:t>
            </w:r>
          </w:p>
        </w:tc>
        <w:tc>
          <w:tcPr/>
          <w:p>
            <w:pPr>
              <w:pStyle w:val="Compact"/>
            </w:pPr>
          </w:p>
        </w:tc>
        <w:tc>
          <w:tcPr/>
          <w:p>
            <w:pPr>
              <w:pStyle w:val="Compact"/>
              <w:jc w:val="center"/>
            </w:pPr>
            <w:r>
              <w:t xml:space="preserve">[-0.057, 0.216]</w:t>
            </w:r>
          </w:p>
        </w:tc>
      </w:tr>
      <w:tr>
        <w:tc>
          <w:tcPr/>
          <w:p>
            <w:pPr>
              <w:pStyle w:val="Compact"/>
              <w:jc w:val="left"/>
            </w:pPr>
            <w:r>
              <w:t xml:space="preserve">Total effect (Source)</w:t>
            </w:r>
          </w:p>
        </w:tc>
        <w:tc>
          <w:tcPr/>
          <w:p>
            <w:pPr>
              <w:pStyle w:val="Compact"/>
              <w:jc w:val="right"/>
            </w:pPr>
            <w:r>
              <w:t xml:space="preserve">0.0397</w:t>
            </w:r>
          </w:p>
        </w:tc>
        <w:tc>
          <w:tcPr/>
          <w:p>
            <w:pPr>
              <w:pStyle w:val="Compact"/>
              <w:jc w:val="right"/>
            </w:pPr>
            <w:r>
              <w:t xml:space="preserve">0.0857</w:t>
            </w:r>
          </w:p>
        </w:tc>
        <w:tc>
          <w:tcPr/>
          <w:p>
            <w:pPr>
              <w:pStyle w:val="Compact"/>
              <w:jc w:val="right"/>
            </w:pPr>
            <w:r>
              <w:t xml:space="preserve">.6435</w:t>
            </w:r>
          </w:p>
        </w:tc>
        <w:tc>
          <w:tcPr/>
          <w:p>
            <w:pPr>
              <w:pStyle w:val="Compact"/>
            </w:pPr>
          </w:p>
        </w:tc>
        <w:tc>
          <w:tcPr/>
          <w:p>
            <w:pPr>
              <w:pStyle w:val="Compact"/>
              <w:jc w:val="center"/>
            </w:pPr>
            <w:r>
              <w:t xml:space="preserve">[-0.128, 0.205]</w:t>
            </w:r>
          </w:p>
        </w:tc>
      </w:tr>
      <w:tr>
        <w:tc>
          <w:tcPr/>
          <w:p>
            <w:pPr>
              <w:pStyle w:val="Compact"/>
              <w:jc w:val="left"/>
            </w:pPr>
            <w:r>
              <w:t xml:space="preserve">Total effect (Frame)</w:t>
            </w:r>
          </w:p>
        </w:tc>
        <w:tc>
          <w:tcPr/>
          <w:p>
            <w:pPr>
              <w:pStyle w:val="Compact"/>
              <w:jc w:val="right"/>
            </w:pPr>
            <w:r>
              <w:t xml:space="preserve">0.0904</w:t>
            </w:r>
          </w:p>
        </w:tc>
        <w:tc>
          <w:tcPr/>
          <w:p>
            <w:pPr>
              <w:pStyle w:val="Compact"/>
              <w:jc w:val="right"/>
            </w:pPr>
            <w:r>
              <w:t xml:space="preserve">0.0892</w:t>
            </w:r>
          </w:p>
        </w:tc>
        <w:tc>
          <w:tcPr/>
          <w:p>
            <w:pPr>
              <w:pStyle w:val="Compact"/>
              <w:jc w:val="right"/>
            </w:pPr>
            <w:r>
              <w:t xml:space="preserve">.3108</w:t>
            </w:r>
          </w:p>
        </w:tc>
        <w:tc>
          <w:tcPr/>
          <w:p>
            <w:pPr>
              <w:pStyle w:val="Compact"/>
            </w:pPr>
          </w:p>
        </w:tc>
        <w:tc>
          <w:tcPr/>
          <w:p>
            <w:pPr>
              <w:pStyle w:val="Compact"/>
              <w:jc w:val="center"/>
            </w:pPr>
            <w:r>
              <w:t xml:space="preserve">[-0.085, 0.265]</w:t>
            </w:r>
          </w:p>
        </w:tc>
      </w:tr>
    </w:tbl>
    <w:p>
      <w:pPr>
        <w:pStyle w:val="BodyText"/>
      </w:pPr>
      <w:r>
        <w:rPr>
          <w:iCs/>
          <w:i/>
        </w:rPr>
        <w:t xml:space="preserve">Note.</w:t>
      </w:r>
      <w:r>
        <w:t xml:space="preserve"> </w:t>
      </w:r>
      <w:r>
        <w:t xml:space="preserve">*</w:t>
      </w:r>
      <w:r>
        <w:rPr>
          <w:iCs/>
          <w:i/>
        </w:rPr>
        <w:t xml:space="preserve">p</w:t>
      </w:r>
      <w:r>
        <w:t xml:space="preserve"> </w:t>
      </w:r>
      <w:r>
        <w:t xml:space="preserve">&lt; .05. ***</w:t>
      </w:r>
      <w:r>
        <w:rPr>
          <w:iCs/>
          <w:i/>
        </w:rPr>
        <w:t xml:space="preserve">p</w:t>
      </w:r>
      <w:r>
        <w:t xml:space="preserve"> </w:t>
      </w:r>
      <w:r>
        <w:t xml:space="preserve">&lt; .001.</w:t>
      </w:r>
    </w:p>
    <w:p>
      <w:pPr>
        <w:pStyle w:val="BodyText"/>
      </w:pPr>
      <w:r>
        <w:t xml:space="preserve">To test Hypothesis 7—that health consciousness moderates the information source effect on exercise intention, with stronger effects for those with low health consciousness—two ordinary least squares (OLS) regression models were estimated. This two-model approach was adopted to distinguish between moderation of the direct effect (controlling for mediators) and moderation of the total effect (without mediator controls), because the moderating influence of health consciousness may operate at different levels of the causal chain. The first model (Table 7) tested whether the Source × Health Consciousness interaction predicted Intention while controlling for Attitude, Trust, Self-efficacy, Frame, and Sex. The interaction term was not significant (β = 0.001,</w:t>
      </w:r>
      <w:r>
        <w:t xml:space="preserve"> </w:t>
      </w:r>
      <w:r>
        <w:rPr>
          <w:iCs/>
          <w:i/>
        </w:rPr>
        <w:t xml:space="preserve">SE</w:t>
      </w:r>
      <w:r>
        <w:t xml:space="preserve"> </w:t>
      </w:r>
      <w:r>
        <w:t xml:space="preserve">= 0.11,</w:t>
      </w:r>
      <w:r>
        <w:t xml:space="preserve"> </w:t>
      </w:r>
      <w:r>
        <w:rPr>
          <w:iCs/>
          <w:i/>
        </w:rPr>
        <w:t xml:space="preserve">t</w:t>
      </w:r>
      <w:r>
        <w:t xml:space="preserve"> </w:t>
      </w:r>
      <w:r>
        <w:t xml:space="preserve">= 0.007,</w:t>
      </w:r>
      <w:r>
        <w:t xml:space="preserve"> </w:t>
      </w:r>
      <w:r>
        <w:rPr>
          <w:iCs/>
          <w:i/>
        </w:rPr>
        <w:t xml:space="preserve">p</w:t>
      </w:r>
      <w:r>
        <w:t xml:space="preserve"> </w:t>
      </w:r>
      <w:r>
        <w:t xml:space="preserve">= .99), indicating that health consciousness did not moderate the direct effect of information source on intention after accounting for the mediating variables. The second model (Table 8) tested the same interaction on the total effect of Source on Intention—without mediator controls—to assess whether health consciousness moderates the overall influence of information source, including portions transmitted through trust, attitude, and self-efficacy. Here, the Source × Health Consciousness interaction was significant (β = -0.39,</w:t>
      </w:r>
      <w:r>
        <w:t xml:space="preserve"> </w:t>
      </w:r>
      <w:r>
        <w:rPr>
          <w:iCs/>
          <w:i/>
        </w:rPr>
        <w:t xml:space="preserve">SE</w:t>
      </w:r>
      <w:r>
        <w:t xml:space="preserve"> </w:t>
      </w:r>
      <w:r>
        <w:t xml:space="preserve">= 0.14,</w:t>
      </w:r>
      <w:r>
        <w:t xml:space="preserve"> </w:t>
      </w:r>
      <w:r>
        <w:rPr>
          <w:iCs/>
          <w:i/>
        </w:rPr>
        <w:t xml:space="preserve">t</w:t>
      </w:r>
      <w:r>
        <w:t xml:space="preserve"> </w:t>
      </w:r>
      <w:r>
        <w:t xml:space="preserve">= -2.86,</w:t>
      </w:r>
      <w:r>
        <w:t xml:space="preserve"> </w:t>
      </w:r>
      <w:r>
        <w:rPr>
          <w:iCs/>
          <w:i/>
        </w:rPr>
        <w:t xml:space="preserve">p</w:t>
      </w:r>
      <w:r>
        <w:t xml:space="preserve"> </w:t>
      </w:r>
      <w:r>
        <w:t xml:space="preserve">= .005), demonstrating that health consciousness moderated the total effect of information source on behavioural intention. The negative interaction coefficient indicates that the information source effect was attenuated among individuals with higher health consciousness: for those low in health consciousness (1</w:t>
      </w:r>
      <w:r>
        <w:t xml:space="preserve"> </w:t>
      </w:r>
      <w:r>
        <w:rPr>
          <w:iCs/>
          <w:i/>
        </w:rPr>
        <w:t xml:space="preserve">SD</w:t>
      </w:r>
      <w:r>
        <w:t xml:space="preserve"> </w:t>
      </w:r>
      <w:r>
        <w:t xml:space="preserve">below the mean), information source exerted a larger differentiating effect on intention, whereas for those high in health consciousness (1</w:t>
      </w:r>
      <w:r>
        <w:t xml:space="preserve"> </w:t>
      </w:r>
      <w:r>
        <w:rPr>
          <w:iCs/>
          <w:i/>
        </w:rPr>
        <w:t xml:space="preserve">SD</w:t>
      </w:r>
      <w:r>
        <w:t xml:space="preserve"> </w:t>
      </w:r>
      <w:r>
        <w:t xml:space="preserve">above the mean), the source-based differences in intention were substantially reduced. Hypothesis 7 was therefore supported.</w:t>
      </w:r>
    </w:p>
    <w:p>
      <w:pPr>
        <w:pStyle w:val="BodyText"/>
      </w:pPr>
      <w:r>
        <w:rPr>
          <w:bCs/>
          <w:b/>
        </w:rPr>
        <w:t xml:space="preserve">Table 7</w:t>
      </w:r>
      <w:r>
        <w:t xml:space="preserve"> </w:t>
      </w:r>
      <w:r>
        <w:rPr>
          <w:iCs/>
          <w:i/>
        </w:rPr>
        <w:t xml:space="preserve">Moderation Analysis: Direct Effect of Source on Intention (Controlling for Mediators)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Predictor</w:t>
            </w:r>
          </w:p>
        </w:tc>
        <w:tc>
          <w:tcPr/>
          <w:p>
            <w:pPr>
              <w:pStyle w:val="Compact"/>
              <w:jc w:val="right"/>
            </w:pPr>
            <w:r>
              <w:t xml:space="preserve">β</w:t>
            </w:r>
          </w:p>
        </w:tc>
        <w:tc>
          <w:tcPr/>
          <w:p>
            <w:pPr>
              <w:pStyle w:val="Compact"/>
              <w:jc w:val="right"/>
            </w:pPr>
            <w:r>
              <w:rPr>
                <w:iCs/>
                <w:i/>
              </w:rPr>
              <w:t xml:space="preserve">SE</w:t>
            </w:r>
          </w:p>
        </w:tc>
        <w:tc>
          <w:tcPr/>
          <w:p>
            <w:pPr>
              <w:pStyle w:val="Compact"/>
              <w:jc w:val="right"/>
            </w:pPr>
            <w:r>
              <w:rPr>
                <w:iCs/>
                <w:i/>
              </w:rPr>
              <w:t xml:space="preserve">t</w:t>
            </w:r>
          </w:p>
        </w:tc>
        <w:tc>
          <w:tcPr/>
          <w:p>
            <w:pPr>
              <w:pStyle w:val="Compact"/>
              <w:jc w:val="right"/>
            </w:pPr>
            <w:r>
              <w:rPr>
                <w:iCs/>
                <w:i/>
              </w:rPr>
              <w:t xml:space="preserve">p</w:t>
            </w:r>
          </w:p>
        </w:tc>
        <w:tc>
          <w:tcPr/>
          <w:p>
            <w:pPr>
              <w:pStyle w:val="Compact"/>
              <w:jc w:val="center"/>
            </w:pPr>
            <w:r>
              <w:t xml:space="preserve">Sig</w:t>
            </w:r>
          </w:p>
        </w:tc>
      </w:tr>
      <w:tr>
        <w:tc>
          <w:tcPr/>
          <w:p>
            <w:pPr>
              <w:pStyle w:val="Compact"/>
              <w:jc w:val="left"/>
            </w:pPr>
            <w:r>
              <w:t xml:space="preserve">(Intercept)</w:t>
            </w:r>
          </w:p>
        </w:tc>
        <w:tc>
          <w:tcPr/>
          <w:p>
            <w:pPr>
              <w:pStyle w:val="Compact"/>
              <w:jc w:val="right"/>
            </w:pPr>
            <w:r>
              <w:t xml:space="preserve">0.8309</w:t>
            </w:r>
          </w:p>
        </w:tc>
        <w:tc>
          <w:tcPr/>
          <w:p>
            <w:pPr>
              <w:pStyle w:val="Compact"/>
              <w:jc w:val="right"/>
            </w:pPr>
            <w:r>
              <w:t xml:space="preserve">0.4665</w:t>
            </w:r>
          </w:p>
        </w:tc>
        <w:tc>
          <w:tcPr/>
          <w:p>
            <w:pPr>
              <w:pStyle w:val="Compact"/>
              <w:jc w:val="right"/>
            </w:pPr>
            <w:r>
              <w:t xml:space="preserve">1.781</w:t>
            </w:r>
          </w:p>
        </w:tc>
        <w:tc>
          <w:tcPr/>
          <w:p>
            <w:pPr>
              <w:pStyle w:val="Compact"/>
              <w:jc w:val="right"/>
            </w:pPr>
            <w:r>
              <w:t xml:space="preserve">.0765</w:t>
            </w:r>
          </w:p>
        </w:tc>
        <w:tc>
          <w:tcPr/>
          <w:p>
            <w:pPr>
              <w:pStyle w:val="Compact"/>
            </w:pPr>
          </w:p>
        </w:tc>
      </w:tr>
      <w:tr>
        <w:tc>
          <w:tcPr/>
          <w:p>
            <w:pPr>
              <w:pStyle w:val="Compact"/>
              <w:jc w:val="left"/>
            </w:pPr>
            <w:r>
              <w:t xml:space="preserve">Source</w:t>
            </w:r>
          </w:p>
        </w:tc>
        <w:tc>
          <w:tcPr/>
          <w:p>
            <w:pPr>
              <w:pStyle w:val="Compact"/>
              <w:jc w:val="right"/>
            </w:pPr>
            <w:r>
              <w:t xml:space="preserve">0.0198</w:t>
            </w:r>
          </w:p>
        </w:tc>
        <w:tc>
          <w:tcPr/>
          <w:p>
            <w:pPr>
              <w:pStyle w:val="Compact"/>
              <w:jc w:val="right"/>
            </w:pPr>
            <w:r>
              <w:t xml:space="preserve">0.0657</w:t>
            </w:r>
          </w:p>
        </w:tc>
        <w:tc>
          <w:tcPr/>
          <w:p>
            <w:pPr>
              <w:pStyle w:val="Compact"/>
              <w:jc w:val="right"/>
            </w:pPr>
            <w:r>
              <w:t xml:space="preserve">0.301</w:t>
            </w:r>
          </w:p>
        </w:tc>
        <w:tc>
          <w:tcPr/>
          <w:p>
            <w:pPr>
              <w:pStyle w:val="Compact"/>
              <w:jc w:val="right"/>
            </w:pPr>
            <w:r>
              <w:t xml:space="preserve">.7638</w:t>
            </w:r>
          </w:p>
        </w:tc>
        <w:tc>
          <w:tcPr/>
          <w:p>
            <w:pPr>
              <w:pStyle w:val="Compact"/>
            </w:pPr>
          </w:p>
        </w:tc>
      </w:tr>
      <w:tr>
        <w:tc>
          <w:tcPr/>
          <w:p>
            <w:pPr>
              <w:pStyle w:val="Compact"/>
              <w:jc w:val="left"/>
            </w:pPr>
            <w:r>
              <w:t xml:space="preserve">HC (centred)</w:t>
            </w:r>
          </w:p>
        </w:tc>
        <w:tc>
          <w:tcPr/>
          <w:p>
            <w:pPr>
              <w:pStyle w:val="Compact"/>
              <w:jc w:val="right"/>
            </w:pPr>
            <w:r>
              <w:t xml:space="preserve">0.1689</w:t>
            </w:r>
          </w:p>
        </w:tc>
        <w:tc>
          <w:tcPr/>
          <w:p>
            <w:pPr>
              <w:pStyle w:val="Compact"/>
              <w:jc w:val="right"/>
            </w:pPr>
            <w:r>
              <w:t xml:space="preserve">0.0957</w:t>
            </w:r>
          </w:p>
        </w:tc>
        <w:tc>
          <w:tcPr/>
          <w:p>
            <w:pPr>
              <w:pStyle w:val="Compact"/>
              <w:jc w:val="right"/>
            </w:pPr>
            <w:r>
              <w:t xml:space="preserve">1.765</w:t>
            </w:r>
          </w:p>
        </w:tc>
        <w:tc>
          <w:tcPr/>
          <w:p>
            <w:pPr>
              <w:pStyle w:val="Compact"/>
              <w:jc w:val="right"/>
            </w:pPr>
            <w:r>
              <w:t xml:space="preserve">.0792</w:t>
            </w:r>
          </w:p>
        </w:tc>
        <w:tc>
          <w:tcPr/>
          <w:p>
            <w:pPr>
              <w:pStyle w:val="Compact"/>
            </w:pPr>
          </w:p>
        </w:tc>
      </w:tr>
      <w:tr>
        <w:tc>
          <w:tcPr/>
          <w:p>
            <w:pPr>
              <w:pStyle w:val="Compact"/>
              <w:jc w:val="left"/>
            </w:pPr>
            <w:r>
              <w:t xml:space="preserve">Frame</w:t>
            </w:r>
          </w:p>
        </w:tc>
        <w:tc>
          <w:tcPr/>
          <w:p>
            <w:pPr>
              <w:pStyle w:val="Compact"/>
              <w:jc w:val="right"/>
            </w:pPr>
            <w:r>
              <w:t xml:space="preserve">0.0205</w:t>
            </w:r>
          </w:p>
        </w:tc>
        <w:tc>
          <w:tcPr/>
          <w:p>
            <w:pPr>
              <w:pStyle w:val="Compact"/>
              <w:jc w:val="right"/>
            </w:pPr>
            <w:r>
              <w:t xml:space="preserve">0.0602</w:t>
            </w:r>
          </w:p>
        </w:tc>
        <w:tc>
          <w:tcPr/>
          <w:p>
            <w:pPr>
              <w:pStyle w:val="Compact"/>
              <w:jc w:val="right"/>
            </w:pPr>
            <w:r>
              <w:t xml:space="preserve">0.340</w:t>
            </w:r>
          </w:p>
        </w:tc>
        <w:tc>
          <w:tcPr/>
          <w:p>
            <w:pPr>
              <w:pStyle w:val="Compact"/>
              <w:jc w:val="right"/>
            </w:pPr>
            <w:r>
              <w:t xml:space="preserve">.7342</w:t>
            </w:r>
          </w:p>
        </w:tc>
        <w:tc>
          <w:tcPr/>
          <w:p>
            <w:pPr>
              <w:pStyle w:val="Compact"/>
            </w:pPr>
          </w:p>
        </w:tc>
      </w:tr>
      <w:tr>
        <w:tc>
          <w:tcPr/>
          <w:p>
            <w:pPr>
              <w:pStyle w:val="Compact"/>
              <w:jc w:val="left"/>
            </w:pPr>
            <w:r>
              <w:t xml:space="preserve">Attitude</w:t>
            </w:r>
          </w:p>
        </w:tc>
        <w:tc>
          <w:tcPr/>
          <w:p>
            <w:pPr>
              <w:pStyle w:val="Compact"/>
              <w:jc w:val="right"/>
            </w:pPr>
            <w:r>
              <w:t xml:space="preserve">0.6943</w:t>
            </w:r>
          </w:p>
        </w:tc>
        <w:tc>
          <w:tcPr/>
          <w:p>
            <w:pPr>
              <w:pStyle w:val="Compact"/>
              <w:jc w:val="right"/>
            </w:pPr>
            <w:r>
              <w:t xml:space="preserve">0.0630</w:t>
            </w:r>
          </w:p>
        </w:tc>
        <w:tc>
          <w:tcPr/>
          <w:p>
            <w:pPr>
              <w:pStyle w:val="Compact"/>
              <w:jc w:val="right"/>
            </w:pPr>
            <w:r>
              <w:t xml:space="preserve">11.023</w:t>
            </w:r>
          </w:p>
        </w:tc>
        <w:tc>
          <w:tcPr/>
          <w:p>
            <w:pPr>
              <w:pStyle w:val="Compact"/>
              <w:jc w:val="right"/>
            </w:pPr>
            <w:r>
              <w:t xml:space="preserve">&lt; .001</w:t>
            </w:r>
          </w:p>
        </w:tc>
        <w:tc>
          <w:tcPr/>
          <w:p>
            <w:pPr>
              <w:pStyle w:val="Compact"/>
              <w:jc w:val="center"/>
            </w:pPr>
            <w:r>
              <w:t xml:space="preserve">***</w:t>
            </w:r>
          </w:p>
        </w:tc>
      </w:tr>
      <w:tr>
        <w:tc>
          <w:tcPr/>
          <w:p>
            <w:pPr>
              <w:pStyle w:val="Compact"/>
              <w:jc w:val="left"/>
            </w:pPr>
            <w:r>
              <w:t xml:space="preserve">Trust</w:t>
            </w:r>
          </w:p>
        </w:tc>
        <w:tc>
          <w:tcPr/>
          <w:p>
            <w:pPr>
              <w:pStyle w:val="Compact"/>
              <w:jc w:val="right"/>
            </w:pPr>
            <w:r>
              <w:t xml:space="preserve">0.0269</w:t>
            </w:r>
          </w:p>
        </w:tc>
        <w:tc>
          <w:tcPr/>
          <w:p>
            <w:pPr>
              <w:pStyle w:val="Compact"/>
              <w:jc w:val="right"/>
            </w:pPr>
            <w:r>
              <w:t xml:space="preserve">0.0550</w:t>
            </w:r>
          </w:p>
        </w:tc>
        <w:tc>
          <w:tcPr/>
          <w:p>
            <w:pPr>
              <w:pStyle w:val="Compact"/>
              <w:jc w:val="right"/>
            </w:pPr>
            <w:r>
              <w:t xml:space="preserve">0.490</w:t>
            </w:r>
          </w:p>
        </w:tc>
        <w:tc>
          <w:tcPr/>
          <w:p>
            <w:pPr>
              <w:pStyle w:val="Compact"/>
              <w:jc w:val="right"/>
            </w:pPr>
            <w:r>
              <w:t xml:space="preserve">.6250</w:t>
            </w:r>
          </w:p>
        </w:tc>
        <w:tc>
          <w:tcPr/>
          <w:p>
            <w:pPr>
              <w:pStyle w:val="Compact"/>
            </w:pPr>
          </w:p>
        </w:tc>
      </w:tr>
      <w:tr>
        <w:tc>
          <w:tcPr/>
          <w:p>
            <w:pPr>
              <w:pStyle w:val="Compact"/>
              <w:jc w:val="left"/>
            </w:pPr>
            <w:r>
              <w:t xml:space="preserve">SE</w:t>
            </w:r>
          </w:p>
        </w:tc>
        <w:tc>
          <w:tcPr/>
          <w:p>
            <w:pPr>
              <w:pStyle w:val="Compact"/>
              <w:jc w:val="right"/>
            </w:pPr>
            <w:r>
              <w:t xml:space="preserve">0.1025</w:t>
            </w:r>
          </w:p>
        </w:tc>
        <w:tc>
          <w:tcPr/>
          <w:p>
            <w:pPr>
              <w:pStyle w:val="Compact"/>
              <w:jc w:val="right"/>
            </w:pPr>
            <w:r>
              <w:t xml:space="preserve">0.0401</w:t>
            </w:r>
          </w:p>
        </w:tc>
        <w:tc>
          <w:tcPr/>
          <w:p>
            <w:pPr>
              <w:pStyle w:val="Compact"/>
              <w:jc w:val="right"/>
            </w:pPr>
            <w:r>
              <w:t xml:space="preserve">2.559</w:t>
            </w:r>
          </w:p>
        </w:tc>
        <w:tc>
          <w:tcPr/>
          <w:p>
            <w:pPr>
              <w:pStyle w:val="Compact"/>
              <w:jc w:val="right"/>
            </w:pPr>
            <w:r>
              <w:t xml:space="preserve">.0113</w:t>
            </w:r>
          </w:p>
        </w:tc>
        <w:tc>
          <w:tcPr/>
          <w:p>
            <w:pPr>
              <w:pStyle w:val="Compact"/>
              <w:jc w:val="center"/>
            </w:pPr>
            <w:r>
              <w:t xml:space="preserve">*</w:t>
            </w:r>
          </w:p>
        </w:tc>
      </w:tr>
      <w:tr>
        <w:tc>
          <w:tcPr/>
          <w:p>
            <w:pPr>
              <w:pStyle w:val="Compact"/>
              <w:jc w:val="left"/>
            </w:pPr>
            <w:r>
              <w:t xml:space="preserve">Sex</w:t>
            </w:r>
          </w:p>
        </w:tc>
        <w:tc>
          <w:tcPr/>
          <w:p>
            <w:pPr>
              <w:pStyle w:val="Compact"/>
              <w:jc w:val="right"/>
            </w:pPr>
            <w:r>
              <w:t xml:space="preserve">0.0440</w:t>
            </w:r>
          </w:p>
        </w:tc>
        <w:tc>
          <w:tcPr/>
          <w:p>
            <w:pPr>
              <w:pStyle w:val="Compact"/>
              <w:jc w:val="right"/>
            </w:pPr>
            <w:r>
              <w:t xml:space="preserve">0.0608</w:t>
            </w:r>
          </w:p>
        </w:tc>
        <w:tc>
          <w:tcPr/>
          <w:p>
            <w:pPr>
              <w:pStyle w:val="Compact"/>
              <w:jc w:val="right"/>
            </w:pPr>
            <w:r>
              <w:t xml:space="preserve">0.723</w:t>
            </w:r>
          </w:p>
        </w:tc>
        <w:tc>
          <w:tcPr/>
          <w:p>
            <w:pPr>
              <w:pStyle w:val="Compact"/>
              <w:jc w:val="right"/>
            </w:pPr>
            <w:r>
              <w:t xml:space="preserve">.4706</w:t>
            </w:r>
          </w:p>
        </w:tc>
        <w:tc>
          <w:tcPr/>
          <w:p>
            <w:pPr>
              <w:pStyle w:val="Compact"/>
            </w:pPr>
          </w:p>
        </w:tc>
      </w:tr>
      <w:tr>
        <w:tc>
          <w:tcPr/>
          <w:p>
            <w:pPr>
              <w:pStyle w:val="Compact"/>
              <w:jc w:val="left"/>
            </w:pPr>
            <w:r>
              <w:t xml:space="preserve">Source × HC</w:t>
            </w:r>
          </w:p>
        </w:tc>
        <w:tc>
          <w:tcPr/>
          <w:p>
            <w:pPr>
              <w:pStyle w:val="Compact"/>
              <w:jc w:val="right"/>
            </w:pPr>
            <w:r>
              <w:t xml:space="preserve">0.0007</w:t>
            </w:r>
          </w:p>
        </w:tc>
        <w:tc>
          <w:tcPr/>
          <w:p>
            <w:pPr>
              <w:pStyle w:val="Compact"/>
              <w:jc w:val="right"/>
            </w:pPr>
            <w:r>
              <w:t xml:space="preserve">0.1093</w:t>
            </w:r>
          </w:p>
        </w:tc>
        <w:tc>
          <w:tcPr/>
          <w:p>
            <w:pPr>
              <w:pStyle w:val="Compact"/>
              <w:jc w:val="right"/>
            </w:pPr>
            <w:r>
              <w:t xml:space="preserve">0.007</w:t>
            </w:r>
          </w:p>
        </w:tc>
        <w:tc>
          <w:tcPr/>
          <w:p>
            <w:pPr>
              <w:pStyle w:val="Compact"/>
              <w:jc w:val="right"/>
            </w:pPr>
            <w:r>
              <w:t xml:space="preserve">.9946</w:t>
            </w:r>
          </w:p>
        </w:tc>
        <w:tc>
          <w:tcPr/>
          <w:p>
            <w:pPr>
              <w:pStyle w:val="Compact"/>
            </w:pPr>
          </w:p>
        </w:tc>
      </w:tr>
    </w:tbl>
    <w:p>
      <w:pPr>
        <w:pStyle w:val="BodyText"/>
      </w:pPr>
      <w:r>
        <w:rPr>
          <w:iCs/>
          <w:i/>
        </w:rPr>
        <w:t xml:space="preserve">Note.</w:t>
      </w:r>
      <w:r>
        <w:t xml:space="preserve"> </w:t>
      </w:r>
      <w:r>
        <w:t xml:space="preserve">SE = Self-efficacy; HC = Health Consciousness. *</w:t>
      </w:r>
      <w:r>
        <w:rPr>
          <w:iCs/>
          <w:i/>
        </w:rPr>
        <w:t xml:space="preserve">p</w:t>
      </w:r>
      <w:r>
        <w:t xml:space="preserve"> </w:t>
      </w:r>
      <w:r>
        <w:t xml:space="preserve">&lt; .05. ***</w:t>
      </w:r>
      <w:r>
        <w:rPr>
          <w:iCs/>
          <w:i/>
        </w:rPr>
        <w:t xml:space="preserve">p</w:t>
      </w:r>
      <w:r>
        <w:t xml:space="preserve"> </w:t>
      </w:r>
      <w:r>
        <w:t xml:space="preserve">&lt; .001.</w:t>
      </w:r>
    </w:p>
    <w:p>
      <w:pPr>
        <w:pStyle w:val="BodyText"/>
      </w:pPr>
      <w:r>
        <w:rPr>
          <w:bCs/>
          <w:b/>
        </w:rPr>
        <w:t xml:space="preserve">Table 8</w:t>
      </w:r>
      <w:r>
        <w:t xml:space="preserve"> </w:t>
      </w:r>
      <w:r>
        <w:rPr>
          <w:iCs/>
          <w:i/>
        </w:rPr>
        <w:t xml:space="preserve">Moderation Analysis: Total Effect of Source on Intention (Without Mediator Controls)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Predictor</w:t>
            </w:r>
          </w:p>
        </w:tc>
        <w:tc>
          <w:tcPr/>
          <w:p>
            <w:pPr>
              <w:pStyle w:val="Compact"/>
              <w:jc w:val="right"/>
            </w:pPr>
            <w:r>
              <w:t xml:space="preserve">β</w:t>
            </w:r>
          </w:p>
        </w:tc>
        <w:tc>
          <w:tcPr/>
          <w:p>
            <w:pPr>
              <w:pStyle w:val="Compact"/>
              <w:jc w:val="right"/>
            </w:pPr>
            <w:r>
              <w:rPr>
                <w:iCs/>
                <w:i/>
              </w:rPr>
              <w:t xml:space="preserve">SE</w:t>
            </w:r>
          </w:p>
        </w:tc>
        <w:tc>
          <w:tcPr/>
          <w:p>
            <w:pPr>
              <w:pStyle w:val="Compact"/>
              <w:jc w:val="right"/>
            </w:pPr>
            <w:r>
              <w:rPr>
                <w:iCs/>
                <w:i/>
              </w:rPr>
              <w:t xml:space="preserve">t</w:t>
            </w:r>
          </w:p>
        </w:tc>
        <w:tc>
          <w:tcPr/>
          <w:p>
            <w:pPr>
              <w:pStyle w:val="Compact"/>
              <w:jc w:val="right"/>
            </w:pPr>
            <w:r>
              <w:rPr>
                <w:iCs/>
                <w:i/>
              </w:rPr>
              <w:t xml:space="preserve">p</w:t>
            </w:r>
          </w:p>
        </w:tc>
        <w:tc>
          <w:tcPr/>
          <w:p>
            <w:pPr>
              <w:pStyle w:val="Compact"/>
              <w:jc w:val="center"/>
            </w:pPr>
            <w:r>
              <w:t xml:space="preserve">Sig</w:t>
            </w:r>
          </w:p>
        </w:tc>
      </w:tr>
      <w:tr>
        <w:tc>
          <w:tcPr/>
          <w:p>
            <w:pPr>
              <w:pStyle w:val="Compact"/>
              <w:jc w:val="left"/>
            </w:pPr>
            <w:r>
              <w:t xml:space="preserve">(Intercept)</w:t>
            </w:r>
          </w:p>
        </w:tc>
        <w:tc>
          <w:tcPr/>
          <w:p>
            <w:pPr>
              <w:pStyle w:val="Compact"/>
              <w:jc w:val="right"/>
            </w:pPr>
            <w:r>
              <w:t xml:space="preserve">5.7172</w:t>
            </w:r>
          </w:p>
        </w:tc>
        <w:tc>
          <w:tcPr/>
          <w:p>
            <w:pPr>
              <w:pStyle w:val="Compact"/>
              <w:jc w:val="right"/>
            </w:pPr>
            <w:r>
              <w:t xml:space="preserve">0.0769</w:t>
            </w:r>
          </w:p>
        </w:tc>
        <w:tc>
          <w:tcPr/>
          <w:p>
            <w:pPr>
              <w:pStyle w:val="Compact"/>
              <w:jc w:val="right"/>
            </w:pPr>
            <w:r>
              <w:t xml:space="preserve">74.316</w:t>
            </w:r>
          </w:p>
        </w:tc>
        <w:tc>
          <w:tcPr/>
          <w:p>
            <w:pPr>
              <w:pStyle w:val="Compact"/>
              <w:jc w:val="right"/>
            </w:pPr>
            <w:r>
              <w:t xml:space="preserve">&lt; .001</w:t>
            </w:r>
          </w:p>
        </w:tc>
        <w:tc>
          <w:tcPr/>
          <w:p>
            <w:pPr>
              <w:pStyle w:val="Compact"/>
              <w:jc w:val="center"/>
            </w:pPr>
            <w:r>
              <w:t xml:space="preserve">***</w:t>
            </w:r>
          </w:p>
        </w:tc>
      </w:tr>
      <w:tr>
        <w:tc>
          <w:tcPr/>
          <w:p>
            <w:pPr>
              <w:pStyle w:val="Compact"/>
              <w:jc w:val="left"/>
            </w:pPr>
            <w:r>
              <w:t xml:space="preserve">Source</w:t>
            </w:r>
          </w:p>
        </w:tc>
        <w:tc>
          <w:tcPr/>
          <w:p>
            <w:pPr>
              <w:pStyle w:val="Compact"/>
              <w:jc w:val="right"/>
            </w:pPr>
            <w:r>
              <w:t xml:space="preserve">0.0690</w:t>
            </w:r>
          </w:p>
        </w:tc>
        <w:tc>
          <w:tcPr/>
          <w:p>
            <w:pPr>
              <w:pStyle w:val="Compact"/>
              <w:jc w:val="right"/>
            </w:pPr>
            <w:r>
              <w:t xml:space="preserve">0.0796</w:t>
            </w:r>
          </w:p>
        </w:tc>
        <w:tc>
          <w:tcPr/>
          <w:p>
            <w:pPr>
              <w:pStyle w:val="Compact"/>
              <w:jc w:val="right"/>
            </w:pPr>
            <w:r>
              <w:t xml:space="preserve">0.867</w:t>
            </w:r>
          </w:p>
        </w:tc>
        <w:tc>
          <w:tcPr/>
          <w:p>
            <w:pPr>
              <w:pStyle w:val="Compact"/>
              <w:jc w:val="right"/>
            </w:pPr>
            <w:r>
              <w:t xml:space="preserve">.3870</w:t>
            </w:r>
          </w:p>
        </w:tc>
        <w:tc>
          <w:tcPr/>
          <w:p>
            <w:pPr>
              <w:pStyle w:val="Compact"/>
            </w:pPr>
          </w:p>
        </w:tc>
      </w:tr>
      <w:tr>
        <w:tc>
          <w:tcPr/>
          <w:p>
            <w:pPr>
              <w:pStyle w:val="Compact"/>
              <w:jc w:val="left"/>
            </w:pPr>
            <w:r>
              <w:t xml:space="preserve">HC (centred)</w:t>
            </w:r>
          </w:p>
        </w:tc>
        <w:tc>
          <w:tcPr/>
          <w:p>
            <w:pPr>
              <w:pStyle w:val="Compact"/>
              <w:jc w:val="right"/>
            </w:pPr>
            <w:r>
              <w:t xml:space="preserve">0.8528</w:t>
            </w:r>
          </w:p>
        </w:tc>
        <w:tc>
          <w:tcPr/>
          <w:p>
            <w:pPr>
              <w:pStyle w:val="Compact"/>
              <w:jc w:val="right"/>
            </w:pPr>
            <w:r>
              <w:t xml:space="preserve">0.0973</w:t>
            </w:r>
          </w:p>
        </w:tc>
        <w:tc>
          <w:tcPr/>
          <w:p>
            <w:pPr>
              <w:pStyle w:val="Compact"/>
              <w:jc w:val="right"/>
            </w:pPr>
            <w:r>
              <w:t xml:space="preserve">8.768</w:t>
            </w:r>
          </w:p>
        </w:tc>
        <w:tc>
          <w:tcPr/>
          <w:p>
            <w:pPr>
              <w:pStyle w:val="Compact"/>
              <w:jc w:val="right"/>
            </w:pPr>
            <w:r>
              <w:t xml:space="preserve">&lt; .001</w:t>
            </w:r>
          </w:p>
        </w:tc>
        <w:tc>
          <w:tcPr/>
          <w:p>
            <w:pPr>
              <w:pStyle w:val="Compact"/>
              <w:jc w:val="center"/>
            </w:pPr>
            <w:r>
              <w:t xml:space="preserve">***</w:t>
            </w:r>
          </w:p>
        </w:tc>
      </w:tr>
      <w:tr>
        <w:tc>
          <w:tcPr/>
          <w:p>
            <w:pPr>
              <w:pStyle w:val="Compact"/>
              <w:jc w:val="left"/>
            </w:pPr>
            <w:r>
              <w:t xml:space="preserve">Frame</w:t>
            </w:r>
          </w:p>
        </w:tc>
        <w:tc>
          <w:tcPr/>
          <w:p>
            <w:pPr>
              <w:pStyle w:val="Compact"/>
              <w:jc w:val="right"/>
            </w:pPr>
            <w:r>
              <w:t xml:space="preserve">0.0518</w:t>
            </w:r>
          </w:p>
        </w:tc>
        <w:tc>
          <w:tcPr/>
          <w:p>
            <w:pPr>
              <w:pStyle w:val="Compact"/>
              <w:jc w:val="right"/>
            </w:pPr>
            <w:r>
              <w:t xml:space="preserve">0.0794</w:t>
            </w:r>
          </w:p>
        </w:tc>
        <w:tc>
          <w:tcPr/>
          <w:p>
            <w:pPr>
              <w:pStyle w:val="Compact"/>
              <w:jc w:val="right"/>
            </w:pPr>
            <w:r>
              <w:t xml:space="preserve">0.652</w:t>
            </w:r>
          </w:p>
        </w:tc>
        <w:tc>
          <w:tcPr/>
          <w:p>
            <w:pPr>
              <w:pStyle w:val="Compact"/>
              <w:jc w:val="right"/>
            </w:pPr>
            <w:r>
              <w:t xml:space="preserve">.5154</w:t>
            </w:r>
          </w:p>
        </w:tc>
        <w:tc>
          <w:tcPr/>
          <w:p>
            <w:pPr>
              <w:pStyle w:val="Compact"/>
            </w:pPr>
          </w:p>
        </w:tc>
      </w:tr>
      <w:tr>
        <w:tc>
          <w:tcPr/>
          <w:p>
            <w:pPr>
              <w:pStyle w:val="Compact"/>
              <w:jc w:val="left"/>
            </w:pPr>
            <w:r>
              <w:t xml:space="preserve">Sex</w:t>
            </w:r>
          </w:p>
        </w:tc>
        <w:tc>
          <w:tcPr/>
          <w:p>
            <w:pPr>
              <w:pStyle w:val="Compact"/>
              <w:jc w:val="right"/>
            </w:pPr>
            <w:r>
              <w:t xml:space="preserve">0.0847</w:t>
            </w:r>
          </w:p>
        </w:tc>
        <w:tc>
          <w:tcPr/>
          <w:p>
            <w:pPr>
              <w:pStyle w:val="Compact"/>
              <w:jc w:val="right"/>
            </w:pPr>
            <w:r>
              <w:t xml:space="preserve">0.0799</w:t>
            </w:r>
          </w:p>
        </w:tc>
        <w:tc>
          <w:tcPr/>
          <w:p>
            <w:pPr>
              <w:pStyle w:val="Compact"/>
              <w:jc w:val="right"/>
            </w:pPr>
            <w:r>
              <w:t xml:space="preserve">1.060</w:t>
            </w:r>
          </w:p>
        </w:tc>
        <w:tc>
          <w:tcPr/>
          <w:p>
            <w:pPr>
              <w:pStyle w:val="Compact"/>
              <w:jc w:val="right"/>
            </w:pPr>
            <w:r>
              <w:t xml:space="preserve">.2904</w:t>
            </w:r>
          </w:p>
        </w:tc>
        <w:tc>
          <w:tcPr/>
          <w:p>
            <w:pPr>
              <w:pStyle w:val="Compact"/>
            </w:pPr>
          </w:p>
        </w:tc>
      </w:tr>
      <w:tr>
        <w:tc>
          <w:tcPr/>
          <w:p>
            <w:pPr>
              <w:pStyle w:val="Compact"/>
              <w:jc w:val="left"/>
            </w:pPr>
            <w:r>
              <w:t xml:space="preserve">Source × HC</w:t>
            </w:r>
          </w:p>
        </w:tc>
        <w:tc>
          <w:tcPr/>
          <w:p>
            <w:pPr>
              <w:pStyle w:val="Compact"/>
              <w:jc w:val="right"/>
            </w:pPr>
            <w:r>
              <w:t xml:space="preserve">-0.3918</w:t>
            </w:r>
          </w:p>
        </w:tc>
        <w:tc>
          <w:tcPr/>
          <w:p>
            <w:pPr>
              <w:pStyle w:val="Compact"/>
              <w:jc w:val="right"/>
            </w:pPr>
            <w:r>
              <w:t xml:space="preserve">0.1370</w:t>
            </w:r>
          </w:p>
        </w:tc>
        <w:tc>
          <w:tcPr/>
          <w:p>
            <w:pPr>
              <w:pStyle w:val="Compact"/>
              <w:jc w:val="right"/>
            </w:pPr>
            <w:r>
              <w:t xml:space="preserve">-2.861</w:t>
            </w:r>
          </w:p>
        </w:tc>
        <w:tc>
          <w:tcPr/>
          <w:p>
            <w:pPr>
              <w:pStyle w:val="Compact"/>
              <w:jc w:val="right"/>
            </w:pPr>
            <w:r>
              <w:t xml:space="preserve">.0047</w:t>
            </w:r>
          </w:p>
        </w:tc>
        <w:tc>
          <w:tcPr/>
          <w:p>
            <w:pPr>
              <w:pStyle w:val="Compact"/>
              <w:jc w:val="center"/>
            </w:pPr>
            <w:r>
              <w:t xml:space="preserve">**</w:t>
            </w:r>
          </w:p>
        </w:tc>
      </w:tr>
    </w:tbl>
    <w:p>
      <w:pPr>
        <w:pStyle w:val="BodyText"/>
      </w:pPr>
      <w:r>
        <w:rPr>
          <w:iCs/>
          <w:i/>
        </w:rPr>
        <w:t xml:space="preserve">Note.</w:t>
      </w:r>
      <w:r>
        <w:t xml:space="preserve"> </w:t>
      </w:r>
      <w:r>
        <w:t xml:space="preserve">HC = Health Consciousness. *</w:t>
      </w:r>
      <w:r>
        <w:rPr>
          <w:iCs/>
          <w:i/>
        </w:rPr>
        <w:t xml:space="preserve">p</w:t>
      </w:r>
      <w:r>
        <w:t xml:space="preserve"> </w:t>
      </w:r>
      <w:r>
        <w:t xml:space="preserve">&lt; .05. **</w:t>
      </w:r>
      <w:r>
        <w:rPr>
          <w:iCs/>
          <w:i/>
        </w:rPr>
        <w:t xml:space="preserve">p</w:t>
      </w:r>
      <w:r>
        <w:t xml:space="preserve"> </w:t>
      </w:r>
      <w:r>
        <w:t xml:space="preserve">&lt; .01. ***</w:t>
      </w:r>
      <w:r>
        <w:rPr>
          <w:iCs/>
          <w:i/>
        </w:rPr>
        <w:t xml:space="preserve">p</w:t>
      </w:r>
      <w:r>
        <w:t xml:space="preserve"> </w:t>
      </w:r>
      <w:r>
        <w:t xml:space="preserve">&lt; .001.</w:t>
      </w:r>
    </w:p>
    <w:p>
      <w:pPr>
        <w:pStyle w:val="BodyText"/>
      </w:pPr>
      <w:r>
        <w:t xml:space="preserve">The structural model accounted for 56.7% of the variance in Behavioural Intention (</w:t>
      </w:r>
      <w:r>
        <w:rPr>
          <w:iCs/>
          <w:i/>
        </w:rPr>
        <w:t xml:space="preserve">R</w:t>
      </w:r>
      <w:r>
        <w:t xml:space="preserve">² = .567; Table 9), representing substantial explanatory power for the outcome variable. The experimental manipulations and control variables explained 13.6% of the variance in Trust—primarily driven by Information Source—4.9% in Self-efficacy, and 1.3% in Attitude, indicating that the experimental conditions had their strongest upstream impact on participants’ trust perceptions.</w:t>
      </w:r>
    </w:p>
    <w:p>
      <w:pPr>
        <w:pStyle w:val="BodyText"/>
      </w:pPr>
      <w:r>
        <w:rPr>
          <w:bCs/>
          <w:b/>
        </w:rPr>
        <w:t xml:space="preserve">Table 9</w:t>
      </w:r>
      <w:r>
        <w:t xml:space="preserve"> </w:t>
      </w:r>
      <w:r>
        <w:rPr>
          <w:iCs/>
          <w:i/>
        </w:rPr>
        <w:t xml:space="preserve">Variance Explained (R²)</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right"/>
            </w:pPr>
            <w:r>
              <w:rPr>
                <w:iCs/>
                <w:i/>
              </w:rPr>
              <w:t xml:space="preserve">R</w:t>
            </w:r>
            <w:r>
              <w:t xml:space="preserve">²</w:t>
            </w:r>
          </w:p>
        </w:tc>
      </w:tr>
      <w:tr>
        <w:tc>
          <w:tcPr/>
          <w:p>
            <w:pPr>
              <w:pStyle w:val="Compact"/>
              <w:jc w:val="left"/>
            </w:pPr>
            <w:r>
              <w:t xml:space="preserve">Attitude</w:t>
            </w:r>
          </w:p>
        </w:tc>
        <w:tc>
          <w:tcPr/>
          <w:p>
            <w:pPr>
              <w:pStyle w:val="Compact"/>
              <w:jc w:val="right"/>
            </w:pPr>
            <w:r>
              <w:t xml:space="preserve">.0131</w:t>
            </w:r>
          </w:p>
        </w:tc>
      </w:tr>
      <w:tr>
        <w:tc>
          <w:tcPr/>
          <w:p>
            <w:pPr>
              <w:pStyle w:val="Compact"/>
              <w:jc w:val="left"/>
            </w:pPr>
            <w:r>
              <w:t xml:space="preserve">Trust</w:t>
            </w:r>
          </w:p>
        </w:tc>
        <w:tc>
          <w:tcPr/>
          <w:p>
            <w:pPr>
              <w:pStyle w:val="Compact"/>
              <w:jc w:val="right"/>
            </w:pPr>
            <w:r>
              <w:t xml:space="preserve">.1356</w:t>
            </w:r>
          </w:p>
        </w:tc>
      </w:tr>
      <w:tr>
        <w:tc>
          <w:tcPr/>
          <w:p>
            <w:pPr>
              <w:pStyle w:val="Compact"/>
              <w:jc w:val="left"/>
            </w:pPr>
            <w:r>
              <w:t xml:space="preserve">Self-efficacy</w:t>
            </w:r>
          </w:p>
        </w:tc>
        <w:tc>
          <w:tcPr/>
          <w:p>
            <w:pPr>
              <w:pStyle w:val="Compact"/>
              <w:jc w:val="right"/>
            </w:pPr>
            <w:r>
              <w:t xml:space="preserve">.0485</w:t>
            </w:r>
          </w:p>
        </w:tc>
      </w:tr>
      <w:tr>
        <w:tc>
          <w:tcPr/>
          <w:p>
            <w:pPr>
              <w:pStyle w:val="Compact"/>
              <w:jc w:val="left"/>
            </w:pPr>
            <w:r>
              <w:t xml:space="preserve">Intention</w:t>
            </w:r>
          </w:p>
        </w:tc>
        <w:tc>
          <w:tcPr/>
          <w:p>
            <w:pPr>
              <w:pStyle w:val="Compact"/>
              <w:jc w:val="right"/>
            </w:pPr>
            <w:r>
              <w:t xml:space="preserve">.5671</w:t>
            </w:r>
          </w:p>
        </w:tc>
      </w:tr>
    </w:tbl>
    <w:p>
      <w:pPr>
        <w:pStyle w:val="BodyText"/>
      </w:pPr>
      <w:r>
        <w:t xml:space="preserve">In summary, of the seven hypotheses tested, only Hypothesis 7 received empirical support: health consciousness significantly moderated the total effect of information source on exercise behavioural intention (β = -0.39,</w:t>
      </w:r>
      <w:r>
        <w:t xml:space="preserve"> </w:t>
      </w:r>
      <w:r>
        <w:rPr>
          <w:iCs/>
          <w:i/>
        </w:rPr>
        <w:t xml:space="preserve">p</w:t>
      </w:r>
      <w:r>
        <w:t xml:space="preserve"> </w:t>
      </w:r>
      <w:r>
        <w:t xml:space="preserve">= .005), with stronger source effects among individuals with low health consciousness. Hypotheses 1 and 2, which predicted that human-sourced and gain-framed messages would lead to greater exercise intention, were not supported as neither information source nor message frame directly predicted behavioural intention. Hypotheses 3 through 6, proposing that attitude, trust, and self-efficacy would mediate the relationships between the independent variables and intention, were also not supported despite significant upstream effects of information source on trust (</w:t>
      </w:r>
      <w:r>
        <w:rPr>
          <w:iCs/>
          <w:i/>
        </w:rPr>
        <w:t xml:space="preserve">p</w:t>
      </w:r>
      <w:r>
        <w:t xml:space="preserve"> </w:t>
      </w:r>
      <w:r>
        <w:t xml:space="preserve">&lt; .001) and self-efficacy (</w:t>
      </w:r>
      <w:r>
        <w:rPr>
          <w:iCs/>
          <w:i/>
        </w:rPr>
        <w:t xml:space="preserve">p</w:t>
      </w:r>
      <w:r>
        <w:t xml:space="preserve"> </w:t>
      </w:r>
      <w:r>
        <w:t xml:space="preserve">= .019), because these upstream effects did not translate into significant indirect pathways to intention.</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2026-04-14T03:32:02Z</dcterms:created>
  <dcterms:modified xsi:type="dcterms:W3CDTF">2026-04-14T03:32:02Z</dcterms:modified>
</cp:coreProperties>
</file>

<file path=docProps/custom.xml><?xml version="1.0" encoding="utf-8"?>
<Properties xmlns="http://schemas.openxmlformats.org/officeDocument/2006/custom-properties" xmlns:vt="http://schemas.openxmlformats.org/officeDocument/2006/docPropsVTypes"/>
</file>