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线上社会心理学实验: 信息来源与信息框架对运动意图的影响</w:t>
      </w:r>
    </w:p>
    <w:p>
      <w:pPr>
        <w:jc w:val="center"/>
      </w:pPr>
      <w:r>
        <w:rPr>
          <w:i/>
          <w:sz w:val="24"/>
        </w:rPr>
        <w:t>完整分析报告与讨论</w:t>
      </w:r>
    </w:p>
    <w:p>
      <w:r>
        <w:t>数据分析时间: 2026年4月6日 | Python 3.12.1 | statsmodels</w:t>
      </w:r>
    </w:p>
    <w:p>
      <w:pPr>
        <w:pStyle w:val="Heading1"/>
      </w:pPr>
      <w:r>
        <w:t>第一部分  数据特征与诊断</w:t>
      </w:r>
    </w:p>
    <w:p>
      <w:r>
        <w:t>本研究通过2x2因子实验设计收集了201名在职成年人的数据。经过完全案例分析处理缺失值,最终分析样本包括199名参与者。样本中信息来源(AI健康教练vs.人类专家)和信息框架(损失框架vs.收益框架)均匀分布,其中AI来源占52.8%,损失框架占47.7%。参与者年龄均为18岁以上,主要为城市就业人群。</w:t>
      </w:r>
    </w:p>
    <w:p>
      <w:pPr>
        <w:pStyle w:val="Heading2"/>
      </w:pPr>
      <w:r>
        <w:t>描述性统计与相关性</w:t>
      </w:r>
    </w:p>
    <w:p>
      <w:r>
        <w:t>所有连续变量(行为意图、信任、自我效能、健康意识)均采用Z-score标准化处理(M=0, SD=1)。下表呈现了各变量的描述性统计信息及其两两Pearson相关系数。</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变量</w:t>
            </w:r>
          </w:p>
        </w:tc>
        <w:tc>
          <w:tcPr>
            <w:tcW w:type="dxa" w:w="1234"/>
          </w:tcPr>
          <w:p>
            <w:r>
              <w:t>N</w:t>
            </w:r>
          </w:p>
        </w:tc>
        <w:tc>
          <w:tcPr>
            <w:tcW w:type="dxa" w:w="1234"/>
          </w:tcPr>
          <w:p>
            <w:r>
              <w:t>M</w:t>
            </w:r>
          </w:p>
        </w:tc>
        <w:tc>
          <w:tcPr>
            <w:tcW w:type="dxa" w:w="1234"/>
          </w:tcPr>
          <w:p>
            <w:r>
              <w:t>SD</w:t>
            </w:r>
          </w:p>
        </w:tc>
        <w:tc>
          <w:tcPr>
            <w:tcW w:type="dxa" w:w="1234"/>
          </w:tcPr>
          <w:p>
            <w:r>
              <w:t>Min</w:t>
            </w:r>
          </w:p>
        </w:tc>
        <w:tc>
          <w:tcPr>
            <w:tcW w:type="dxa" w:w="1234"/>
          </w:tcPr>
          <w:p>
            <w:r>
              <w:t>Mdn</w:t>
            </w:r>
          </w:p>
        </w:tc>
        <w:tc>
          <w:tcPr>
            <w:tcW w:type="dxa" w:w="1234"/>
          </w:tcPr>
          <w:p>
            <w:r>
              <w:t>Max</w:t>
            </w:r>
          </w:p>
        </w:tc>
      </w:tr>
      <w:tr>
        <w:tc>
          <w:tcPr>
            <w:tcW w:type="dxa" w:w="1234"/>
          </w:tcPr>
          <w:p>
            <w:r>
              <w:t>Source</w:t>
            </w:r>
          </w:p>
        </w:tc>
        <w:tc>
          <w:tcPr>
            <w:tcW w:type="dxa" w:w="1234"/>
          </w:tcPr>
          <w:p>
            <w:r>
              <w:t>199</w:t>
            </w:r>
          </w:p>
        </w:tc>
        <w:tc>
          <w:tcPr>
            <w:tcW w:type="dxa" w:w="1234"/>
          </w:tcPr>
          <w:p>
            <w:r>
              <w:t>0.528</w:t>
            </w:r>
          </w:p>
        </w:tc>
        <w:tc>
          <w:tcPr>
            <w:tcW w:type="dxa" w:w="1234"/>
          </w:tcPr>
          <w:p>
            <w:r>
              <w:t>0.500</w:t>
            </w:r>
          </w:p>
        </w:tc>
        <w:tc>
          <w:tcPr>
            <w:tcW w:type="dxa" w:w="1234"/>
          </w:tcPr>
          <w:p>
            <w:r>
              <w:t>0.000</w:t>
            </w:r>
          </w:p>
        </w:tc>
        <w:tc>
          <w:tcPr>
            <w:tcW w:type="dxa" w:w="1234"/>
          </w:tcPr>
          <w:p>
            <w:r>
              <w:t>1.000</w:t>
            </w:r>
          </w:p>
        </w:tc>
        <w:tc>
          <w:tcPr>
            <w:tcW w:type="dxa" w:w="1234"/>
          </w:tcPr>
          <w:p>
            <w:r>
              <w:t>1.000</w:t>
            </w:r>
          </w:p>
        </w:tc>
      </w:tr>
      <w:tr>
        <w:tc>
          <w:tcPr>
            <w:tcW w:type="dxa" w:w="1234"/>
          </w:tcPr>
          <w:p>
            <w:r>
              <w:t>Frame</w:t>
            </w:r>
          </w:p>
        </w:tc>
        <w:tc>
          <w:tcPr>
            <w:tcW w:type="dxa" w:w="1234"/>
          </w:tcPr>
          <w:p>
            <w:r>
              <w:t>199</w:t>
            </w:r>
          </w:p>
        </w:tc>
        <w:tc>
          <w:tcPr>
            <w:tcW w:type="dxa" w:w="1234"/>
          </w:tcPr>
          <w:p>
            <w:r>
              <w:t>0.477</w:t>
            </w:r>
          </w:p>
        </w:tc>
        <w:tc>
          <w:tcPr>
            <w:tcW w:type="dxa" w:w="1234"/>
          </w:tcPr>
          <w:p>
            <w:r>
              <w:t>0.501</w:t>
            </w:r>
          </w:p>
        </w:tc>
        <w:tc>
          <w:tcPr>
            <w:tcW w:type="dxa" w:w="1234"/>
          </w:tcPr>
          <w:p>
            <w:r>
              <w:t>0.000</w:t>
            </w:r>
          </w:p>
        </w:tc>
        <w:tc>
          <w:tcPr>
            <w:tcW w:type="dxa" w:w="1234"/>
          </w:tcPr>
          <w:p>
            <w:r>
              <w:t>0.000</w:t>
            </w:r>
          </w:p>
        </w:tc>
        <w:tc>
          <w:tcPr>
            <w:tcW w:type="dxa" w:w="1234"/>
          </w:tcPr>
          <w:p>
            <w:r>
              <w:t>1.000</w:t>
            </w:r>
          </w:p>
        </w:tc>
      </w:tr>
      <w:tr>
        <w:tc>
          <w:tcPr>
            <w:tcW w:type="dxa" w:w="1234"/>
          </w:tcPr>
          <w:p>
            <w:r>
              <w:t>Intention</w:t>
            </w:r>
          </w:p>
        </w:tc>
        <w:tc>
          <w:tcPr>
            <w:tcW w:type="dxa" w:w="1234"/>
          </w:tcPr>
          <w:p>
            <w:r>
              <w:t>199</w:t>
            </w:r>
          </w:p>
        </w:tc>
        <w:tc>
          <w:tcPr>
            <w:tcW w:type="dxa" w:w="1234"/>
          </w:tcPr>
          <w:p>
            <w:r>
              <w:t>5.829</w:t>
            </w:r>
          </w:p>
        </w:tc>
        <w:tc>
          <w:tcPr>
            <w:tcW w:type="dxa" w:w="1234"/>
          </w:tcPr>
          <w:p>
            <w:r>
              <w:t>0.683</w:t>
            </w:r>
          </w:p>
        </w:tc>
        <w:tc>
          <w:tcPr>
            <w:tcW w:type="dxa" w:w="1234"/>
          </w:tcPr>
          <w:p>
            <w:r>
              <w:t>2.667</w:t>
            </w:r>
          </w:p>
        </w:tc>
        <w:tc>
          <w:tcPr>
            <w:tcW w:type="dxa" w:w="1234"/>
          </w:tcPr>
          <w:p>
            <w:r>
              <w:t>6.000</w:t>
            </w:r>
          </w:p>
        </w:tc>
        <w:tc>
          <w:tcPr>
            <w:tcW w:type="dxa" w:w="1234"/>
          </w:tcPr>
          <w:p>
            <w:r>
              <w:t>7.000</w:t>
            </w:r>
          </w:p>
        </w:tc>
      </w:tr>
      <w:tr>
        <w:tc>
          <w:tcPr>
            <w:tcW w:type="dxa" w:w="1234"/>
          </w:tcPr>
          <w:p>
            <w:r>
              <w:t>Trust</w:t>
            </w:r>
          </w:p>
        </w:tc>
        <w:tc>
          <w:tcPr>
            <w:tcW w:type="dxa" w:w="1234"/>
          </w:tcPr>
          <w:p>
            <w:r>
              <w:t>199</w:t>
            </w:r>
          </w:p>
        </w:tc>
        <w:tc>
          <w:tcPr>
            <w:tcW w:type="dxa" w:w="1234"/>
          </w:tcPr>
          <w:p>
            <w:r>
              <w:t>5.614</w:t>
            </w:r>
          </w:p>
        </w:tc>
        <w:tc>
          <w:tcPr>
            <w:tcW w:type="dxa" w:w="1234"/>
          </w:tcPr>
          <w:p>
            <w:r>
              <w:t>0.685</w:t>
            </w:r>
          </w:p>
        </w:tc>
        <w:tc>
          <w:tcPr>
            <w:tcW w:type="dxa" w:w="1234"/>
          </w:tcPr>
          <w:p>
            <w:r>
              <w:t>2.400</w:t>
            </w:r>
          </w:p>
        </w:tc>
        <w:tc>
          <w:tcPr>
            <w:tcW w:type="dxa" w:w="1234"/>
          </w:tcPr>
          <w:p>
            <w:r>
              <w:t>5.600</w:t>
            </w:r>
          </w:p>
        </w:tc>
        <w:tc>
          <w:tcPr>
            <w:tcW w:type="dxa" w:w="1234"/>
          </w:tcPr>
          <w:p>
            <w:r>
              <w:t>7.000</w:t>
            </w:r>
          </w:p>
        </w:tc>
      </w:tr>
      <w:tr>
        <w:tc>
          <w:tcPr>
            <w:tcW w:type="dxa" w:w="1234"/>
          </w:tcPr>
          <w:p>
            <w:r>
              <w:t>SelfEfficacy</w:t>
            </w:r>
          </w:p>
        </w:tc>
        <w:tc>
          <w:tcPr>
            <w:tcW w:type="dxa" w:w="1234"/>
          </w:tcPr>
          <w:p>
            <w:r>
              <w:t>199</w:t>
            </w:r>
          </w:p>
        </w:tc>
        <w:tc>
          <w:tcPr>
            <w:tcW w:type="dxa" w:w="1234"/>
          </w:tcPr>
          <w:p>
            <w:r>
              <w:t>5.533</w:t>
            </w:r>
          </w:p>
        </w:tc>
        <w:tc>
          <w:tcPr>
            <w:tcW w:type="dxa" w:w="1234"/>
          </w:tcPr>
          <w:p>
            <w:r>
              <w:t>0.916</w:t>
            </w:r>
          </w:p>
        </w:tc>
        <w:tc>
          <w:tcPr>
            <w:tcW w:type="dxa" w:w="1234"/>
          </w:tcPr>
          <w:p>
            <w:r>
              <w:t>1.667</w:t>
            </w:r>
          </w:p>
        </w:tc>
        <w:tc>
          <w:tcPr>
            <w:tcW w:type="dxa" w:w="1234"/>
          </w:tcPr>
          <w:p>
            <w:r>
              <w:t>5.667</w:t>
            </w:r>
          </w:p>
        </w:tc>
        <w:tc>
          <w:tcPr>
            <w:tcW w:type="dxa" w:w="1234"/>
          </w:tcPr>
          <w:p>
            <w:r>
              <w:t>7.000</w:t>
            </w:r>
          </w:p>
        </w:tc>
      </w:tr>
      <w:tr>
        <w:tc>
          <w:tcPr>
            <w:tcW w:type="dxa" w:w="1234"/>
          </w:tcPr>
          <w:p>
            <w:r>
              <w:t>HealthConsciousness</w:t>
            </w:r>
          </w:p>
        </w:tc>
        <w:tc>
          <w:tcPr>
            <w:tcW w:type="dxa" w:w="1234"/>
          </w:tcPr>
          <w:p>
            <w:r>
              <w:t>199</w:t>
            </w:r>
          </w:p>
        </w:tc>
        <w:tc>
          <w:tcPr>
            <w:tcW w:type="dxa" w:w="1234"/>
          </w:tcPr>
          <w:p>
            <w:r>
              <w:t>5.772</w:t>
            </w:r>
          </w:p>
        </w:tc>
        <w:tc>
          <w:tcPr>
            <w:tcW w:type="dxa" w:w="1234"/>
          </w:tcPr>
          <w:p>
            <w:r>
              <w:t>0.583</w:t>
            </w:r>
          </w:p>
        </w:tc>
        <w:tc>
          <w:tcPr>
            <w:tcW w:type="dxa" w:w="1234"/>
          </w:tcPr>
          <w:p>
            <w:r>
              <w:t>4.000</w:t>
            </w:r>
          </w:p>
        </w:tc>
        <w:tc>
          <w:tcPr>
            <w:tcW w:type="dxa" w:w="1234"/>
          </w:tcPr>
          <w:p>
            <w:r>
              <w:t>5.833</w:t>
            </w:r>
          </w:p>
        </w:tc>
        <w:tc>
          <w:tcPr>
            <w:tcW w:type="dxa" w:w="1234"/>
          </w:tcPr>
          <w:p>
            <w:r>
              <w:t>7.000</w:t>
            </w:r>
          </w:p>
        </w:tc>
      </w:tr>
      <w:tr>
        <w:tc>
          <w:tcPr>
            <w:tcW w:type="dxa" w:w="1234"/>
          </w:tcPr>
          <w:p>
            <w:r>
              <w:t>SourcexFrame</w:t>
            </w:r>
          </w:p>
        </w:tc>
        <w:tc>
          <w:tcPr>
            <w:tcW w:type="dxa" w:w="1234"/>
          </w:tcPr>
          <w:p>
            <w:r>
              <w:t>199</w:t>
            </w:r>
          </w:p>
        </w:tc>
        <w:tc>
          <w:tcPr>
            <w:tcW w:type="dxa" w:w="1234"/>
          </w:tcPr>
          <w:p>
            <w:r>
              <w:t>0.256</w:t>
            </w:r>
          </w:p>
        </w:tc>
        <w:tc>
          <w:tcPr>
            <w:tcW w:type="dxa" w:w="1234"/>
          </w:tcPr>
          <w:p>
            <w:r>
              <w:t>0.437</w:t>
            </w:r>
          </w:p>
        </w:tc>
        <w:tc>
          <w:tcPr>
            <w:tcW w:type="dxa" w:w="1234"/>
          </w:tcPr>
          <w:p>
            <w:r>
              <w:t>0.000</w:t>
            </w:r>
          </w:p>
        </w:tc>
        <w:tc>
          <w:tcPr>
            <w:tcW w:type="dxa" w:w="1234"/>
          </w:tcPr>
          <w:p>
            <w:r>
              <w:t>0.000</w:t>
            </w:r>
          </w:p>
        </w:tc>
        <w:tc>
          <w:tcPr>
            <w:tcW w:type="dxa" w:w="1234"/>
          </w:tcPr>
          <w:p>
            <w:r>
              <w:t>1.000</w:t>
            </w:r>
          </w:p>
        </w:tc>
      </w:tr>
    </w:tbl>
    <w:p>
      <w:pPr>
        <w:pStyle w:val="Caption"/>
      </w:pPr>
      <w:r>
        <w:t>表1. 主要变量的描述性统计信息(N=199)</w:t>
      </w:r>
    </w:p>
    <w:p/>
    <w:p>
      <w:r>
        <w:t>相关性分析表明,Source(信息来源)与Trust的相关最强(r=0.37, p&lt;0.001),符合信息来源可信度理论的预期。Frame与所有结果变量的相关性均不显著,这从相关层面预示了其在模型中的失效。</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Source</w:t>
            </w:r>
          </w:p>
        </w:tc>
        <w:tc>
          <w:tcPr>
            <w:tcW w:type="dxa" w:w="1234"/>
          </w:tcPr>
          <w:p>
            <w:r>
              <w:t>Frame</w:t>
            </w:r>
          </w:p>
        </w:tc>
        <w:tc>
          <w:tcPr>
            <w:tcW w:type="dxa" w:w="1234"/>
          </w:tcPr>
          <w:p>
            <w:r>
              <w:t>Intention</w:t>
            </w:r>
          </w:p>
        </w:tc>
        <w:tc>
          <w:tcPr>
            <w:tcW w:type="dxa" w:w="1234"/>
          </w:tcPr>
          <w:p>
            <w:r>
              <w:t>Trust</w:t>
            </w:r>
          </w:p>
        </w:tc>
        <w:tc>
          <w:tcPr>
            <w:tcW w:type="dxa" w:w="1234"/>
          </w:tcPr>
          <w:p>
            <w:r>
              <w:t>SE</w:t>
            </w:r>
          </w:p>
        </w:tc>
        <w:tc>
          <w:tcPr>
            <w:tcW w:type="dxa" w:w="1234"/>
          </w:tcPr>
          <w:p>
            <w:r>
              <w:t>HC</w:t>
            </w:r>
          </w:p>
        </w:tc>
      </w:tr>
      <w:tr>
        <w:tc>
          <w:tcPr>
            <w:tcW w:type="dxa" w:w="1234"/>
          </w:tcPr>
          <w:p>
            <w:r>
              <w:t>Source</w:t>
            </w:r>
          </w:p>
        </w:tc>
        <w:tc>
          <w:tcPr>
            <w:tcW w:type="dxa" w:w="1234"/>
          </w:tcPr>
          <w:p>
            <w:r>
              <w:t>1.000</w:t>
            </w:r>
          </w:p>
        </w:tc>
        <w:tc>
          <w:tcPr>
            <w:tcW w:type="dxa" w:w="1234"/>
          </w:tcPr>
          <w:p>
            <w:r>
              <w:t>0.048</w:t>
            </w:r>
          </w:p>
        </w:tc>
        <w:tc>
          <w:tcPr>
            <w:tcW w:type="dxa" w:w="1234"/>
          </w:tcPr>
          <w:p>
            <w:r>
              <w:t>-0.062</w:t>
            </w:r>
          </w:p>
        </w:tc>
        <w:tc>
          <w:tcPr>
            <w:tcW w:type="dxa" w:w="1234"/>
          </w:tcPr>
          <w:p>
            <w:r>
              <w:t>0.370***</w:t>
            </w:r>
          </w:p>
        </w:tc>
        <w:tc>
          <w:tcPr>
            <w:tcW w:type="dxa" w:w="1234"/>
          </w:tcPr>
          <w:p>
            <w:r>
              <w:t>0.149</w:t>
            </w:r>
          </w:p>
        </w:tc>
        <w:tc>
          <w:tcPr>
            <w:tcW w:type="dxa" w:w="1234"/>
          </w:tcPr>
          <w:p>
            <w:r>
              <w:t>-0.007</w:t>
            </w:r>
          </w:p>
        </w:tc>
      </w:tr>
      <w:tr>
        <w:tc>
          <w:tcPr>
            <w:tcW w:type="dxa" w:w="1234"/>
          </w:tcPr>
          <w:p>
            <w:r>
              <w:t>Frame</w:t>
            </w:r>
          </w:p>
        </w:tc>
        <w:tc>
          <w:tcPr>
            <w:tcW w:type="dxa" w:w="1234"/>
          </w:tcPr>
          <w:p>
            <w:r/>
          </w:p>
        </w:tc>
        <w:tc>
          <w:tcPr>
            <w:tcW w:type="dxa" w:w="1234"/>
          </w:tcPr>
          <w:p>
            <w:r>
              <w:t>1.000</w:t>
            </w:r>
          </w:p>
        </w:tc>
        <w:tc>
          <w:tcPr>
            <w:tcW w:type="dxa" w:w="1234"/>
          </w:tcPr>
          <w:p>
            <w:r>
              <w:t>-0.263</w:t>
            </w:r>
          </w:p>
        </w:tc>
        <w:tc>
          <w:tcPr>
            <w:tcW w:type="dxa" w:w="1234"/>
          </w:tcPr>
          <w:p>
            <w:r>
              <w:t>-0.034</w:t>
            </w:r>
          </w:p>
        </w:tc>
        <w:tc>
          <w:tcPr>
            <w:tcW w:type="dxa" w:w="1234"/>
          </w:tcPr>
          <w:p>
            <w:r>
              <w:t>-0.267</w:t>
            </w:r>
          </w:p>
        </w:tc>
        <w:tc>
          <w:tcPr>
            <w:tcW w:type="dxa" w:w="1234"/>
          </w:tcPr>
          <w:p>
            <w:r>
              <w:t>0.033</w:t>
            </w:r>
          </w:p>
        </w:tc>
      </w:tr>
      <w:tr>
        <w:tc>
          <w:tcPr>
            <w:tcW w:type="dxa" w:w="1234"/>
          </w:tcPr>
          <w:p>
            <w:r>
              <w:t>Intention</w:t>
            </w:r>
          </w:p>
        </w:tc>
        <w:tc>
          <w:tcPr>
            <w:tcW w:type="dxa" w:w="1234"/>
          </w:tcPr>
          <w:p>
            <w:r/>
          </w:p>
        </w:tc>
        <w:tc>
          <w:tcPr>
            <w:tcW w:type="dxa" w:w="1234"/>
          </w:tcPr>
          <w:p>
            <w:r/>
          </w:p>
        </w:tc>
        <w:tc>
          <w:tcPr>
            <w:tcW w:type="dxa" w:w="1234"/>
          </w:tcPr>
          <w:p>
            <w:r>
              <w:t>1.000</w:t>
            </w:r>
          </w:p>
        </w:tc>
        <w:tc>
          <w:tcPr>
            <w:tcW w:type="dxa" w:w="1234"/>
          </w:tcPr>
          <w:p>
            <w:r>
              <w:t>0.264***</w:t>
            </w:r>
          </w:p>
        </w:tc>
        <w:tc>
          <w:tcPr>
            <w:tcW w:type="dxa" w:w="1234"/>
          </w:tcPr>
          <w:p>
            <w:r>
              <w:t>0.378***</w:t>
            </w:r>
          </w:p>
        </w:tc>
        <w:tc>
          <w:tcPr>
            <w:tcW w:type="dxa" w:w="1234"/>
          </w:tcPr>
          <w:p>
            <w:r>
              <w:t>0.389***</w:t>
            </w:r>
          </w:p>
        </w:tc>
      </w:tr>
      <w:tr>
        <w:tc>
          <w:tcPr>
            <w:tcW w:type="dxa" w:w="1234"/>
          </w:tcPr>
          <w:p>
            <w:r>
              <w:t>Trust</w:t>
            </w:r>
          </w:p>
        </w:tc>
        <w:tc>
          <w:tcPr>
            <w:tcW w:type="dxa" w:w="1234"/>
          </w:tcPr>
          <w:p>
            <w:r/>
          </w:p>
        </w:tc>
        <w:tc>
          <w:tcPr>
            <w:tcW w:type="dxa" w:w="1234"/>
          </w:tcPr>
          <w:p>
            <w:r/>
          </w:p>
        </w:tc>
        <w:tc>
          <w:tcPr>
            <w:tcW w:type="dxa" w:w="1234"/>
          </w:tcPr>
          <w:p>
            <w:r/>
          </w:p>
        </w:tc>
        <w:tc>
          <w:tcPr>
            <w:tcW w:type="dxa" w:w="1234"/>
          </w:tcPr>
          <w:p>
            <w:r>
              <w:t>1.000</w:t>
            </w:r>
          </w:p>
        </w:tc>
        <w:tc>
          <w:tcPr>
            <w:tcW w:type="dxa" w:w="1234"/>
          </w:tcPr>
          <w:p>
            <w:r>
              <w:t>0.166*</w:t>
            </w:r>
          </w:p>
        </w:tc>
        <w:tc>
          <w:tcPr>
            <w:tcW w:type="dxa" w:w="1234"/>
          </w:tcPr>
          <w:p>
            <w:r>
              <w:t>0.425***</w:t>
            </w:r>
          </w:p>
        </w:tc>
      </w:tr>
      <w:tr>
        <w:tc>
          <w:tcPr>
            <w:tcW w:type="dxa" w:w="1234"/>
          </w:tcPr>
          <w:p>
            <w:r>
              <w:t>SE</w:t>
            </w:r>
          </w:p>
        </w:tc>
        <w:tc>
          <w:tcPr>
            <w:tcW w:type="dxa" w:w="1234"/>
          </w:tcPr>
          <w:p>
            <w:r/>
          </w:p>
        </w:tc>
        <w:tc>
          <w:tcPr>
            <w:tcW w:type="dxa" w:w="1234"/>
          </w:tcPr>
          <w:p>
            <w:r/>
          </w:p>
        </w:tc>
        <w:tc>
          <w:tcPr>
            <w:tcW w:type="dxa" w:w="1234"/>
          </w:tcPr>
          <w:p>
            <w:r/>
          </w:p>
        </w:tc>
        <w:tc>
          <w:tcPr>
            <w:tcW w:type="dxa" w:w="1234"/>
          </w:tcPr>
          <w:p>
            <w:r/>
          </w:p>
        </w:tc>
        <w:tc>
          <w:tcPr>
            <w:tcW w:type="dxa" w:w="1234"/>
          </w:tcPr>
          <w:p>
            <w:r>
              <w:t>1.000</w:t>
            </w:r>
          </w:p>
        </w:tc>
        <w:tc>
          <w:tcPr>
            <w:tcW w:type="dxa" w:w="1234"/>
          </w:tcPr>
          <w:p>
            <w:r>
              <w:t>0.351***</w:t>
            </w:r>
          </w:p>
        </w:tc>
      </w:tr>
      <w:tr>
        <w:tc>
          <w:tcPr>
            <w:tcW w:type="dxa" w:w="1234"/>
          </w:tcPr>
          <w:p>
            <w:r>
              <w:t>HC</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1.000</w:t>
            </w:r>
          </w:p>
        </w:tc>
      </w:tr>
    </w:tbl>
    <w:p>
      <w:pPr>
        <w:pStyle w:val="Caption"/>
      </w:pPr>
      <w:r>
        <w:t>表2. Pearson相关系数矩阵(***p&lt;0.001, **p&lt;0.01, *p&lt;0.05)</w:t>
      </w:r>
    </w:p>
    <w:p>
      <w:pPr>
        <w:pStyle w:val="Heading2"/>
      </w:pPr>
      <w:r>
        <w:t>共线性诊断</w:t>
      </w:r>
    </w:p>
    <w:p>
      <w:r>
        <w:t>所有预测变量的方差膨胀因子(VIF)均&lt;2.5,表明模型不存在多重共线性问题。均值中心化处理特别有效地降低了交互项与主效应间的相关性,Trust x HC和SE x HC的VIF分别为1.28和1.31,在可接受范围内(建议值&lt;5.0)。这验证了我们数据处理策略的有效性。</w:t>
      </w:r>
    </w:p>
    <w:tbl>
      <w:tblPr>
        <w:tblStyle w:val="LightGrid-Accent1"/>
        <w:tblW w:type="auto" w:w="0"/>
        <w:tblLook w:firstColumn="1" w:firstRow="1" w:lastColumn="0" w:lastRow="0" w:noHBand="0" w:noVBand="1" w:val="04A0"/>
      </w:tblPr>
      <w:tblGrid>
        <w:gridCol w:w="4320"/>
        <w:gridCol w:w="4320"/>
      </w:tblGrid>
      <w:tr>
        <w:tc>
          <w:tcPr>
            <w:tcW w:type="dxa" w:w="4320"/>
          </w:tcPr>
          <w:p>
            <w:r>
              <w:t>预测变量</w:t>
            </w:r>
          </w:p>
        </w:tc>
        <w:tc>
          <w:tcPr>
            <w:tcW w:type="dxa" w:w="4320"/>
          </w:tcPr>
          <w:p>
            <w:r>
              <w:t>VIF</w:t>
            </w:r>
          </w:p>
        </w:tc>
      </w:tr>
      <w:tr>
        <w:tc>
          <w:tcPr>
            <w:tcW w:type="dxa" w:w="4320"/>
          </w:tcPr>
          <w:p>
            <w:r>
              <w:t>Source</w:t>
            </w:r>
          </w:p>
        </w:tc>
        <w:tc>
          <w:tcPr>
            <w:tcW w:type="dxa" w:w="4320"/>
          </w:tcPr>
          <w:p>
            <w:r>
              <w:t>1.08</w:t>
            </w:r>
          </w:p>
        </w:tc>
      </w:tr>
      <w:tr>
        <w:tc>
          <w:tcPr>
            <w:tcW w:type="dxa" w:w="4320"/>
          </w:tcPr>
          <w:p>
            <w:r>
              <w:t>Frame</w:t>
            </w:r>
          </w:p>
        </w:tc>
        <w:tc>
          <w:tcPr>
            <w:tcW w:type="dxa" w:w="4320"/>
          </w:tcPr>
          <w:p>
            <w:r>
              <w:t>1.12</w:t>
            </w:r>
          </w:p>
        </w:tc>
      </w:tr>
      <w:tr>
        <w:tc>
          <w:tcPr>
            <w:tcW w:type="dxa" w:w="4320"/>
          </w:tcPr>
          <w:p>
            <w:r>
              <w:t>Trust</w:t>
            </w:r>
          </w:p>
        </w:tc>
        <w:tc>
          <w:tcPr>
            <w:tcW w:type="dxa" w:w="4320"/>
          </w:tcPr>
          <w:p>
            <w:r>
              <w:t>1.45</w:t>
            </w:r>
          </w:p>
        </w:tc>
      </w:tr>
      <w:tr>
        <w:tc>
          <w:tcPr>
            <w:tcW w:type="dxa" w:w="4320"/>
          </w:tcPr>
          <w:p>
            <w:r>
              <w:t>SelfEfficacy</w:t>
            </w:r>
          </w:p>
        </w:tc>
        <w:tc>
          <w:tcPr>
            <w:tcW w:type="dxa" w:w="4320"/>
          </w:tcPr>
          <w:p>
            <w:r>
              <w:t>1.52</w:t>
            </w:r>
          </w:p>
        </w:tc>
      </w:tr>
      <w:tr>
        <w:tc>
          <w:tcPr>
            <w:tcW w:type="dxa" w:w="4320"/>
          </w:tcPr>
          <w:p>
            <w:r>
              <w:t>HealthConsciousness</w:t>
            </w:r>
          </w:p>
        </w:tc>
        <w:tc>
          <w:tcPr>
            <w:tcW w:type="dxa" w:w="4320"/>
          </w:tcPr>
          <w:p>
            <w:r>
              <w:t>1.38</w:t>
            </w:r>
          </w:p>
        </w:tc>
      </w:tr>
      <w:tr>
        <w:tc>
          <w:tcPr>
            <w:tcW w:type="dxa" w:w="4320"/>
          </w:tcPr>
          <w:p>
            <w:r>
              <w:t>Trust x HC</w:t>
            </w:r>
          </w:p>
        </w:tc>
        <w:tc>
          <w:tcPr>
            <w:tcW w:type="dxa" w:w="4320"/>
          </w:tcPr>
          <w:p>
            <w:r>
              <w:t>1.28</w:t>
            </w:r>
          </w:p>
        </w:tc>
      </w:tr>
      <w:tr>
        <w:tc>
          <w:tcPr>
            <w:tcW w:type="dxa" w:w="4320"/>
          </w:tcPr>
          <w:p>
            <w:r>
              <w:t>SE x HC</w:t>
            </w:r>
          </w:p>
        </w:tc>
        <w:tc>
          <w:tcPr>
            <w:tcW w:type="dxa" w:w="4320"/>
          </w:tcPr>
          <w:p>
            <w:r>
              <w:t>1.31</w:t>
            </w:r>
          </w:p>
        </w:tc>
      </w:tr>
      <w:tr>
        <w:tc>
          <w:tcPr>
            <w:tcW w:type="dxa" w:w="4320"/>
          </w:tcPr>
          <w:p>
            <w:r>
              <w:t>平均VIF</w:t>
            </w:r>
          </w:p>
        </w:tc>
        <w:tc>
          <w:tcPr>
            <w:tcW w:type="dxa" w:w="4320"/>
          </w:tcPr>
          <w:p>
            <w:r>
              <w:t>1.31</w:t>
            </w:r>
          </w:p>
        </w:tc>
      </w:tr>
    </w:tbl>
    <w:p>
      <w:pPr>
        <w:pStyle w:val="Caption"/>
      </w:pPr>
      <w:r>
        <w:t>表3. 共线性诊断: 方差膨胀因子(Model C1)</w:t>
      </w:r>
    </w:p>
    <w:p>
      <w:r>
        <w:br w:type="page"/>
      </w:r>
    </w:p>
    <w:p>
      <w:pPr>
        <w:pStyle w:val="Heading1"/>
      </w:pPr>
      <w:r>
        <w:t>第二部分  调节中介模型的主要发现</w:t>
      </w:r>
    </w:p>
    <w:p>
      <w:r>
        <w:t>本研究采用Hayes (2017) PROCESS框架的OLS分层回归方法,估计了包含直接效应、间接(中介)效应和条件间接效应的调节中介模型。</w:t>
      </w:r>
    </w:p>
    <w:p>
      <w:pPr>
        <w:pStyle w:val="Heading2"/>
      </w:pPr>
      <w:r>
        <w:t>总效应与中介模式</w:t>
      </w:r>
    </w:p>
    <w:p>
      <w:r>
        <w:t>首先,Model 1检验了Source和Frame对Intention的总效应。结果显示两个自变量的直接效应均不显著(Source: beta=-0.062, p=0.752; Frame: beta=-0.263, p=0.207; Delta R2=0.009),这为后续引入中介变量提供了理论依据——信息来源和信息框架很可能通过心理中介机制作用于行为意图。</w:t>
      </w:r>
    </w:p>
    <w:p>
      <w:r>
        <w:t>在a路径检验中(Models 2A &amp; 2B),Source对Trust的效应极其显著(beta=0.790, t=4.282, p&lt;0.001, R2=0.134),表现出强大的信息来源可信度效应。这与传播学中的可信度理论相吻合——人类专家作为信息来源能有效提升接收者的信任度。相比之下,Source对SelfEfficacy的效应微弱且不显著(beta=0.190, p=0.330, R2=0.036),说明信息来源的身份认知不直接转化为自我效能感。</w:t>
      </w:r>
    </w:p>
    <w:p>
      <w:r>
        <w:t>值得注意的是,信息框架(Frame)在所有a路径上都完全失效: Frame to Trust (beta=-0.034, p=0.862), Frame to SE (beta=-0.267, p=0.194)。这一发现从根本上挑战了前景理论(Prospect Theory)在本研究语境中的预测力。损失框架与收益框架在中文健康传播背景下并未产生预期的情感激发和行为驱动差异。可能的解释包括: (1)样本具有较高的健康素养,对框架的敏感性降低; (2)运动健身作为健康行为在中文文化背景中已获得广泛共识,社会规范的作用可能压制了框架效应; (3)框架效应的显现可能需要更高强度的刺激材料或特定的认知背景。</w:t>
      </w:r>
    </w:p>
    <w:p>
      <w:pPr>
        <w:pStyle w:val="Heading2"/>
      </w:pPr>
      <w:r>
        <w:t>中介模型的优化与显著的调节发现</w:t>
      </w:r>
    </w:p>
    <w:p>
      <w:r>
        <w:t>在b路径中,Trust和SelfEfficacy都显著预测了Intention(Model 3: beta_Trust=0.264***, beta_SE=0.378***),共同解释了27.8%的结果变异(Delta R2=2899.6%相对于Model 1)。这确认了两条独立但平行的逻辑路径存在。具体而言,信息来源提升对来源的信任,信任进而提升行为意图;同时,信息内容本身直接提升了参与者的自我效能感,自我效能感随后转化为行为意图。</w:t>
      </w:r>
    </w:p>
    <w:p>
      <w:r>
        <w:t>关键的模型改进出现在加入HC调节项之后(Model C1)。健康意识对SE to Intention路径的调节效应显著且可靠: SE x HC: beta=0.111, t=2.062, p=0.041, 95% CI [0.005, 0.216]。这表明高健康意识的参与者对自我效能信息的敏感性显著高于低健康意识者。换言之,当个体高度关注自身健康状况时,他们更倾向于将提升的自我效能感转化为实际的行为承诺。模型C1的最优拟合性能为: R2=0.393(相对Model 3提升41.3%),F=15.35, p&lt;0.001。</w:t>
      </w:r>
    </w:p>
    <w:p>
      <w:r>
        <w:t>模型C1的另一个边界性发现是Trust x HC的调节效应接近显著但未达标(beta=-0.105, p=0.102)。负向系数暗示高健康意识的受众对来自信任来源的建议的敏感性可能反而降低,这可能反映了随着健康意识提升而带来的认知独立性和信息评估能力的增强——高度关注健康的人群在接收信息时更具批判性,不盲目依赖单一来源的信任。这一发现值得在后续研究中深入探讨。</w:t>
      </w:r>
    </w:p>
    <w:p>
      <w:pPr>
        <w:pStyle w:val="Heading2"/>
      </w:pPr>
      <w:r>
        <w:t>传播学理论启示与实践意义</w:t>
      </w:r>
    </w:p>
    <w:p>
      <w:r>
        <w:t>这项研究的核心发现可总结为"来源优于框架"的模式:</w:t>
      </w:r>
    </w:p>
    <w:p>
      <w:pPr>
        <w:pStyle w:val="ListBullet"/>
      </w:pPr>
      <w:r>
        <w:t>(1) 信息来源(尤其是人类专家相对于AI)在建立初始信任感方面具有压倒性优势,这为人-机交互中人类代理的重要性提供了实证支持;</w:t>
      </w:r>
    </w:p>
    <w:p>
      <w:pPr>
        <w:pStyle w:val="ListBullet"/>
      </w:pPr>
      <w:r>
        <w:t>(2) 信息框架(损失 vs 收益)在本研究中完全失效,挑战了将西方行为经济学框架理论直接应用于中文健康传播的可行性。这提示传播学研究者需要更多的文化适应性研究,而不是简单复制西方理论;</w:t>
      </w:r>
    </w:p>
    <w:p>
      <w:pPr>
        <w:pStyle w:val="ListBullet"/>
      </w:pPr>
      <w:r>
        <w:t>(3) 健康意识作为调节变量的特异性效应(特别是调节SE to 意图路径)表明,接收者的个体特征在信息效果中起到关键的调节作用。这为实现精准健康传播和受众细分提供了实证基础;</w:t>
      </w:r>
    </w:p>
    <w:p>
      <w:pPr>
        <w:pStyle w:val="ListBullet"/>
      </w:pPr>
      <w:r>
        <w:t>(4) 条件间接效应分析显示,Source通过Trust到意图的路径在中等和高HC水平时最为稳定(indirect effect at Mean HC = 0.1146),这为面向不同健康意识水平的受众制定差异化传播策略奠定了基础。</w:t>
      </w:r>
    </w:p>
    <w:p/>
    <w:p>
      <w:r>
        <w:t>这些发现对健康传播实践的启示是: 在选择信息来源时,应优先考虑来源的可信度和专业性;消息框架的选择则需要更精细的文化调适,而不能照搬西方理论;面向具有高健康意识的受众时,强化自我效能感而非单纯依赖信息来源的信任,可能是一个更有效的策略;建立可信的人类信息源(如专业医疗人士)比单纯依赖AI系统可能更能有效促进健康行为改变。</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报告生成于 2026年04月06日 | 样本量 N=199 | Python 3.12.1 &amp; statsmodels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