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55D19">
      <w:pPr>
        <w:rPr>
          <w:rFonts w:hint="eastAsia"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AI fitness</w:t>
      </w:r>
      <w:r>
        <w:rPr>
          <w:rFonts w:hint="default" w:ascii="Times New Roman Regular" w:hAnsi="Times New Roman Regular" w:cs="Times New Roman Regular"/>
          <w:b/>
          <w:bCs/>
          <w:sz w:val="24"/>
          <w:szCs w:val="24"/>
          <w:lang w:val="en-US" w:eastAsia="zh-CN"/>
        </w:rPr>
        <w:t xml:space="preserve"> Coach</w:t>
      </w:r>
      <w:r>
        <w:rPr>
          <w:rFonts w:hint="eastAsia" w:ascii="Times New Roman Regular" w:hAnsi="Times New Roman Regular" w:cs="Times New Roman Regular"/>
          <w:b/>
          <w:bCs/>
          <w:sz w:val="24"/>
          <w:szCs w:val="24"/>
          <w:lang w:val="en-US" w:eastAsia="zh-CN"/>
        </w:rPr>
        <w:t xml:space="preserve"> Literature Review</w:t>
      </w:r>
    </w:p>
    <w:p w14:paraId="06C32954">
      <w:pPr>
        <w:rPr>
          <w:rFonts w:hint="default" w:ascii="Times New Roman Regular" w:hAnsi="Times New Roman Regular" w:cs="Times New Roman Regular"/>
          <w:b/>
          <w:bCs/>
          <w:sz w:val="24"/>
          <w:szCs w:val="24"/>
          <w:lang w:val="en-US" w:eastAsia="zh-CN"/>
        </w:rPr>
      </w:pPr>
      <w:r>
        <w:rPr>
          <w:rFonts w:hint="eastAsia" w:ascii="Times New Roman Regular" w:hAnsi="Times New Roman Regular" w:cs="Times New Roman Regular"/>
          <w:b/>
          <w:bCs/>
          <w:sz w:val="24"/>
          <w:szCs w:val="24"/>
          <w:lang w:val="en-US" w:eastAsia="zh-CN"/>
        </w:rPr>
        <w:t>Cher - Draft</w:t>
      </w:r>
    </w:p>
    <w:p w14:paraId="6714A9E4">
      <w:pPr>
        <w:rPr>
          <w:rFonts w:hint="default" w:ascii="Times New Roman Regular" w:hAnsi="Times New Roman Regular" w:cs="Times New Roman Regular"/>
          <w:sz w:val="24"/>
          <w:szCs w:val="24"/>
          <w:lang w:val="en-US" w:eastAsia="zh-CN"/>
        </w:rPr>
      </w:pPr>
    </w:p>
    <w:p w14:paraId="5E1D2567">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Regular" w:hAnsi="Times New Roman Regular" w:cs="Times New Roman Regular"/>
          <w:b/>
          <w:bCs w:val="0"/>
          <w:sz w:val="24"/>
          <w:szCs w:val="24"/>
          <w:lang w:val="en-US" w:eastAsia="zh-CN"/>
        </w:rPr>
      </w:pPr>
      <w:r>
        <w:rPr>
          <w:rFonts w:hint="eastAsia" w:ascii="Times New Roman Regular" w:hAnsi="Times New Roman Regular" w:cs="Times New Roman Regular"/>
          <w:b/>
          <w:bCs w:val="0"/>
          <w:sz w:val="24"/>
          <w:szCs w:val="24"/>
          <w:lang w:val="en-US" w:eastAsia="zh-CN"/>
        </w:rPr>
        <w:t xml:space="preserve">Introduction &amp; </w:t>
      </w:r>
      <w:r>
        <w:rPr>
          <w:rFonts w:hint="default" w:ascii="Times New Roman Regular" w:hAnsi="Times New Roman Regular" w:cs="Times New Roman Regular"/>
          <w:b/>
          <w:bCs w:val="0"/>
          <w:sz w:val="24"/>
          <w:szCs w:val="24"/>
          <w:lang w:val="en-US" w:eastAsia="zh-CN"/>
        </w:rPr>
        <w:t>Literature Review</w:t>
      </w:r>
    </w:p>
    <w:p w14:paraId="07FAACCC">
      <w:pPr>
        <w:keepNext w:val="0"/>
        <w:keepLines w:val="0"/>
        <w:pageBreakBefore w:val="0"/>
        <w:widowControl/>
        <w:numPr>
          <w:numId w:val="0"/>
        </w:numPr>
        <w:kinsoku/>
        <w:wordWrap/>
        <w:overflowPunct/>
        <w:topLinePunct w:val="0"/>
        <w:autoSpaceDE/>
        <w:autoSpaceDN/>
        <w:bidi w:val="0"/>
        <w:adjustRightInd/>
        <w:snapToGrid/>
        <w:spacing w:afterAutospacing="0" w:line="360" w:lineRule="auto"/>
        <w:ind w:leftChars="0"/>
        <w:textAlignment w:val="auto"/>
        <w:rPr>
          <w:rFonts w:hint="default" w:ascii="Times New Roman Regular" w:hAnsi="Times New Roman Regular" w:cs="Times New Roman Regular"/>
          <w:b w:val="0"/>
          <w:bCs/>
          <w:sz w:val="24"/>
          <w:szCs w:val="24"/>
          <w:lang w:val="en-US" w:eastAsia="zh-CN"/>
        </w:rPr>
      </w:pPr>
    </w:p>
    <w:p w14:paraId="0F62D593">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b w:val="0"/>
          <w:bCs/>
          <w:sz w:val="24"/>
          <w:szCs w:val="24"/>
          <w:lang w:val="en-US" w:eastAsia="zh-CN" w:bidi="ar-SA"/>
        </w:rPr>
      </w:pPr>
      <w:bookmarkStart w:id="0" w:name="_GoBack"/>
      <w:bookmarkEnd w:id="0"/>
      <w:r>
        <w:rPr>
          <w:rFonts w:hint="default" w:ascii="Times New Roman Regular" w:hAnsi="Times New Roman Regular" w:cs="Times New Roman Regular"/>
          <w:b w:val="0"/>
          <w:bCs/>
          <w:sz w:val="24"/>
          <w:szCs w:val="24"/>
          <w:lang w:val="en-US" w:eastAsia="zh-CN"/>
        </w:rPr>
        <w:t xml:space="preserve">Nowadays, high levels of sedentary(sitting) time has become common for office-based workers in the work culture. </w:t>
      </w:r>
      <w:r>
        <w:rPr>
          <w:rFonts w:hint="default" w:ascii="Times New Roman Regular" w:hAnsi="Times New Roman Regular" w:cs="Times New Roman Regular"/>
          <w:b w:val="0"/>
          <w:bCs/>
          <w:sz w:val="24"/>
          <w:szCs w:val="24"/>
          <w:lang w:val="en-US" w:eastAsia="zh-CN"/>
        </w:rPr>
        <w:t xml:space="preserve">Office workers have around 9.22 hours per day in sedentary behavior and 0.56 hours in moderate-to-vigorous physical activity (Park et al.,2024). </w:t>
      </w:r>
      <w:r>
        <w:rPr>
          <w:rFonts w:hint="default" w:ascii="Times New Roman Regular" w:hAnsi="Times New Roman Regular" w:cs="Times New Roman Regular"/>
          <w:b w:val="0"/>
          <w:bCs/>
          <w:sz w:val="24"/>
          <w:szCs w:val="24"/>
          <w:lang w:val="en-US" w:eastAsia="zh-CN"/>
        </w:rPr>
        <w:t xml:space="preserve">Studies have showed that office workers are significantly more sedentary on workdays compared to non-workdays. During the workday, </w:t>
      </w:r>
      <w:r>
        <w:rPr>
          <w:rFonts w:hint="default" w:ascii="Times New Roman Regular" w:hAnsi="Times New Roman Regular" w:cs="Times New Roman Regular"/>
          <w:b w:val="0"/>
          <w:bCs/>
          <w:sz w:val="24"/>
          <w:szCs w:val="24"/>
          <w:lang w:val="en-US" w:eastAsia="zh-CN"/>
        </w:rPr>
        <w:t xml:space="preserve">sedentary behavior is higher up to 71% </w:t>
      </w:r>
      <w:r>
        <w:rPr>
          <w:rFonts w:hint="default" w:ascii="Times New Roman Regular" w:hAnsi="Times New Roman Regular" w:cs="Times New Roman Regular" w:eastAsiaTheme="minorEastAsia"/>
          <w:b w:val="0"/>
          <w:bCs/>
          <w:sz w:val="24"/>
          <w:szCs w:val="24"/>
          <w:lang w:val="en-US" w:eastAsia="zh-CN" w:bidi="ar-SA"/>
        </w:rPr>
        <w:t>(Clemes et al., 2014). Prolong sitting and lack of physical activity can cause many health issues such as chronic diseases and metabolic syndrome. Studies showed that sedentary activity is associated with increased risk of obesity</w:t>
      </w:r>
      <w:r>
        <w:rPr>
          <w:rFonts w:hint="default" w:ascii="Times New Roman Regular" w:hAnsi="Times New Roman Regular" w:cs="Times New Roman Regular" w:eastAsiaTheme="minorEastAsia"/>
          <w:b w:val="0"/>
          <w:bCs/>
          <w:sz w:val="24"/>
          <w:szCs w:val="24"/>
          <w:lang w:val="en-US" w:eastAsia="zh-CN" w:bidi="ar-SA"/>
        </w:rPr>
        <w:t xml:space="preserve">, </w:t>
      </w:r>
      <w:r>
        <w:rPr>
          <w:rFonts w:hint="default" w:ascii="Times New Roman Regular" w:hAnsi="Times New Roman Regular" w:cs="Times New Roman Regular" w:eastAsiaTheme="minorEastAsia"/>
          <w:b w:val="0"/>
          <w:bCs/>
          <w:sz w:val="24"/>
          <w:szCs w:val="24"/>
          <w:lang w:val="en-US" w:eastAsia="zh-CN" w:bidi="ar-SA"/>
        </w:rPr>
        <w:t>type 2 diabetes</w:t>
      </w:r>
      <w:r>
        <w:rPr>
          <w:rFonts w:hint="default" w:ascii="Times New Roman Regular" w:hAnsi="Times New Roman Regular" w:cs="Times New Roman Regular" w:eastAsiaTheme="minorEastAsia"/>
          <w:b w:val="0"/>
          <w:bCs/>
          <w:sz w:val="24"/>
          <w:szCs w:val="24"/>
          <w:lang w:val="en-US" w:eastAsia="zh-CN" w:bidi="ar-SA"/>
        </w:rPr>
        <w:t xml:space="preserve"> and cardiovascular disease </w:t>
      </w:r>
      <w:r>
        <w:rPr>
          <w:rFonts w:hint="default" w:ascii="Times New Roman Regular" w:hAnsi="Times New Roman Regular" w:cs="Times New Roman Regular" w:eastAsiaTheme="minorEastAsia"/>
          <w:b w:val="0"/>
          <w:bCs/>
          <w:sz w:val="24"/>
          <w:szCs w:val="24"/>
          <w:lang w:val="en-US" w:eastAsia="zh-CN" w:bidi="ar-SA"/>
        </w:rPr>
        <w:t>(Genin et al., 2018; Arippa et al., 2023)</w:t>
      </w:r>
      <w:r>
        <w:rPr>
          <w:rFonts w:hint="default" w:ascii="Times New Roman Regular" w:hAnsi="Times New Roman Regular" w:cs="Times New Roman Regular" w:eastAsiaTheme="minorEastAsia"/>
          <w:b w:val="0"/>
          <w:bCs/>
          <w:sz w:val="24"/>
          <w:szCs w:val="24"/>
          <w:lang w:val="en-US" w:eastAsia="zh-CN" w:bidi="ar-SA"/>
        </w:rPr>
        <w:t xml:space="preserve">. Moreover, lacking physical activity or high levels of sedentary behavior is linked to increased risk of mental health issues among working adults such as depression, anxiety and stress. Each extra hour of daily sedentary time is associated with 3%-5% higher odds of depression (Wang &amp; Deng, 2025). To solve those issues, digital interventions, ranging from smartphone apps and wearable devices to web-based platforms are developed to help working adults sit less and move more. Smartphone apps and activity trackers deliver prompts, track activity, set goals and provide feedback to office workers </w:t>
      </w:r>
      <w:r>
        <w:rPr>
          <w:rFonts w:hint="default" w:ascii="Times New Roman Regular" w:hAnsi="Times New Roman Regular" w:cs="Times New Roman Regular" w:eastAsiaTheme="minorEastAsia"/>
          <w:b w:val="0"/>
          <w:bCs/>
          <w:sz w:val="24"/>
          <w:szCs w:val="24"/>
          <w:lang w:val="en-US" w:eastAsia="zh-CN" w:bidi="ar-SA"/>
        </w:rPr>
        <w:t>(Parés-Salomón et al., 2024)</w:t>
      </w:r>
      <w:r>
        <w:rPr>
          <w:rFonts w:hint="default" w:ascii="Times New Roman Regular" w:hAnsi="Times New Roman Regular" w:cs="Times New Roman Regular" w:eastAsiaTheme="minorEastAsia"/>
          <w:b w:val="0"/>
          <w:bCs/>
          <w:sz w:val="24"/>
          <w:szCs w:val="24"/>
          <w:lang w:val="en-US" w:eastAsia="zh-CN" w:bidi="ar-SA"/>
        </w:rPr>
        <w:t>. For example, worktivity app was developed to reduce occupational sedentary behavior by allowing users to self-monitor their sedentary behavior, receive feedback and getting prompts to break up sitting time (Stephenson et al., 2021). Another mobile app named Walk@Work-App was developed to use real-time feedback and automated strategies to help employees sit less and move more (Bort-Roig et al., 2020)</w:t>
      </w:r>
      <w:r>
        <w:rPr>
          <w:rFonts w:hint="default" w:ascii="Times New Roman Regular" w:hAnsi="Times New Roman Regular" w:cs="Times New Roman Regular" w:eastAsiaTheme="minorEastAsia"/>
          <w:b w:val="0"/>
          <w:bCs/>
          <w:sz w:val="24"/>
          <w:szCs w:val="24"/>
          <w:lang w:val="en-US" w:eastAsia="zh-CN" w:bidi="ar-SA"/>
        </w:rPr>
        <w:t>.</w:t>
      </w:r>
      <w:r>
        <w:rPr>
          <w:rFonts w:hint="default" w:ascii="Times New Roman Regular" w:hAnsi="Times New Roman Regular" w:cs="Times New Roman Regular" w:eastAsiaTheme="minorEastAsia"/>
          <w:b w:val="0"/>
          <w:bCs/>
          <w:sz w:val="24"/>
          <w:szCs w:val="24"/>
          <w:lang w:val="en-US" w:eastAsia="zh-CN" w:bidi="ar-SA"/>
        </w:rPr>
        <w:t xml:space="preserve"> Gamification and nudges were also used in digital apps to increase physical activity. One study conducted by Mamede et al. (2021) shows that the MoveMore, a gamified digital app tested with 298 Dutch office workers, increased daily steps by around 634 steps more than the control group during the 5-week gamification. </w:t>
      </w:r>
      <w:r>
        <w:rPr>
          <w:rFonts w:hint="default" w:ascii="Times New Roman Regular" w:hAnsi="Times New Roman Regular" w:cs="Times New Roman Regular" w:eastAsiaTheme="minorEastAsia"/>
          <w:b w:val="0"/>
          <w:bCs/>
          <w:sz w:val="24"/>
          <w:szCs w:val="24"/>
          <w:lang w:val="en-US" w:eastAsia="zh-CN" w:bidi="ar-SA"/>
        </w:rPr>
        <w:t xml:space="preserve">As nowadays artificial intelligence offers many digital solutions to increase office workers’ physical activity, AI can detect behavioral patterns and monitor individuals’ data in real-time to give exercise recommendations. For example, based on users’ past performance, the CalFit app uses reinforcement learning to generate daily step goals that are challenging but achievable. </w:t>
      </w:r>
      <w:r>
        <w:rPr>
          <w:rFonts w:hint="default" w:ascii="Times New Roman Regular" w:hAnsi="Times New Roman Regular" w:cs="Times New Roman Regular" w:eastAsiaTheme="minorEastAsia"/>
          <w:b w:val="0"/>
          <w:bCs/>
          <w:sz w:val="24"/>
          <w:szCs w:val="24"/>
          <w:lang w:val="en-US" w:eastAsia="zh-CN" w:bidi="ar-SA"/>
        </w:rPr>
        <w:t xml:space="preserve">(An et al., 2023). Although there are many studies focused on digital interventions for working population, only a few studies related to how AI as a fitness coach can help office workers increase physical activity. Many studies discussed how AI can detect their biological data such as heart rate and steps, but limited research emphasize whether users are willing to follow AI’s fitness recommendations. </w:t>
      </w:r>
    </w:p>
    <w:p w14:paraId="3A4E8BC3">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b w:val="0"/>
          <w:bCs/>
          <w:sz w:val="24"/>
          <w:szCs w:val="24"/>
          <w:lang w:val="en-US" w:eastAsia="zh-CN" w:bidi="ar-SA"/>
        </w:rPr>
      </w:pPr>
    </w:p>
    <w:p w14:paraId="0B5C8DD4">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sz w:val="24"/>
          <w:szCs w:val="24"/>
          <w:lang w:val="en-US" w:eastAsia="zh-CN"/>
        </w:rPr>
        <w:t>The elaboration likelihood model (ELM) explains how communications persuade individuals and change attitudes. The change occurs through two routes: a central route and a peripheral route. The central route refers to careful thought arguments, and a peripheral route refers to simple cues. The level of elaboration relies on individuals</w:t>
      </w:r>
      <w:r>
        <w:rPr>
          <w:rFonts w:hint="default"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lang w:val="en-US" w:eastAsia="zh-CN"/>
        </w:rPr>
        <w:t xml:space="preserve"> motivation and ability to process information, which eventually lead to attitude c</w:t>
      </w:r>
      <w:r>
        <w:rPr>
          <w:rFonts w:hint="default" w:ascii="Times New Roman Regular" w:hAnsi="Times New Roman Regular" w:cs="Times New Roman Regular"/>
          <w:sz w:val="24"/>
          <w:szCs w:val="24"/>
          <w:lang w:val="en-US" w:eastAsia="zh-CN"/>
        </w:rPr>
        <w:t>h</w:t>
      </w:r>
      <w:r>
        <w:rPr>
          <w:rFonts w:hint="default" w:ascii="Times New Roman Regular" w:hAnsi="Times New Roman Regular" w:cs="Times New Roman Regular" w:eastAsiaTheme="minorEastAsia"/>
          <w:sz w:val="24"/>
          <w:szCs w:val="24"/>
          <w:lang w:val="en-US" w:eastAsia="zh-CN" w:bidi="ar-SA"/>
        </w:rPr>
        <w:t>ange (Petty et al., 1981; Lewis et al., 2021)</w:t>
      </w:r>
      <w:r>
        <w:rPr>
          <w:rFonts w:hint="default" w:ascii="Times New Roman Regular" w:hAnsi="Times New Roman Regular" w:cs="Times New Roman Regular" w:eastAsiaTheme="minorEastAsia"/>
          <w:sz w:val="24"/>
          <w:szCs w:val="24"/>
          <w:lang w:val="en-US" w:eastAsia="zh-CN" w:bidi="ar-SA"/>
        </w:rPr>
        <w:t>. A study using Elaboration Likelihood Model showed that source credibility influences persuasion process. Messages from a credible source such as medical doctor are more likely to led to more positive exercise intentions compared to non-credible source such as high school student (Jones et al., 2003)</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In the health context, since individuals often lack medical knowledge, they are inclined to use the peripheral route (Claggett et al.,2024). Through the online health information assessment conducted by Claggett et al (2024), it argues that physician authorship significantly increase individuals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source credibility perceptions, which in the end increase users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willingness to follow health advice. On the contrast, AI doctors are often perceived as less credible and trustworthy compared to human, individuals are less willing to follow AI-generated medical advice (Oh et al., 2025; Reis et al., 2024). </w:t>
      </w:r>
    </w:p>
    <w:p w14:paraId="7C1CF2E5">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2ECD50C4">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Similarly, how messages are framed also influence users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attitude and behavior intention. Research have showed that gain-framed messages promote more positive attitudes for preventative behavior such as physical activity (Bartels et al., 2010; Berenbaum &amp; Latimer-Cheung, 2014; Nirmala et al., 2025). A study of conducted by </w:t>
      </w:r>
      <w:r>
        <w:rPr>
          <w:rFonts w:hint="default" w:ascii="Times New Roman Regular" w:hAnsi="Times New Roman Regular" w:cs="Times New Roman Regular" w:eastAsiaTheme="minorEastAsia"/>
          <w:sz w:val="24"/>
          <w:szCs w:val="24"/>
          <w:lang w:val="en-US" w:eastAsia="zh-CN" w:bidi="ar-SA"/>
        </w:rPr>
        <w:t>Berenbaum &amp; Latimer-Cheung(2014) showed that</w:t>
      </w:r>
      <w:r>
        <w:rPr>
          <w:rFonts w:hint="default" w:ascii="Times New Roman Regular" w:hAnsi="Times New Roman Regular" w:cs="Times New Roman Regular" w:eastAsiaTheme="minorEastAsia"/>
          <w:sz w:val="24"/>
          <w:szCs w:val="24"/>
          <w:lang w:val="en-US" w:eastAsia="zh-CN" w:bidi="ar-SA"/>
        </w:rPr>
        <w:t xml:space="preserve"> 60 low-to-moderately active women who exposed to gain-framed physical activity ads reported more favorable attitudes compared to those who saw loss-framed ads. Additionally, participants who read gain-framed messages reported higher intentions to engage in physical activity and to take 10,000 steps daily (</w:t>
      </w:r>
      <w:r>
        <w:rPr>
          <w:rFonts w:hint="default" w:ascii="Times New Roman Regular" w:hAnsi="Times New Roman Regular" w:cs="Times New Roman Regular" w:eastAsiaTheme="minorEastAsia"/>
          <w:sz w:val="24"/>
          <w:szCs w:val="24"/>
          <w:lang w:val="en-US" w:eastAsia="zh-CN" w:bidi="ar-SA"/>
        </w:rPr>
        <w:t>Nirmala et al., 2025). Although existing literature did not directly discuss message framing as a core variable within the Elaboration Likelihood Model, framing can make a message more relevant or fluent, increasing scrutiny(central processing) when it matches individuals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motivational orientation.When gain/loss frames are tailored to participants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approach, they are more sensitive to argument quality and show higher elaborati</w:t>
      </w:r>
      <w:r>
        <w:rPr>
          <w:rFonts w:hint="default" w:ascii="Times New Roman Regular" w:hAnsi="Times New Roman Regular" w:cs="Times New Roman Regular" w:eastAsiaTheme="minorEastAsia"/>
          <w:sz w:val="24"/>
          <w:szCs w:val="24"/>
          <w:lang w:val="en-US" w:eastAsia="zh-CN" w:bidi="ar-SA"/>
        </w:rPr>
        <w:t>on(Updegraff et al., 2007).</w:t>
      </w:r>
      <w:r>
        <w:rPr>
          <w:rFonts w:hint="default" w:ascii="Times New Roman Regular" w:hAnsi="Times New Roman Regular" w:cs="Times New Roman Regular" w:eastAsiaTheme="minorEastAsia"/>
          <w:sz w:val="24"/>
          <w:szCs w:val="24"/>
          <w:lang w:val="en-US" w:eastAsia="zh-CN" w:bidi="ar-SA"/>
        </w:rPr>
        <w:t xml:space="preserve"> Gain-framed messages are more effective in promoting preventing behaviors when individuals are motivated through central route, which increases beh</w:t>
      </w:r>
      <w:r>
        <w:rPr>
          <w:rFonts w:hint="default" w:ascii="Times New Roman Regular" w:hAnsi="Times New Roman Regular" w:cs="Times New Roman Regular" w:eastAsiaTheme="minorEastAsia"/>
          <w:sz w:val="24"/>
          <w:szCs w:val="24"/>
          <w:lang w:val="en-US" w:eastAsia="zh-CN" w:bidi="ar-SA"/>
        </w:rPr>
        <w:t>avior intentions (Gallagher &amp; Updegraff, 2012; Mikels et al., 2021). Although both message framing and source credibility are essential for persuasion process in elaboration likelihood model, but only a few studies explain how they integrate together can influence individuals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attitude and behavior in the health context. Therefore, this research propose that: </w:t>
      </w:r>
    </w:p>
    <w:p w14:paraId="4EC69E43">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356549F9">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H1: Information source is significantly related to individuals' exercise behavioral intention. Specifically, messages from a physician source are positively related to exercise behavioral intention compared to messages from an AI source.</w:t>
      </w:r>
    </w:p>
    <w:p w14:paraId="60955615">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770C9374">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H2: Message framing is significantly related to individuals' exercise behavioral intention. Specifically, gain-framed messages are positively related to exercise behavioral intention compared to loss-framed messages.</w:t>
      </w:r>
    </w:p>
    <w:p w14:paraId="2640EB9C">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73A34DFC">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H3: Attitude to follow the recommendation mediates the relationship between information source and exercise behavioral intention. Specifically, a physician source (compared to an AI source) positively influences individuals' attitude to follow the recommendation, which, in turn, is positively related to exercise behavioral intention.</w:t>
      </w:r>
    </w:p>
    <w:p w14:paraId="74D50600">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0351A894">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H4: Attitude to follow the recommendation mediates the relationship between message framing and exercise behavioral intention. Specifically, gain-framed messages (compared to loss-framed messages) positively influence individuals' attitude to follow the recommendation, which, in turn, is positively related to exercise behavioral intention.</w:t>
      </w:r>
    </w:p>
    <w:p w14:paraId="0EC40DD3">
      <w:pPr>
        <w:keepNext w:val="0"/>
        <w:keepLines w:val="0"/>
        <w:pageBreakBefore w:val="0"/>
        <w:widowControl/>
        <w:suppressLineNumbers w:val="0"/>
        <w:kinsoku/>
        <w:wordWrap/>
        <w:overflowPunct/>
        <w:topLinePunct w:val="0"/>
        <w:autoSpaceDE/>
        <w:autoSpaceDN/>
        <w:bidi w:val="0"/>
        <w:adjustRightInd/>
        <w:snapToGrid/>
        <w:spacing w:before="0"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220B0A88">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Times New Roman Regular" w:hAnsi="Times New Roman Regular" w:cs="Times New Roman Regular"/>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In the source credibility theory, trustworthiness is often an essential factor that influences participants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behavioral intention. For example, social media fitness videos, trustworthiness and attractiveness influence increase viewer</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s trust and perceived usefulness of the videos, which in turn raises exercise intention </w:t>
      </w:r>
      <w:r>
        <w:rPr>
          <w:rFonts w:hint="default" w:ascii="Times New Roman Regular" w:hAnsi="Times New Roman Regular" w:cs="Times New Roman Regular" w:eastAsiaTheme="minorEastAsia"/>
          <w:sz w:val="24"/>
          <w:szCs w:val="24"/>
          <w:lang w:val="en-US" w:eastAsia="zh-CN" w:bidi="ar-SA"/>
        </w:rPr>
        <w:t>(Yin et al., 2024)</w:t>
      </w:r>
      <w:r>
        <w:rPr>
          <w:rFonts w:hint="default" w:ascii="Times New Roman Regular" w:hAnsi="Times New Roman Regular" w:cs="Times New Roman Regular" w:eastAsiaTheme="minorEastAsia"/>
          <w:sz w:val="24"/>
          <w:szCs w:val="24"/>
          <w:lang w:val="en-US" w:eastAsia="zh-CN" w:bidi="ar-SA"/>
        </w:rPr>
        <w:t xml:space="preserve">. Similarly, in health knowledge adoption in Chinese social media, trust mediates the influence of perceived knowledge quality and source credibility on adoption intention and behavior </w:t>
      </w:r>
      <w:r>
        <w:rPr>
          <w:rFonts w:hint="default" w:ascii="Times New Roman Regular" w:hAnsi="Times New Roman Regular" w:cs="Times New Roman Regular" w:eastAsiaTheme="minorEastAsia"/>
          <w:sz w:val="24"/>
          <w:szCs w:val="24"/>
          <w:lang w:val="en-US" w:eastAsia="zh-CN" w:bidi="ar-SA"/>
        </w:rPr>
        <w:t>(Chaoguang et al., 2018)</w:t>
      </w:r>
      <w:r>
        <w:rPr>
          <w:rFonts w:hint="default" w:ascii="Times New Roman Regular" w:hAnsi="Times New Roman Regular" w:cs="Times New Roman Regular" w:eastAsiaTheme="minorEastAsia"/>
          <w:sz w:val="24"/>
          <w:szCs w:val="24"/>
          <w:lang w:val="en-US" w:eastAsia="zh-CN" w:bidi="ar-SA"/>
        </w:rPr>
        <w:t>. In the health context, trust in the information source, such as AI, also influences users</w:t>
      </w:r>
      <w:r>
        <w:rPr>
          <w:rFonts w:hint="default" w:ascii="Times New Roman Regular" w:hAnsi="Times New Roman Regular" w:cs="Times New Roman Regular" w:eastAsiaTheme="minorEastAsia"/>
          <w:sz w:val="24"/>
          <w:szCs w:val="24"/>
          <w:lang w:val="en-US" w:eastAsia="zh-CN" w:bidi="ar-SA"/>
        </w:rPr>
        <w:t>’</w:t>
      </w:r>
      <w:r>
        <w:rPr>
          <w:rFonts w:hint="default" w:ascii="Times New Roman Regular" w:hAnsi="Times New Roman Regular" w:cs="Times New Roman Regular" w:eastAsiaTheme="minorEastAsia"/>
          <w:sz w:val="24"/>
          <w:szCs w:val="24"/>
          <w:lang w:val="en-US" w:eastAsia="zh-CN" w:bidi="ar-SA"/>
        </w:rPr>
        <w:t xml:space="preserve"> behavioral intentions such as follow advice or change health habits. A study conducted by</w:t>
      </w:r>
      <w:r>
        <w:rPr>
          <w:rFonts w:hint="default" w:ascii="Times New Roman Regular" w:hAnsi="Times New Roman Regular" w:cs="Times New Roman Regular"/>
          <w:sz w:val="24"/>
          <w:szCs w:val="24"/>
          <w:lang w:val="en-US" w:eastAsia="zh-CN" w:bidi="ar-SA"/>
        </w:rPr>
        <w:t xml:space="preserve"> </w:t>
      </w:r>
      <w:r>
        <w:rPr>
          <w:rFonts w:hint="default" w:ascii="Times New Roman Regular" w:hAnsi="Times New Roman Regular" w:cs="Times New Roman Regular" w:eastAsiaTheme="minorEastAsia"/>
          <w:sz w:val="24"/>
          <w:szCs w:val="24"/>
          <w:lang w:val="en-US" w:eastAsia="zh-CN" w:bidi="ar-SA"/>
        </w:rPr>
        <w:t>Reinhardt et al. (2025)</w:t>
      </w:r>
      <w:r>
        <w:rPr>
          <w:rFonts w:hint="default" w:ascii="Times New Roman Regular" w:hAnsi="Times New Roman Regular" w:cs="Times New Roman Regular"/>
          <w:sz w:val="24"/>
          <w:szCs w:val="24"/>
          <w:lang w:val="en-US" w:eastAsia="zh-CN" w:bidi="ar-SA"/>
        </w:rPr>
        <w:t xml:space="preserve"> </w:t>
      </w:r>
      <w:r>
        <w:rPr>
          <w:rFonts w:hint="default" w:ascii="Times New Roman Regular" w:hAnsi="Times New Roman Regular" w:cs="Times New Roman Regular" w:eastAsiaTheme="minorEastAsia"/>
          <w:sz w:val="24"/>
          <w:szCs w:val="24"/>
          <w:lang w:val="en-US" w:eastAsia="zh-CN" w:bidi="ar-SA"/>
        </w:rPr>
        <w:t xml:space="preserve">argues that </w:t>
      </w:r>
      <w:r>
        <w:rPr>
          <w:rFonts w:hint="default" w:ascii="Times New Roman Regular" w:hAnsi="Times New Roman Regular" w:cs="Times New Roman Regular"/>
          <w:sz w:val="24"/>
          <w:szCs w:val="24"/>
          <w:lang w:val="en-US" w:eastAsia="zh-CN" w:bidi="ar-SA"/>
        </w:rPr>
        <w:t xml:space="preserve">trust strongly predict the intention to use AI-generated health information among different countries such as Austra and Denmark. Although there are a lot of studies related to trust and behavior intention, but only a few of them discussed trust as a mediator between information source and behavior intention. Therefore, in this study, we propose that: </w:t>
      </w:r>
    </w:p>
    <w:p w14:paraId="5DC9C29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Times New Roman Regular" w:hAnsi="Times New Roman Regular" w:cs="Times New Roman Regular"/>
          <w:sz w:val="24"/>
          <w:szCs w:val="24"/>
          <w:lang w:val="en-US" w:eastAsia="zh-CN" w:bidi="ar-SA"/>
        </w:rPr>
      </w:pPr>
    </w:p>
    <w:p w14:paraId="324D24CA">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H5: Source trust mediates the relationship between information source and exercise behavioral intention. Specifically, a physician source (compared to an AI source) enhances individuals' trust in the information source, which, in turn, is positively related to exercise behavioral intention.</w:t>
      </w:r>
    </w:p>
    <w:p w14:paraId="3D9C04E5">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702C3234">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Many studies discussed that self-efficacy mediate how framed health messages influence intentions. For example, a study with university women found that loss-framed messaged related to eating disorders increase self-efficacy, which increased intentions to maintain a sufficient weight</w:t>
      </w:r>
      <w:r>
        <w:rPr>
          <w:rFonts w:hint="default" w:ascii="Times New Roman Regular" w:hAnsi="Times New Roman Regular" w:cs="Times New Roman Regular"/>
          <w:sz w:val="24"/>
          <w:szCs w:val="24"/>
          <w:lang w:val="en-US" w:eastAsia="zh-CN" w:bidi="ar-SA"/>
        </w:rPr>
        <w:t xml:space="preserve"> </w:t>
      </w:r>
      <w:r>
        <w:rPr>
          <w:rFonts w:hint="default" w:ascii="Times New Roman Regular" w:hAnsi="Times New Roman Regular" w:cs="Times New Roman Regular" w:eastAsiaTheme="minorEastAsia"/>
          <w:sz w:val="24"/>
          <w:szCs w:val="24"/>
          <w:lang w:val="en-US" w:eastAsia="zh-CN" w:bidi="ar-SA"/>
        </w:rPr>
        <w:t>(Helme-Guizon et al., 2021)</w:t>
      </w:r>
      <w:r>
        <w:rPr>
          <w:rFonts w:hint="default" w:ascii="Times New Roman Regular" w:hAnsi="Times New Roman Regular" w:cs="Times New Roman Regular"/>
          <w:sz w:val="24"/>
          <w:szCs w:val="24"/>
          <w:lang w:val="en-US" w:eastAsia="zh-CN" w:bidi="ar-SA"/>
        </w:rPr>
        <w:t xml:space="preserve">. </w:t>
      </w:r>
      <w:r>
        <w:rPr>
          <w:rFonts w:hint="default" w:ascii="Times New Roman Regular" w:hAnsi="Times New Roman Regular" w:cs="Times New Roman Regular" w:eastAsiaTheme="minorEastAsia"/>
          <w:sz w:val="24"/>
          <w:szCs w:val="24"/>
          <w:lang w:val="en-US" w:eastAsia="zh-CN" w:bidi="ar-SA"/>
        </w:rPr>
        <w:t>Additionally, gain-framed performance feedback in a fitness app increased exercise self-efficacy and outcome expectations of exercise</w:t>
      </w:r>
      <w:r>
        <w:rPr>
          <w:rFonts w:hint="default" w:ascii="Times New Roman Regular" w:hAnsi="Times New Roman Regular" w:cs="Times New Roman Regular"/>
          <w:sz w:val="24"/>
          <w:szCs w:val="24"/>
          <w:lang w:val="en-US" w:eastAsia="zh-CN" w:bidi="ar-SA"/>
        </w:rPr>
        <w:t xml:space="preserve"> </w:t>
      </w:r>
      <w:r>
        <w:rPr>
          <w:rFonts w:hint="default" w:ascii="Times New Roman Regular" w:hAnsi="Times New Roman Regular" w:cs="Times New Roman Regular" w:eastAsiaTheme="minorEastAsia"/>
          <w:sz w:val="24"/>
          <w:szCs w:val="24"/>
          <w:lang w:val="en-US" w:eastAsia="zh-CN" w:bidi="ar-SA"/>
        </w:rPr>
        <w:t>(Lim &amp; Noh, 2017)</w:t>
      </w:r>
      <w:r>
        <w:rPr>
          <w:rFonts w:hint="default" w:ascii="Times New Roman Regular" w:hAnsi="Times New Roman Regular" w:cs="Times New Roman Regular"/>
          <w:sz w:val="24"/>
          <w:szCs w:val="24"/>
          <w:lang w:val="en-US" w:eastAsia="zh-CN" w:bidi="ar-SA"/>
        </w:rPr>
        <w:t xml:space="preserve">. Although studies have discussed how self-efficacy influence behavioral intention, but only a few discussed how exercise self-efficacy links message framing and exercise intention together. Similarly, limited study discussed how health consciousness moderates information source and exercise intention. Therefore, we propose that: </w:t>
      </w:r>
    </w:p>
    <w:p w14:paraId="74A52EED">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6FB986DE">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H6: Exercise self-efficacy mediates the relationship between message framing and exercise behavioral intention. Specifically, gain-framed messages (compared to loss-framed messages) enhance individuals' exercise self-efficacy (confidence in performing the exercise behavior), which, in turn, is positively related to exercise behavioral intention.</w:t>
      </w:r>
    </w:p>
    <w:p w14:paraId="2F404DA8">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p>
    <w:p w14:paraId="05A76D16">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Regular" w:hAnsi="Times New Roman Regular" w:cs="Times New Roman Regular" w:eastAsiaTheme="minorEastAsia"/>
          <w:sz w:val="24"/>
          <w:szCs w:val="24"/>
          <w:lang w:val="en-US" w:eastAsia="zh-CN" w:bidi="ar-SA"/>
        </w:rPr>
      </w:pPr>
      <w:r>
        <w:rPr>
          <w:rFonts w:hint="default" w:ascii="Times New Roman Regular" w:hAnsi="Times New Roman Regular" w:cs="Times New Roman Regular" w:eastAsiaTheme="minorEastAsia"/>
          <w:sz w:val="24"/>
          <w:szCs w:val="24"/>
          <w:lang w:val="en-US" w:eastAsia="zh-CN" w:bidi="ar-SA"/>
        </w:rPr>
        <w:t>H7: Health consciousness moderates the effect of information source on exercise behavioral intention. The difference in exercise intentions between physician-sourced messages and AI-sourced messages is significantly smaller for individuals with high health consciousness compared to those with low health consciousness.</w:t>
      </w:r>
    </w:p>
    <w:p w14:paraId="0CE4D42C">
      <w:pPr>
        <w:ind w:left="720" w:hanging="720"/>
        <w:jc w:val="center"/>
        <w:rPr>
          <w:rFonts w:hint="default" w:ascii="Times New Roman Bold" w:hAnsi="Times New Roman Bold" w:cs="Times New Roman Bold"/>
          <w:b/>
          <w:bCs/>
          <w:i w:val="0"/>
          <w:sz w:val="24"/>
          <w:szCs w:val="24"/>
          <w:lang w:val="en-US" w:eastAsia="zh-CN"/>
        </w:rPr>
      </w:pPr>
    </w:p>
    <w:p w14:paraId="1F5C69CD">
      <w:pPr>
        <w:ind w:left="720" w:hanging="720"/>
        <w:jc w:val="center"/>
        <w:rPr>
          <w:rFonts w:hint="default" w:ascii="Times New Roman Bold" w:hAnsi="Times New Roman Bold" w:cs="Times New Roman Bold"/>
          <w:b/>
          <w:bCs/>
          <w:i w:val="0"/>
          <w:sz w:val="24"/>
          <w:szCs w:val="24"/>
          <w:lang w:val="en-US" w:eastAsia="zh-CN"/>
        </w:rPr>
      </w:pPr>
    </w:p>
    <w:p w14:paraId="054DA3FA">
      <w:pPr>
        <w:ind w:left="720" w:hanging="720"/>
        <w:jc w:val="center"/>
        <w:rPr>
          <w:rFonts w:hint="default" w:ascii="Times New Roman Bold" w:hAnsi="Times New Roman Bold" w:cs="Times New Roman Bold"/>
          <w:b/>
          <w:bCs/>
          <w:i w:val="0"/>
          <w:sz w:val="24"/>
          <w:szCs w:val="24"/>
          <w:lang w:val="en-US" w:eastAsia="zh-CN"/>
        </w:rPr>
      </w:pPr>
    </w:p>
    <w:p w14:paraId="382E8B94">
      <w:pPr>
        <w:ind w:left="720" w:hanging="720"/>
        <w:jc w:val="center"/>
        <w:rPr>
          <w:rFonts w:hint="default" w:ascii="Times New Roman Bold" w:hAnsi="Times New Roman Bold" w:cs="Times New Roman Bold"/>
          <w:b/>
          <w:bCs/>
          <w:i w:val="0"/>
          <w:sz w:val="24"/>
          <w:szCs w:val="24"/>
          <w:lang w:val="en-US" w:eastAsia="zh-CN"/>
        </w:rPr>
      </w:pPr>
    </w:p>
    <w:p w14:paraId="2763DC19">
      <w:pPr>
        <w:ind w:left="720" w:hanging="720"/>
        <w:jc w:val="center"/>
        <w:rPr>
          <w:rFonts w:hint="default" w:ascii="Times New Roman Bold" w:hAnsi="Times New Roman Bold" w:cs="Times New Roman Bold"/>
          <w:b/>
          <w:bCs/>
          <w:i w:val="0"/>
          <w:sz w:val="24"/>
          <w:szCs w:val="24"/>
          <w:lang w:val="en-US" w:eastAsia="zh-CN"/>
        </w:rPr>
      </w:pPr>
    </w:p>
    <w:p w14:paraId="6FCBC7A9">
      <w:pPr>
        <w:ind w:left="720" w:hanging="720"/>
        <w:jc w:val="center"/>
        <w:rPr>
          <w:rFonts w:hint="default" w:ascii="Times New Roman Bold" w:hAnsi="Times New Roman Bold" w:cs="Times New Roman Bold"/>
          <w:b/>
          <w:bCs/>
          <w:i w:val="0"/>
          <w:sz w:val="24"/>
          <w:szCs w:val="24"/>
          <w:lang w:val="en-US" w:eastAsia="zh-CN"/>
        </w:rPr>
      </w:pPr>
    </w:p>
    <w:p w14:paraId="144AEDD1">
      <w:pPr>
        <w:ind w:left="720" w:hanging="720"/>
        <w:jc w:val="center"/>
        <w:rPr>
          <w:rFonts w:hint="default" w:ascii="Times New Roman Bold" w:hAnsi="Times New Roman Bold" w:cs="Times New Roman Bold"/>
          <w:b/>
          <w:bCs/>
          <w:i w:val="0"/>
          <w:sz w:val="24"/>
          <w:szCs w:val="24"/>
          <w:lang w:val="en-US" w:eastAsia="zh-CN"/>
        </w:rPr>
      </w:pPr>
    </w:p>
    <w:p w14:paraId="5D2349D3">
      <w:pPr>
        <w:ind w:left="720" w:hanging="720"/>
        <w:jc w:val="center"/>
        <w:rPr>
          <w:rFonts w:hint="default" w:ascii="Times New Roman Bold" w:hAnsi="Times New Roman Bold" w:cs="Times New Roman Bold"/>
          <w:b/>
          <w:bCs/>
          <w:i w:val="0"/>
          <w:sz w:val="24"/>
          <w:szCs w:val="24"/>
          <w:lang w:val="en-US" w:eastAsia="zh-CN"/>
        </w:rPr>
      </w:pPr>
    </w:p>
    <w:p w14:paraId="4A393077">
      <w:pPr>
        <w:ind w:left="720" w:hanging="720"/>
        <w:jc w:val="center"/>
        <w:rPr>
          <w:rFonts w:hint="default" w:ascii="Times New Roman Bold" w:hAnsi="Times New Roman Bold" w:cs="Times New Roman Bold"/>
          <w:b/>
          <w:bCs/>
          <w:i w:val="0"/>
          <w:sz w:val="24"/>
          <w:szCs w:val="24"/>
          <w:lang w:val="en-US" w:eastAsia="zh-CN"/>
        </w:rPr>
      </w:pPr>
    </w:p>
    <w:p w14:paraId="28FE4A21">
      <w:pPr>
        <w:ind w:left="720" w:hanging="720"/>
        <w:jc w:val="center"/>
        <w:rPr>
          <w:rFonts w:hint="default" w:ascii="Times New Roman Bold" w:hAnsi="Times New Roman Bold" w:cs="Times New Roman Bold"/>
          <w:b/>
          <w:bCs/>
          <w:i w:val="0"/>
          <w:sz w:val="24"/>
          <w:szCs w:val="24"/>
          <w:lang w:val="en-US" w:eastAsia="zh-CN"/>
        </w:rPr>
      </w:pPr>
    </w:p>
    <w:p w14:paraId="72814FF2">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Bold" w:hAnsi="Times New Roman Bold" w:cs="Times New Roman Bold"/>
          <w:b/>
          <w:bCs/>
          <w:i w:val="0"/>
          <w:sz w:val="24"/>
          <w:szCs w:val="24"/>
          <w:lang w:val="en-US" w:eastAsia="zh-CN"/>
        </w:rPr>
      </w:pPr>
      <w:r>
        <w:rPr>
          <w:rFonts w:hint="default" w:ascii="Times New Roman Bold" w:hAnsi="Times New Roman Bold" w:cs="Times New Roman Bold"/>
          <w:b/>
          <w:bCs/>
          <w:i w:val="0"/>
          <w:sz w:val="24"/>
          <w:szCs w:val="24"/>
          <w:lang w:val="en-US" w:eastAsia="zh-CN"/>
        </w:rPr>
        <w:t>Reference</w:t>
      </w:r>
    </w:p>
    <w:p w14:paraId="0BF3F24F">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An, R., Shen, J., Wang, J.,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Yang, Y. (2024). A scoping review of methodologies for applying artificial intelligence to physical activity interventions. </w:t>
      </w:r>
      <w:r>
        <w:rPr>
          <w:rFonts w:hint="default" w:ascii="Times New Roman Regular" w:hAnsi="Times New Roman Regular" w:cs="Times New Roman Regular"/>
          <w:b w:val="0"/>
          <w:i/>
          <w:sz w:val="24"/>
          <w:szCs w:val="24"/>
        </w:rPr>
        <w:t>Journal of Sport and Health Science</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13</w:t>
      </w:r>
      <w:r>
        <w:rPr>
          <w:rFonts w:hint="default" w:ascii="Times New Roman Regular" w:hAnsi="Times New Roman Regular" w:cs="Times New Roman Regular"/>
          <w:b w:val="0"/>
          <w:i w:val="0"/>
          <w:sz w:val="24"/>
          <w:szCs w:val="24"/>
        </w:rPr>
        <w:t>(3), 428–441. https://doi.org/10.1016/j.jshs.2023.09.010</w:t>
      </w:r>
    </w:p>
    <w:p w14:paraId="36013006">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i w:val="0"/>
          <w:sz w:val="24"/>
          <w:szCs w:val="24"/>
        </w:rPr>
        <w:t xml:space="preserve"> Arippa, F., Nguyen, A., Pau, M.,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Harris-Adamson, C. (2023). Movement behavior and health outcomes among sedentary adults: A cross-sectional study. </w:t>
      </w:r>
      <w:r>
        <w:rPr>
          <w:rFonts w:hint="default" w:ascii="Times New Roman Regular" w:hAnsi="Times New Roman Regular" w:cs="Times New Roman Regular"/>
          <w:b w:val="0"/>
          <w:i/>
          <w:sz w:val="24"/>
          <w:szCs w:val="24"/>
        </w:rPr>
        <w:t>International Journal of Environmental Research and Public Health</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20</w:t>
      </w:r>
      <w:r>
        <w:rPr>
          <w:rFonts w:hint="default" w:ascii="Times New Roman Regular" w:hAnsi="Times New Roman Regular" w:cs="Times New Roman Regular"/>
          <w:b w:val="0"/>
          <w:i w:val="0"/>
          <w:sz w:val="24"/>
          <w:szCs w:val="24"/>
        </w:rPr>
        <w:t>(5), 4668. https://doi.org/https://doi.org/10.3390/ijerph20054668</w:t>
      </w:r>
    </w:p>
    <w:p w14:paraId="4A96996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80" w:lineRule="auto"/>
        <w:ind w:left="480" w:right="0" w:hanging="480" w:hangingChars="200"/>
        <w:textAlignment w:val="auto"/>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r>
        <w:rPr>
          <w:rFonts w:hint="default" w:ascii="Times New Roman Regular" w:hAnsi="Times New Roman Regular" w:eastAsia="Helvetica Neue" w:cs="Times New Roman Regular"/>
          <w:i w:val="0"/>
          <w:iCs w:val="0"/>
          <w:caps w:val="0"/>
          <w:color w:val="0F1115"/>
          <w:spacing w:val="0"/>
          <w:sz w:val="24"/>
          <w:szCs w:val="24"/>
          <w:shd w:val="clear" w:fill="FFFFFF"/>
        </w:rPr>
        <w:t>Bartels, R. D., Kelly, K. M., &amp; Rothman, A. J. (2010). Moving beyond the function of the health behaviour: The effect of message frame on behavioural decision-making. </w:t>
      </w:r>
      <w:r>
        <w:rPr>
          <w:rStyle w:val="4"/>
          <w:rFonts w:hint="default" w:ascii="Times New Roman Regular" w:hAnsi="Times New Roman Regular" w:eastAsia="Helvetica Neue" w:cs="Times New Roman Regular"/>
          <w:i/>
          <w:iCs/>
          <w:caps w:val="0"/>
          <w:color w:val="0F1115"/>
          <w:spacing w:val="0"/>
          <w:sz w:val="24"/>
          <w:szCs w:val="24"/>
          <w:shd w:val="clear" w:fill="FFFFFF"/>
        </w:rPr>
        <w:t>Psychology &amp; Health, 25</w:t>
      </w:r>
      <w:r>
        <w:rPr>
          <w:rFonts w:hint="default" w:ascii="Times New Roman Regular" w:hAnsi="Times New Roman Regular" w:eastAsia="Helvetica Neue" w:cs="Times New Roman Regular"/>
          <w:i w:val="0"/>
          <w:iCs w:val="0"/>
          <w:caps w:val="0"/>
          <w:color w:val="0F1115"/>
          <w:spacing w:val="0"/>
          <w:sz w:val="24"/>
          <w:szCs w:val="24"/>
          <w:shd w:val="clear" w:fill="FFFFFF"/>
        </w:rPr>
        <w:t>(7), 821-838.</w:t>
      </w:r>
      <w:r>
        <w:rPr>
          <w:rFonts w:hint="default" w:ascii="Times New Roman Regular" w:hAnsi="Times New Roman Regular" w:eastAsia="SimSun" w:cs="Times New Roman Regular"/>
          <w:i w:val="0"/>
          <w:iCs w:val="0"/>
          <w:caps w:val="0"/>
          <w:color w:val="0F1115"/>
          <w:spacing w:val="0"/>
          <w:sz w:val="24"/>
          <w:szCs w:val="24"/>
          <w:shd w:val="clear" w:fill="FFFFFF"/>
          <w:lang w:val="en-US" w:eastAsia="zh-CN"/>
        </w:rPr>
        <w:t xml:space="preserve"> </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begin"/>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instrText xml:space="preserve"> HYPERLINK "https://doi.org/10.1080/08870440902893708" </w:instrTex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separate"/>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https://doi.org/10.1080/08870440902893708</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end"/>
      </w:r>
    </w:p>
    <w:p w14:paraId="03C841C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80" w:lineRule="auto"/>
        <w:ind w:left="480" w:right="0" w:hanging="480" w:hangingChars="200"/>
        <w:textAlignment w:val="auto"/>
        <w:rPr>
          <w:rFonts w:hint="default" w:ascii="Times New Roman Regular" w:hAnsi="Times New Roman Regular" w:eastAsia="Helvetica Neue" w:cs="Times New Roman Regular"/>
          <w:i w:val="0"/>
          <w:iCs w:val="0"/>
          <w:caps w:val="0"/>
          <w:color w:val="0F1115"/>
          <w:spacing w:val="0"/>
          <w:sz w:val="24"/>
          <w:szCs w:val="24"/>
          <w:shd w:val="clear" w:fill="FFFFFF"/>
        </w:rPr>
      </w:pPr>
      <w:r>
        <w:rPr>
          <w:rFonts w:hint="default" w:ascii="Times New Roman Regular" w:hAnsi="Times New Roman Regular" w:eastAsia="Helvetica Neue" w:cs="Times New Roman Regular"/>
          <w:i w:val="0"/>
          <w:iCs w:val="0"/>
          <w:caps w:val="0"/>
          <w:color w:val="0F1115"/>
          <w:spacing w:val="0"/>
          <w:sz w:val="24"/>
          <w:szCs w:val="24"/>
          <w:shd w:val="clear" w:fill="FFFFFF"/>
        </w:rPr>
        <w:t>Berenbaum, E., &amp; Latimer-Cheung, A. E. (2014). Examining the link between framed physical activity ads and behavior among women. </w:t>
      </w:r>
      <w:r>
        <w:rPr>
          <w:rStyle w:val="4"/>
          <w:rFonts w:hint="default" w:ascii="Times New Roman Regular" w:hAnsi="Times New Roman Regular" w:eastAsia="Helvetica Neue" w:cs="Times New Roman Regular"/>
          <w:i/>
          <w:iCs/>
          <w:caps w:val="0"/>
          <w:color w:val="0F1115"/>
          <w:spacing w:val="0"/>
          <w:sz w:val="24"/>
          <w:szCs w:val="24"/>
          <w:shd w:val="clear" w:fill="FFFFFF"/>
        </w:rPr>
        <w:t>Journal of Sport &amp; Exercise Psychology, 36</w:t>
      </w:r>
      <w:r>
        <w:rPr>
          <w:rFonts w:hint="default" w:ascii="Times New Roman Regular" w:hAnsi="Times New Roman Regular" w:eastAsia="Helvetica Neue" w:cs="Times New Roman Regular"/>
          <w:i w:val="0"/>
          <w:iCs w:val="0"/>
          <w:caps w:val="0"/>
          <w:color w:val="0F1115"/>
          <w:spacing w:val="0"/>
          <w:sz w:val="24"/>
          <w:szCs w:val="24"/>
          <w:shd w:val="clear" w:fill="FFFFFF"/>
        </w:rPr>
        <w:t>, 271-280.</w:t>
      </w:r>
      <w:r>
        <w:rPr>
          <w:rFonts w:hint="default" w:ascii="Times New Roman Regular" w:hAnsi="Times New Roman Regular" w:eastAsia="SimSun" w:cs="Times New Roman Regular"/>
          <w:i w:val="0"/>
          <w:iCs w:val="0"/>
          <w:caps w:val="0"/>
          <w:color w:val="0F1115"/>
          <w:spacing w:val="0"/>
          <w:sz w:val="24"/>
          <w:szCs w:val="24"/>
          <w:shd w:val="clear" w:fill="FFFFFF"/>
          <w:lang w:val="en-US" w:eastAsia="zh-CN"/>
        </w:rPr>
        <w:t xml:space="preserve"> </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begin"/>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instrText xml:space="preserve"> HYPERLINK "https://doi.org/10.1123/jsep.2013-0207" \t "/Users/yunranz/Library/Containers/com.kingsoft.wpsoffice.mac/Data/tmp/wps-yunranz/x/_blank" </w:instrTex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separate"/>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https://doi.org/10.1123/jsep.2013-0207</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end"/>
      </w:r>
    </w:p>
    <w:p w14:paraId="7AEE4E2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Bort-Roig, J., Chirveches-Pérez, E., Giné-Garriga, M., Navarro-Blasco, L., Bausà-Peris, R., Iturrioz-Rosell, P.,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Puig-Ribera, A. (2020). An mHealth Workplace-Based “Sit Less, Move More” Program: Impact on Employees’ Sedentary and Physical Activity Patterns at Work and Away from Work. </w:t>
      </w:r>
      <w:r>
        <w:rPr>
          <w:rFonts w:hint="default" w:ascii="Times New Roman Regular" w:hAnsi="Times New Roman Regular" w:cs="Times New Roman Regular"/>
          <w:b w:val="0"/>
          <w:i/>
          <w:sz w:val="24"/>
          <w:szCs w:val="24"/>
        </w:rPr>
        <w:t>Nternational Journal of Environmental Research and Public Health</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17</w:t>
      </w:r>
      <w:r>
        <w:rPr>
          <w:rFonts w:hint="default" w:ascii="Times New Roman Regular" w:hAnsi="Times New Roman Regular" w:cs="Times New Roman Regular"/>
          <w:b w:val="0"/>
          <w:i w:val="0"/>
          <w:sz w:val="24"/>
          <w:szCs w:val="24"/>
        </w:rPr>
        <w:t xml:space="preserve">(23), 8844. </w:t>
      </w:r>
      <w:r>
        <w:rPr>
          <w:rFonts w:hint="default" w:ascii="Times New Roman Regular" w:hAnsi="Times New Roman Regular" w:cs="Times New Roman Regular"/>
          <w:b w:val="0"/>
          <w:i w:val="0"/>
          <w:sz w:val="24"/>
          <w:szCs w:val="24"/>
        </w:rPr>
        <w:fldChar w:fldCharType="begin"/>
      </w:r>
      <w:r>
        <w:rPr>
          <w:rFonts w:hint="default" w:ascii="Times New Roman Regular" w:hAnsi="Times New Roman Regular" w:cs="Times New Roman Regular"/>
          <w:b w:val="0"/>
          <w:i w:val="0"/>
          <w:sz w:val="24"/>
          <w:szCs w:val="24"/>
        </w:rPr>
        <w:instrText xml:space="preserve"> HYPERLINK "https://doi.org/10.3390/ijerph17238844" </w:instrText>
      </w:r>
      <w:r>
        <w:rPr>
          <w:rFonts w:hint="default" w:ascii="Times New Roman Regular" w:hAnsi="Times New Roman Regular" w:cs="Times New Roman Regular"/>
          <w:b w:val="0"/>
          <w:i w:val="0"/>
          <w:sz w:val="24"/>
          <w:szCs w:val="24"/>
        </w:rPr>
        <w:fldChar w:fldCharType="separate"/>
      </w:r>
      <w:r>
        <w:rPr>
          <w:rStyle w:val="5"/>
          <w:rFonts w:hint="default" w:ascii="Times New Roman Regular" w:hAnsi="Times New Roman Regular" w:cs="Times New Roman Regular"/>
          <w:b w:val="0"/>
          <w:i w:val="0"/>
          <w:sz w:val="24"/>
          <w:szCs w:val="24"/>
        </w:rPr>
        <w:t>https://doi.org/10.3390/ijerph17238844</w:t>
      </w:r>
      <w:r>
        <w:rPr>
          <w:rFonts w:hint="default" w:ascii="Times New Roman Regular" w:hAnsi="Times New Roman Regular" w:cs="Times New Roman Regular"/>
          <w:b w:val="0"/>
          <w:i w:val="0"/>
          <w:sz w:val="24"/>
          <w:szCs w:val="24"/>
        </w:rPr>
        <w:fldChar w:fldCharType="end"/>
      </w:r>
    </w:p>
    <w:p w14:paraId="352924CF">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Chaoguang, H., Feicheng, M., Yifei, Q., &amp; Yuchao, W. (2018). Exploring the determinants of health knowledge adoption in social media: An intention-behavior-gap perspective.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Information Development</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34</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xml:space="preserve">(4), 346-363. </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instrText xml:space="preserve"> HYPERLINK "https://doi.org/10.1177/0266666917700231" </w:instrTex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https://doi.org/10.1177/0266666917700231</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end"/>
      </w:r>
    </w:p>
    <w:p w14:paraId="044238B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Claggett, J. L., Kitchens, B., &amp; Paino, M. (2024). Identifying the peripheral cues in the credibility assessment of online health information. </w:t>
      </w:r>
      <w:r>
        <w:rPr>
          <w:rFonts w:hint="default" w:ascii="Times New Roman Regular" w:hAnsi="Times New Roman Regular" w:cs="Times New Roman Regular"/>
          <w:b w:val="0"/>
          <w:i/>
          <w:sz w:val="24"/>
          <w:szCs w:val="24"/>
        </w:rPr>
        <w:t>Information &amp;</w:t>
      </w:r>
      <w:r>
        <w:rPr>
          <w:rFonts w:hint="default" w:ascii="Times New Roman Regular" w:hAnsi="Times New Roman Regular" w:cs="Times New Roman Regular"/>
          <w:b w:val="0"/>
          <w:i/>
          <w:sz w:val="24"/>
          <w:szCs w:val="24"/>
          <w:lang w:val="en-US"/>
        </w:rPr>
        <w:t xml:space="preserve"> </w:t>
      </w:r>
      <w:r>
        <w:rPr>
          <w:rFonts w:hint="default" w:ascii="Times New Roman Regular" w:hAnsi="Times New Roman Regular" w:cs="Times New Roman Regular"/>
          <w:b w:val="0"/>
          <w:i/>
          <w:sz w:val="24"/>
          <w:szCs w:val="24"/>
        </w:rPr>
        <w:t xml:space="preserve"> Management</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61</w:t>
      </w:r>
      <w:r>
        <w:rPr>
          <w:rFonts w:hint="default" w:ascii="Times New Roman Regular" w:hAnsi="Times New Roman Regular" w:cs="Times New Roman Regular"/>
          <w:b w:val="0"/>
          <w:i w:val="0"/>
          <w:sz w:val="24"/>
          <w:szCs w:val="24"/>
        </w:rPr>
        <w:t xml:space="preserve">(8), 104037. </w:t>
      </w:r>
      <w:r>
        <w:rPr>
          <w:rFonts w:hint="default" w:ascii="Times New Roman Regular" w:hAnsi="Times New Roman Regular" w:cs="Times New Roman Regular"/>
          <w:b w:val="0"/>
          <w:i w:val="0"/>
          <w:sz w:val="24"/>
          <w:szCs w:val="24"/>
        </w:rPr>
        <w:fldChar w:fldCharType="begin"/>
      </w:r>
      <w:r>
        <w:rPr>
          <w:rFonts w:hint="default" w:ascii="Times New Roman Regular" w:hAnsi="Times New Roman Regular" w:cs="Times New Roman Regular"/>
          <w:b w:val="0"/>
          <w:i w:val="0"/>
          <w:sz w:val="24"/>
          <w:szCs w:val="24"/>
        </w:rPr>
        <w:instrText xml:space="preserve"> HYPERLINK "https://doi.org/https://doi.org/10.1016/j.im.2024.104037" </w:instrText>
      </w:r>
      <w:r>
        <w:rPr>
          <w:rFonts w:hint="default" w:ascii="Times New Roman Regular" w:hAnsi="Times New Roman Regular" w:cs="Times New Roman Regular"/>
          <w:b w:val="0"/>
          <w:i w:val="0"/>
          <w:sz w:val="24"/>
          <w:szCs w:val="24"/>
        </w:rPr>
        <w:fldChar w:fldCharType="separate"/>
      </w:r>
      <w:r>
        <w:rPr>
          <w:rStyle w:val="5"/>
          <w:rFonts w:hint="default" w:ascii="Times New Roman Regular" w:hAnsi="Times New Roman Regular" w:cs="Times New Roman Regular"/>
          <w:b w:val="0"/>
          <w:i w:val="0"/>
          <w:sz w:val="24"/>
          <w:szCs w:val="24"/>
        </w:rPr>
        <w:t>https://doi.org/https://doi.org/10.1016/j.im.2024.104037</w:t>
      </w:r>
      <w:r>
        <w:rPr>
          <w:rFonts w:hint="default" w:ascii="Times New Roman Regular" w:hAnsi="Times New Roman Regular" w:cs="Times New Roman Regular"/>
          <w:b w:val="0"/>
          <w:i w:val="0"/>
          <w:sz w:val="24"/>
          <w:szCs w:val="24"/>
        </w:rPr>
        <w:fldChar w:fldCharType="end"/>
      </w:r>
    </w:p>
    <w:p w14:paraId="5F93B59F">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Clemes, S. A., O’Connell, S. E.,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Edwardson, C. L. (2014). Office workers’ objectively measured sedentary behavior and physical activity during and outside working hours. </w:t>
      </w:r>
      <w:r>
        <w:rPr>
          <w:rFonts w:hint="default" w:ascii="Times New Roman Regular" w:hAnsi="Times New Roman Regular" w:cs="Times New Roman Regular"/>
          <w:b w:val="0"/>
          <w:i/>
          <w:sz w:val="24"/>
          <w:szCs w:val="24"/>
        </w:rPr>
        <w:t>Journal of Occupational and Environmental Medicine</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56</w:t>
      </w:r>
      <w:r>
        <w:rPr>
          <w:rFonts w:hint="default" w:ascii="Times New Roman Regular" w:hAnsi="Times New Roman Regular" w:cs="Times New Roman Regular"/>
          <w:b w:val="0"/>
          <w:i w:val="0"/>
          <w:sz w:val="24"/>
          <w:szCs w:val="24"/>
        </w:rPr>
        <w:t>(3), 298–303. https://doi.org/10.1097/JOM.0000000000000101</w:t>
      </w:r>
    </w:p>
    <w:p w14:paraId="6406AB3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80" w:lineRule="auto"/>
        <w:ind w:left="480" w:right="0" w:hanging="480" w:hangingChars="200"/>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Helvetica Neue" w:cs="Times New Roman Regular"/>
          <w:i w:val="0"/>
          <w:iCs w:val="0"/>
          <w:caps w:val="0"/>
          <w:color w:val="0F1115"/>
          <w:spacing w:val="0"/>
          <w:sz w:val="24"/>
          <w:szCs w:val="24"/>
          <w:shd w:val="clear" w:fill="FFFFFF"/>
        </w:rPr>
        <w:t>Gallagher, K. M., &amp; Updegraff, J. A. (2012). Health message framing effects on attitudes, intentions, and behavior: A meta-analytic review. </w:t>
      </w:r>
      <w:r>
        <w:rPr>
          <w:rFonts w:hint="default" w:ascii="Times New Roman Regular" w:hAnsi="Times New Roman Regular" w:eastAsia="Helvetica Neue" w:cs="Times New Roman Regular"/>
          <w:i/>
          <w:iCs/>
          <w:caps w:val="0"/>
          <w:color w:val="0F1115"/>
          <w:spacing w:val="0"/>
          <w:sz w:val="24"/>
          <w:szCs w:val="24"/>
          <w:shd w:val="clear" w:fill="FFFFFF"/>
        </w:rPr>
        <w:t>Annals of Behavioral Medicine, 43</w:t>
      </w:r>
      <w:r>
        <w:rPr>
          <w:rFonts w:hint="default" w:ascii="Times New Roman Regular" w:hAnsi="Times New Roman Regular" w:eastAsia="Helvetica Neue" w:cs="Times New Roman Regular"/>
          <w:i w:val="0"/>
          <w:iCs w:val="0"/>
          <w:caps w:val="0"/>
          <w:color w:val="0F1115"/>
          <w:spacing w:val="0"/>
          <w:sz w:val="24"/>
          <w:szCs w:val="24"/>
          <w:shd w:val="clear" w:fill="FFFFFF"/>
        </w:rPr>
        <w:t>(1), 101–116. </w:t>
      </w:r>
      <w:r>
        <w:rPr>
          <w:rFonts w:hint="default" w:ascii="Times New Roman Regular" w:hAnsi="Times New Roman Regular" w:eastAsia="Helvetica Neue" w:cs="Times New Roman Regular"/>
          <w:i w:val="0"/>
          <w:iCs w:val="0"/>
          <w:caps w:val="0"/>
          <w:color w:val="0F1115"/>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rPr>
        <w:instrText xml:space="preserve"> HYPERLINK "https://doi.org/10.1007/s12160-011-9308-7" \t "/Users/yunranz/Library/Containers/com.kingsoft.wpsoffice.mac/Data/tmp/wps-yunranz/x/_blank" </w:instrText>
      </w:r>
      <w:r>
        <w:rPr>
          <w:rFonts w:hint="default" w:ascii="Times New Roman Regular" w:hAnsi="Times New Roman Regular" w:eastAsia="Helvetica Neue" w:cs="Times New Roman Regular"/>
          <w:i w:val="0"/>
          <w:iCs w:val="0"/>
          <w:caps w:val="0"/>
          <w:color w:val="0F1115"/>
          <w:spacing w:val="0"/>
          <w:sz w:val="24"/>
          <w:szCs w:val="24"/>
          <w:shd w:val="clear" w:fill="FFFFFF"/>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rPr>
        <w:t>https://doi.org/10.1007/s12160-011-9308-7</w:t>
      </w:r>
      <w:r>
        <w:rPr>
          <w:rFonts w:hint="default" w:ascii="Times New Roman Regular" w:hAnsi="Times New Roman Regular" w:eastAsia="Helvetica Neue" w:cs="Times New Roman Regular"/>
          <w:i w:val="0"/>
          <w:iCs w:val="0"/>
          <w:caps w:val="0"/>
          <w:color w:val="0F1115"/>
          <w:spacing w:val="0"/>
          <w:sz w:val="24"/>
          <w:szCs w:val="24"/>
          <w:shd w:val="clear" w:fill="FFFFFF"/>
        </w:rPr>
        <w:fldChar w:fldCharType="end"/>
      </w:r>
    </w:p>
    <w:p w14:paraId="5384674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Genin, P. M., Dessenne, P., Finaud, J., Pereira, B., Dutheil, F., Thivel, D., &amp; Duclos, M. (2018). Effect of Work-Related Sedentary Time on Overall Health Profile in Active vs. Inactive Office Workers. </w:t>
      </w:r>
      <w:r>
        <w:rPr>
          <w:rFonts w:hint="default" w:ascii="Times New Roman Regular" w:hAnsi="Times New Roman Regular" w:cs="Times New Roman Regular"/>
          <w:b w:val="0"/>
          <w:i/>
          <w:sz w:val="24"/>
          <w:szCs w:val="24"/>
        </w:rPr>
        <w:t>Frontiers in Public Health</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6</w:t>
      </w:r>
      <w:r>
        <w:rPr>
          <w:rFonts w:hint="default" w:ascii="Times New Roman Regular" w:hAnsi="Times New Roman Regular" w:cs="Times New Roman Regular"/>
          <w:b w:val="0"/>
          <w:i w:val="0"/>
          <w:sz w:val="24"/>
          <w:szCs w:val="24"/>
        </w:rPr>
        <w:t>, 279. https://doi.org/https://doi.org/10.3389/fpubh.2018.00279</w:t>
      </w:r>
    </w:p>
    <w:p w14:paraId="53A9109D">
      <w:pPr>
        <w:keepNext w:val="0"/>
        <w:keepLines w:val="0"/>
        <w:pageBreakBefore w:val="0"/>
        <w:widowControl/>
        <w:suppressLineNumbers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Helme-Guizon, A., Gavard-Perret, M. L., Shankland, R., &amp; Flaudias, V. (2021). Self-efficacy mediates the effect of framing eating disorders prevention message on intentions to have a sufficient weight: A pilot study.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International Journal of Environmental Research and Public Health</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18</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(17), 8980.</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instrText xml:space="preserve"> HYPERLINK "https://doi.org/10.3390/ijerph18178980" </w:instrTex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https://doi.org/10.3390/ijerph18178980</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end"/>
      </w:r>
    </w:p>
    <w:p w14:paraId="03F89F4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i w:val="0"/>
          <w:sz w:val="24"/>
          <w:szCs w:val="24"/>
        </w:rPr>
        <w:t xml:space="preserve">  Jones, L. W., Sinclair, R. C., &amp; Courneya, K. S. (2003). The effects of source credibility and message framing on exercise intentions, behaviors, and attitudes: An integration of the elaboration likelihood model and prospect theory. </w:t>
      </w:r>
      <w:r>
        <w:rPr>
          <w:rFonts w:hint="default" w:ascii="Times New Roman Regular" w:hAnsi="Times New Roman Regular" w:cs="Times New Roman Regular"/>
          <w:b w:val="0"/>
          <w:i/>
          <w:sz w:val="24"/>
          <w:szCs w:val="24"/>
        </w:rPr>
        <w:t>Journal of Applied Social Psychology</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33</w:t>
      </w:r>
      <w:r>
        <w:rPr>
          <w:rFonts w:hint="default" w:ascii="Times New Roman Regular" w:hAnsi="Times New Roman Regular" w:cs="Times New Roman Regular"/>
          <w:b w:val="0"/>
          <w:i w:val="0"/>
          <w:sz w:val="24"/>
          <w:szCs w:val="24"/>
        </w:rPr>
        <w:t>(1), 179–196. https://doi.org/10.1111/j.1559-1816.2003.tb02078.x</w:t>
      </w:r>
    </w:p>
    <w:p w14:paraId="006E7875">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Lewis, N., Rossmann, C., de Bruijn, G.-J., &amp; Martinez, L. S. (n.d.). Dual Process Models and Information Engagement: Testing Effects of Seeking, Scanning, and Trust in Sources on Attitudes Toward Marijuana. </w:t>
      </w:r>
      <w:r>
        <w:rPr>
          <w:rFonts w:hint="default" w:ascii="Times New Roman Regular" w:hAnsi="Times New Roman Regular" w:cs="Times New Roman Regular"/>
          <w:b w:val="0"/>
          <w:i/>
          <w:sz w:val="24"/>
          <w:szCs w:val="24"/>
        </w:rPr>
        <w:t>Journal of Communication</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72</w:t>
      </w:r>
      <w:r>
        <w:rPr>
          <w:rFonts w:hint="default" w:ascii="Times New Roman Regular" w:hAnsi="Times New Roman Regular" w:cs="Times New Roman Regular"/>
          <w:b w:val="0"/>
          <w:i w:val="0"/>
          <w:sz w:val="24"/>
          <w:szCs w:val="24"/>
        </w:rPr>
        <w:t xml:space="preserve">(1), 59–82. </w:t>
      </w:r>
      <w:r>
        <w:rPr>
          <w:rFonts w:hint="default" w:ascii="Times New Roman Regular" w:hAnsi="Times New Roman Regular" w:cs="Times New Roman Regular"/>
          <w:b w:val="0"/>
          <w:i w:val="0"/>
          <w:sz w:val="24"/>
          <w:szCs w:val="24"/>
        </w:rPr>
        <w:fldChar w:fldCharType="begin"/>
      </w:r>
      <w:r>
        <w:rPr>
          <w:rFonts w:hint="default" w:ascii="Times New Roman Regular" w:hAnsi="Times New Roman Regular" w:cs="Times New Roman Regular"/>
          <w:b w:val="0"/>
          <w:i w:val="0"/>
          <w:sz w:val="24"/>
          <w:szCs w:val="24"/>
        </w:rPr>
        <w:instrText xml:space="preserve"> HYPERLINK "https://doi.org/10.1093/joc/jqab024" </w:instrText>
      </w:r>
      <w:r>
        <w:rPr>
          <w:rFonts w:hint="default" w:ascii="Times New Roman Regular" w:hAnsi="Times New Roman Regular" w:cs="Times New Roman Regular"/>
          <w:b w:val="0"/>
          <w:i w:val="0"/>
          <w:sz w:val="24"/>
          <w:szCs w:val="24"/>
        </w:rPr>
        <w:fldChar w:fldCharType="separate"/>
      </w:r>
      <w:r>
        <w:rPr>
          <w:rStyle w:val="5"/>
          <w:rFonts w:hint="default" w:ascii="Times New Roman Regular" w:hAnsi="Times New Roman Regular" w:cs="Times New Roman Regular"/>
          <w:b w:val="0"/>
          <w:i w:val="0"/>
          <w:sz w:val="24"/>
          <w:szCs w:val="24"/>
        </w:rPr>
        <w:t>https://doi.org/10.1093/joc/jqab024</w:t>
      </w:r>
      <w:r>
        <w:rPr>
          <w:rFonts w:hint="default" w:ascii="Times New Roman Regular" w:hAnsi="Times New Roman Regular" w:cs="Times New Roman Regular"/>
          <w:b w:val="0"/>
          <w:i w:val="0"/>
          <w:sz w:val="24"/>
          <w:szCs w:val="24"/>
        </w:rPr>
        <w:fldChar w:fldCharType="end"/>
      </w:r>
    </w:p>
    <w:p w14:paraId="5F51C29D">
      <w:pPr>
        <w:keepNext w:val="0"/>
        <w:keepLines w:val="0"/>
        <w:pageBreakBefore w:val="0"/>
        <w:widowControl/>
        <w:suppressLineNumbers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Lim, J. S., &amp; Noh, G. Y. (2017). Effects of gain-versus loss-framed performance feedback on the use of fitness apps: Mediating role of exercise self-efficacy and outcome expectations of exercise.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Computers in Human Behavior</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77</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249-257.</w:t>
      </w:r>
    </w:p>
    <w:p w14:paraId="656338A8">
      <w:pPr>
        <w:keepNext w:val="0"/>
        <w:keepLines w:val="0"/>
        <w:pageBreakBefore w:val="0"/>
        <w:widowControl/>
        <w:suppressLineNumbers w:val="0"/>
        <w:kinsoku/>
        <w:wordWrap/>
        <w:overflowPunct/>
        <w:topLinePunct w:val="0"/>
        <w:autoSpaceDE/>
        <w:autoSpaceDN/>
        <w:bidi w:val="0"/>
        <w:adjustRightInd/>
        <w:snapToGrid/>
        <w:spacing w:line="480" w:lineRule="auto"/>
        <w:ind w:firstLine="720" w:firstLineChars="3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instrText xml:space="preserve"> HYPERLINK "https://doi.org/10.1016/j.chb.2017.09.006" \o "Persistent link using digital object identifier" \t "/Users/yunranz/Library/Containers/com.kingsoft.wpsoffice.mac/Data/tmp/wps-yunranz/x/_blank" </w:instrTex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https://doi.org/10.1016/j.chb.2017.09.006</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end"/>
      </w:r>
    </w:p>
    <w:p w14:paraId="063E8B2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Mamede, A., Noordzij, G., Jongerling, J., Snijders, M., Schop-Etman, A., &amp; Denktaş, S. (2021). Combining Web-Based Gamification and Physical Nudges With an App (MoveMore) to Promote Walking Breaks and Reduce Sedentary Behavior of Office Workers: Field Study. </w:t>
      </w:r>
      <w:r>
        <w:rPr>
          <w:rFonts w:hint="default" w:ascii="Times New Roman Regular" w:hAnsi="Times New Roman Regular" w:cs="Times New Roman Regular"/>
          <w:b w:val="0"/>
          <w:i/>
          <w:sz w:val="24"/>
          <w:szCs w:val="24"/>
        </w:rPr>
        <w:t>Journal of Medical Internet Research</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23</w:t>
      </w:r>
      <w:r>
        <w:rPr>
          <w:rFonts w:hint="default" w:ascii="Times New Roman Regular" w:hAnsi="Times New Roman Regular" w:cs="Times New Roman Regular"/>
          <w:b w:val="0"/>
          <w:i w:val="0"/>
          <w:sz w:val="24"/>
          <w:szCs w:val="24"/>
        </w:rPr>
        <w:t>(4). https://doi.org/10.2196/19875</w:t>
      </w:r>
    </w:p>
    <w:p w14:paraId="43A82E88">
      <w:pPr>
        <w:keepNext w:val="0"/>
        <w:keepLines w:val="0"/>
        <w:pageBreakBefore w:val="0"/>
        <w:widowControl/>
        <w:suppressLineNumbers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Mikels, J. A., Young, N. A., Liu, X., &amp; Stine-Morrow, E. A. (2021). Getting to the heart of the matter in later life: The central role of affect in health message framing. </w:t>
      </w:r>
      <w:r>
        <w:rPr>
          <w:rFonts w:hint="default" w:ascii="Times New Roman Regular" w:hAnsi="Times New Roman Regular" w:eastAsia="Helvetica Neue" w:cs="Times New Roman Regular"/>
          <w:i/>
          <w:iCs/>
          <w:caps w:val="0"/>
          <w:color w:val="0F1115"/>
          <w:spacing w:val="0"/>
          <w:sz w:val="24"/>
          <w:szCs w:val="24"/>
          <w:shd w:val="clear" w:fill="FFFFFF"/>
          <w:lang w:val="en-US" w:eastAsia="zh-CN" w:bidi="ar-SA"/>
        </w:rPr>
        <w:t>The Gerontologist, 61</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(5), 756</w:t>
      </w:r>
      <w:r>
        <w:rPr>
          <w:rFonts w:hint="eastAsia" w:ascii="Times New Roman Regular" w:hAnsi="Times New Roman Regular" w:eastAsia="Helvetica Neue" w:cs="Times New Roman Regular"/>
          <w:i w:val="0"/>
          <w:iCs w:val="0"/>
          <w:caps w:val="0"/>
          <w:color w:val="0F1115"/>
          <w:spacing w:val="0"/>
          <w:sz w:val="24"/>
          <w:szCs w:val="24"/>
          <w:shd w:val="clear" w:fill="FFFFFF"/>
          <w:lang w:val="en-US" w:eastAsia="zh-CN" w:bidi="ar-SA"/>
        </w:rPr>
        <w:t xml:space="preserve"> </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762.</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instrText xml:space="preserve"> HYPERLINK "https://doi.org/10.1093/geront/gnaa128" </w:instrTex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https://doi.org/10.1093/geront/gnaa128</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end"/>
      </w:r>
    </w:p>
    <w:p w14:paraId="46E995E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80" w:lineRule="auto"/>
        <w:ind w:left="480" w:right="0" w:hanging="480" w:hangingChars="200"/>
        <w:textAlignment w:val="auto"/>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rPr>
      </w:pPr>
      <w:r>
        <w:rPr>
          <w:rFonts w:hint="default" w:ascii="Times New Roman Regular" w:hAnsi="Times New Roman Regular" w:eastAsia="Helvetica Neue" w:cs="Times New Roman Regular"/>
          <w:i w:val="0"/>
          <w:iCs w:val="0"/>
          <w:caps w:val="0"/>
          <w:color w:val="0F1115"/>
          <w:spacing w:val="0"/>
          <w:sz w:val="24"/>
          <w:szCs w:val="24"/>
          <w:shd w:val="clear" w:fill="FFFFFF"/>
        </w:rPr>
        <w:t>Nirmala, M., Bao, H., Jansen, B., Koh, M. W. A., Kok, L. W., Ng, J. J., &amp; Lee, E. W. J. (2025). Sit is not lit: Examining the impact of message framing, modality, and peer influence on attitudes and intentions to reduce sedentary behavior. </w:t>
      </w:r>
      <w:r>
        <w:rPr>
          <w:rStyle w:val="4"/>
          <w:rFonts w:hint="default" w:ascii="Times New Roman Regular" w:hAnsi="Times New Roman Regular" w:eastAsia="Helvetica Neue" w:cs="Times New Roman Regular"/>
          <w:i/>
          <w:iCs/>
          <w:caps w:val="0"/>
          <w:color w:val="0F1115"/>
          <w:spacing w:val="0"/>
          <w:sz w:val="24"/>
          <w:szCs w:val="24"/>
          <w:shd w:val="clear" w:fill="FFFFFF"/>
        </w:rPr>
        <w:t>Social Science &amp; Medicine</w:t>
      </w:r>
      <w:r>
        <w:rPr>
          <w:rFonts w:hint="default" w:ascii="Times New Roman Regular" w:hAnsi="Times New Roman Regular" w:eastAsia="Helvetica Neue" w:cs="Times New Roman Regular"/>
          <w:i/>
          <w:iCs/>
          <w:caps w:val="0"/>
          <w:color w:val="0F1115"/>
          <w:spacing w:val="0"/>
          <w:sz w:val="24"/>
          <w:szCs w:val="24"/>
          <w:shd w:val="clear" w:fill="FFFFFF"/>
        </w:rPr>
        <w:t>,</w:t>
      </w:r>
      <w:r>
        <w:rPr>
          <w:rFonts w:hint="default" w:ascii="Times New Roman Regular" w:hAnsi="Times New Roman Regular" w:eastAsia="SimSun" w:cs="Times New Roman Regular"/>
          <w:i/>
          <w:iCs/>
          <w:caps w:val="0"/>
          <w:color w:val="0F1115"/>
          <w:spacing w:val="0"/>
          <w:sz w:val="24"/>
          <w:szCs w:val="24"/>
          <w:shd w:val="clear" w:fill="FFFFFF"/>
          <w:lang w:val="en-US" w:eastAsia="zh-CN"/>
        </w:rPr>
        <w:t>366</w:t>
      </w:r>
      <w:r>
        <w:rPr>
          <w:rFonts w:hint="default" w:ascii="Times New Roman Regular" w:hAnsi="Times New Roman Regular" w:eastAsia="SimSun" w:cs="Times New Roman Regular"/>
          <w:i w:val="0"/>
          <w:iCs w:val="0"/>
          <w:caps w:val="0"/>
          <w:color w:val="0F1115"/>
          <w:spacing w:val="0"/>
          <w:sz w:val="24"/>
          <w:szCs w:val="24"/>
          <w:shd w:val="clear" w:fill="FFFFFF"/>
          <w:lang w:val="en-US" w:eastAsia="zh-CN"/>
        </w:rPr>
        <w:t>,</w:t>
      </w:r>
      <w:r>
        <w:rPr>
          <w:rFonts w:hint="default" w:ascii="Times New Roman Regular" w:hAnsi="Times New Roman Regular" w:eastAsia="Helvetica Neue" w:cs="Times New Roman Regular"/>
          <w:i w:val="0"/>
          <w:iCs w:val="0"/>
          <w:caps w:val="0"/>
          <w:color w:val="0F1115"/>
          <w:spacing w:val="0"/>
          <w:sz w:val="24"/>
          <w:szCs w:val="24"/>
          <w:shd w:val="clear" w:fill="FFFFFF"/>
        </w:rPr>
        <w:t xml:space="preserve"> 117012.</w:t>
      </w:r>
      <w:r>
        <w:rPr>
          <w:rFonts w:hint="default" w:ascii="Times New Roman Regular" w:hAnsi="Times New Roman Regular" w:eastAsia="Helvetica Neue" w:cs="Times New Roman Regular"/>
          <w:i w:val="0"/>
          <w:iCs w:val="0"/>
          <w:caps w:val="0"/>
          <w:color w:val="0F1115"/>
          <w:spacing w:val="0"/>
          <w:sz w:val="24"/>
          <w:szCs w:val="24"/>
          <w:shd w:val="clear" w:fill="FFFFFF"/>
          <w:lang w:val="en-US"/>
        </w:rPr>
        <w:t xml:space="preserve"> </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begin"/>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instrText xml:space="preserve"> HYPERLINK "https://doi.org/10.1016/j.socscimed.2025.117683" \o "Persistent link using digital object identifier" \t "/Users/yunranz/Library/Containers/com.kingsoft.wpsoffice.mac/Data/tmp/wps-yunranz/x/_blank" </w:instrTex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separate"/>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https://doi.org/10.1016/j.socscimed.2025.117683</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end"/>
      </w:r>
    </w:p>
    <w:p w14:paraId="1B4333AC">
      <w:pPr>
        <w:keepNext w:val="0"/>
        <w:keepLines w:val="0"/>
        <w:pageBreakBefore w:val="0"/>
        <w:widowControl/>
        <w:suppressLineNumbers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Oh, Y. J., Ryu, J. Y., Han, J., Park, S., Lim, J. I., Youk, S., &amp; Park, H. S. (2025). Trust in AI Doctors: How Credibility and Message Richness in AI‐Based Providers Influence Patient Adherence.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Advances in Human‐Computer Interaction, 2025</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(1),5934127. </w:t>
      </w:r>
    </w:p>
    <w:p w14:paraId="73D59219">
      <w:pPr>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begin"/>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instrText xml:space="preserve"> HYPERLINK "https://doi.org/10.1155/ahci/5934127" </w:instrTex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separate"/>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https://doi.org/10.1155/ahci/5934127</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fldChar w:fldCharType="end"/>
      </w:r>
    </w:p>
    <w:p w14:paraId="351941D0">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Parés-Salomón, I., Señé-Mir, A. M., Martín-Bozas, F., Loef, B., Coffey, A., Dowd, K. P., Jabardo-Camprubí, G., Proper, K. I., Puig-Ribera, A.,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Bort-Roig, J. (2024). Effectiveness of workplace interventions with digital elements to reduce sedentary behaviours in office employees: a systematic review and meta-analysis. </w:t>
      </w:r>
      <w:r>
        <w:rPr>
          <w:rFonts w:hint="default" w:ascii="Times New Roman Regular" w:hAnsi="Times New Roman Regular" w:cs="Times New Roman Regular"/>
          <w:b w:val="0"/>
          <w:i/>
          <w:sz w:val="24"/>
          <w:szCs w:val="24"/>
        </w:rPr>
        <w:t>International Journal of Behavioral Nutrition and Physical Activity</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21</w:t>
      </w:r>
      <w:r>
        <w:rPr>
          <w:rFonts w:hint="default" w:ascii="Times New Roman Regular" w:hAnsi="Times New Roman Regular" w:cs="Times New Roman Regular"/>
          <w:b w:val="0"/>
          <w:i w:val="0"/>
          <w:sz w:val="24"/>
          <w:szCs w:val="24"/>
        </w:rPr>
        <w:t xml:space="preserve">(1), 42. </w:t>
      </w:r>
      <w:r>
        <w:rPr>
          <w:rFonts w:hint="default" w:ascii="Times New Roman Regular" w:hAnsi="Times New Roman Regular" w:cs="Times New Roman Regular"/>
          <w:b w:val="0"/>
          <w:i w:val="0"/>
          <w:sz w:val="24"/>
          <w:szCs w:val="24"/>
        </w:rPr>
        <w:fldChar w:fldCharType="begin"/>
      </w:r>
      <w:r>
        <w:rPr>
          <w:rFonts w:hint="default" w:ascii="Times New Roman Regular" w:hAnsi="Times New Roman Regular" w:cs="Times New Roman Regular"/>
          <w:b w:val="0"/>
          <w:i w:val="0"/>
          <w:sz w:val="24"/>
          <w:szCs w:val="24"/>
        </w:rPr>
        <w:instrText xml:space="preserve"> HYPERLINK "https://doi.org/https://doi.org/10.1186/s12966-024-01595-6" </w:instrText>
      </w:r>
      <w:r>
        <w:rPr>
          <w:rFonts w:hint="default" w:ascii="Times New Roman Regular" w:hAnsi="Times New Roman Regular" w:cs="Times New Roman Regular"/>
          <w:b w:val="0"/>
          <w:i w:val="0"/>
          <w:sz w:val="24"/>
          <w:szCs w:val="24"/>
        </w:rPr>
        <w:fldChar w:fldCharType="separate"/>
      </w:r>
      <w:r>
        <w:rPr>
          <w:rStyle w:val="5"/>
          <w:rFonts w:hint="default" w:ascii="Times New Roman Regular" w:hAnsi="Times New Roman Regular" w:cs="Times New Roman Regular"/>
          <w:b w:val="0"/>
          <w:i w:val="0"/>
          <w:sz w:val="24"/>
          <w:szCs w:val="24"/>
        </w:rPr>
        <w:t>https://doi.org/https://doi.org/10.1186/s12966-024-01595-6</w:t>
      </w:r>
      <w:r>
        <w:rPr>
          <w:rFonts w:hint="default" w:ascii="Times New Roman Regular" w:hAnsi="Times New Roman Regular" w:cs="Times New Roman Regular"/>
          <w:b w:val="0"/>
          <w:i w:val="0"/>
          <w:sz w:val="24"/>
          <w:szCs w:val="24"/>
        </w:rPr>
        <w:fldChar w:fldCharType="end"/>
      </w:r>
    </w:p>
    <w:p w14:paraId="274635E4">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Park, S., Lee, S., Woo, S., Webster-Dekker, K., Chen, W., Veliz, P.,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Larson, J. L. (2024). </w:t>
      </w:r>
      <w:r>
        <w:rPr>
          <w:rFonts w:hint="default" w:ascii="Times New Roman Regular" w:hAnsi="Times New Roman Regular" w:cs="Times New Roman Regular"/>
          <w:b w:val="0"/>
          <w:i w:val="0"/>
          <w:iCs/>
          <w:sz w:val="24"/>
          <w:szCs w:val="24"/>
        </w:rPr>
        <w:t xml:space="preserve">Sedentary behaviors and physical activity of the working population measured by accelerometry: a systematic review and meta-analysis. </w:t>
      </w:r>
      <w:r>
        <w:rPr>
          <w:rFonts w:hint="default" w:ascii="Times New Roman Regular" w:hAnsi="Times New Roman Regular" w:cs="Times New Roman Regular"/>
          <w:b w:val="0"/>
          <w:i/>
          <w:iCs/>
          <w:sz w:val="24"/>
          <w:szCs w:val="24"/>
          <w:lang w:val="en-US"/>
        </w:rPr>
        <w:t xml:space="preserve">BMC public health, </w:t>
      </w:r>
      <w:r>
        <w:rPr>
          <w:rFonts w:hint="default" w:ascii="Times New Roman Regular" w:hAnsi="Times New Roman Regular" w:cs="Times New Roman Regular"/>
          <w:b w:val="0"/>
          <w:i/>
          <w:sz w:val="24"/>
          <w:szCs w:val="24"/>
        </w:rPr>
        <w:t>24</w:t>
      </w:r>
      <w:r>
        <w:rPr>
          <w:rFonts w:hint="default" w:ascii="Times New Roman Regular" w:hAnsi="Times New Roman Regular" w:cs="Times New Roman Regular"/>
          <w:b w:val="0"/>
          <w:i w:val="0"/>
          <w:sz w:val="24"/>
          <w:szCs w:val="24"/>
        </w:rPr>
        <w:t>(1), 2123. https://doi.org/https://doi.org/10.1186/s12889-024-19449-y</w:t>
      </w:r>
    </w:p>
    <w:p w14:paraId="0E3F55BB">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i w:val="0"/>
          <w:sz w:val="24"/>
          <w:szCs w:val="24"/>
        </w:rPr>
        <w:t xml:space="preserve">  Petty, R. E., Cacioppo, J. T.,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Goldman, R. (1981). Personal involvement as a determinant of argument-based persuasion. </w:t>
      </w:r>
      <w:r>
        <w:rPr>
          <w:rFonts w:hint="default" w:ascii="Times New Roman Regular" w:hAnsi="Times New Roman Regular" w:cs="Times New Roman Regular"/>
          <w:b w:val="0"/>
          <w:i/>
          <w:sz w:val="24"/>
          <w:szCs w:val="24"/>
        </w:rPr>
        <w:t>Journal of Personality and Social Psychology</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41</w:t>
      </w:r>
      <w:r>
        <w:rPr>
          <w:rFonts w:hint="default" w:ascii="Times New Roman Regular" w:hAnsi="Times New Roman Regular" w:cs="Times New Roman Regular"/>
          <w:b w:val="0"/>
          <w:i w:val="0"/>
          <w:sz w:val="24"/>
          <w:szCs w:val="24"/>
        </w:rPr>
        <w:t>(5), 847–855. https://doi.org/10.1037/0022-3514.41.5.847</w:t>
      </w:r>
    </w:p>
    <w:p w14:paraId="439C68F8">
      <w:pPr>
        <w:keepNext w:val="0"/>
        <w:keepLines w:val="0"/>
        <w:pageBreakBefore w:val="0"/>
        <w:widowControl/>
        <w:suppressLineNumbers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Reinhardt, A., Matthes, J., Hodzic, S., Kaňková, J., Bojic, L., Maindal, H. T., ... &amp; Ryom, K. (2025). Who Trusts AI for Health Information? A Cross-National Survey on Trust Determinants in Four European Countries.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Health Communication</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xml:space="preserve">, 1-13. </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instrText xml:space="preserve"> HYPERLINK "https://doi.org/10.1080/10410236.2025.2601265" </w:instrTex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https://doi.org/10.1080/10410236.2025.2601265</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end"/>
      </w:r>
    </w:p>
    <w:p w14:paraId="419324DA">
      <w:pPr>
        <w:keepNext w:val="0"/>
        <w:keepLines w:val="0"/>
        <w:pageBreakBefore w:val="0"/>
        <w:widowControl/>
        <w:suppressLineNumbers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Reis, M., Reis, F., &amp; Kunde, W. (2024). Influence of believed AI involvement on the perception of digital medical advice.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Nature Medicine</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30</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(11), 3098-3100. https://doi.org/10.1038/s41591-024-03180-7</w:t>
      </w:r>
    </w:p>
    <w:p w14:paraId="438E246B">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i w:val="0"/>
          <w:sz w:val="24"/>
          <w:szCs w:val="24"/>
        </w:rPr>
        <w:t xml:space="preserve">  Stephenson, A., Stephenson, A., Garcia-Constantino, M., Murphy, M. H., McDonough, S., McDonough, S., Nugent, C. D., Mair, J. L.,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Mair, J. L. (2021). The “Worktivity” mHealth intervention to reduce sedentary behaviour in the workplace: a feasibility cluster randomised controlled pilot study. </w:t>
      </w:r>
      <w:r>
        <w:rPr>
          <w:rFonts w:hint="default" w:ascii="Times New Roman Regular" w:hAnsi="Times New Roman Regular" w:cs="Times New Roman Regular"/>
          <w:b w:val="0"/>
          <w:i/>
          <w:sz w:val="24"/>
          <w:szCs w:val="24"/>
        </w:rPr>
        <w:t>BMC Public Health</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21</w:t>
      </w:r>
      <w:r>
        <w:rPr>
          <w:rFonts w:hint="default" w:ascii="Times New Roman Regular" w:hAnsi="Times New Roman Regular" w:cs="Times New Roman Regular"/>
          <w:b w:val="0"/>
          <w:i w:val="0"/>
          <w:sz w:val="24"/>
          <w:szCs w:val="24"/>
        </w:rPr>
        <w:t>(1), 1416. https://doi.org/https://doi.org/10.1186/s12889-021-11473-6</w:t>
      </w:r>
    </w:p>
    <w:p w14:paraId="675EDFE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80" w:lineRule="auto"/>
        <w:ind w:left="480" w:right="0" w:hanging="480" w:hangingChars="200"/>
        <w:textAlignment w:val="auto"/>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rPr>
        <w:t>Updegraff, J. A., Sherman, D. K., Luyster, F. S., &amp; Mann, T. L. (2007). The effects of message quality and congruency on perceptions of tailored health communications. </w:t>
      </w:r>
      <w:r>
        <w:rPr>
          <w:rFonts w:hint="default" w:ascii="Times New Roman Regular" w:hAnsi="Times New Roman Regular" w:eastAsia="Helvetica Neue" w:cs="Times New Roman Regular"/>
          <w:i/>
          <w:iCs/>
          <w:caps w:val="0"/>
          <w:color w:val="0F1115"/>
          <w:spacing w:val="0"/>
          <w:sz w:val="24"/>
          <w:szCs w:val="24"/>
          <w:shd w:val="clear" w:fill="FFFFFF"/>
          <w:lang w:val="en-US" w:eastAsia="zh-CN"/>
        </w:rPr>
        <w:t>Journal of Experimental Social Psychology, 43</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rPr>
        <w:t xml:space="preserve">(2), 249-257. </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instrText xml:space="preserve"> HYPERLINK "https://doi.org/10.1016/j.jesp.2006.01.007" \o "Persistent link using digital object identifier" \t "/Users/yunranz/Library/Containers/com.kingsoft.wpsoffice.mac/Data/tmp/wps-yunranz/x/_blank" </w:instrTex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https://doi.org/10.1016/j.jesp.2006.01.007</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end"/>
      </w:r>
    </w:p>
    <w:p w14:paraId="677E03D4">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b w:val="0"/>
          <w:i w:val="0"/>
          <w:sz w:val="24"/>
          <w:szCs w:val="24"/>
        </w:rPr>
        <w:t xml:space="preserve">  Wang, Y., &amp;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Deng, A. (2025). Physical Activity Domains, Intensities, and Sedentary Behavior: Associations with Depression in U.S. Adults. </w:t>
      </w:r>
      <w:r>
        <w:rPr>
          <w:rFonts w:hint="default" w:ascii="Times New Roman Regular" w:hAnsi="Times New Roman Regular" w:cs="Times New Roman Regular"/>
          <w:b w:val="0"/>
          <w:i/>
          <w:sz w:val="24"/>
          <w:szCs w:val="24"/>
        </w:rPr>
        <w:t>American Journal of Health Promotion</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val="0"/>
          <w:i/>
          <w:sz w:val="24"/>
          <w:szCs w:val="24"/>
        </w:rPr>
        <w:t>39</w:t>
      </w:r>
      <w:r>
        <w:rPr>
          <w:rFonts w:hint="default" w:ascii="Times New Roman Regular" w:hAnsi="Times New Roman Regular" w:cs="Times New Roman Regular"/>
          <w:b w:val="0"/>
          <w:i w:val="0"/>
          <w:sz w:val="24"/>
          <w:szCs w:val="24"/>
        </w:rPr>
        <w:t>(8), 1175-1179. https://doi.org/10.1177/08901171251340390</w:t>
      </w:r>
    </w:p>
    <w:p w14:paraId="1F84CD17">
      <w:pPr>
        <w:keepNext w:val="0"/>
        <w:keepLines w:val="0"/>
        <w:pageBreakBefore w:val="0"/>
        <w:widowControl/>
        <w:suppressLineNumbers w:val="0"/>
        <w:kinsoku/>
        <w:wordWrap/>
        <w:overflowPunct/>
        <w:topLinePunct w:val="0"/>
        <w:autoSpaceDE/>
        <w:autoSpaceDN/>
        <w:bidi w:val="0"/>
        <w:adjustRightInd/>
        <w:snapToGrid/>
        <w:spacing w:before="0" w:after="0" w:line="480" w:lineRule="auto"/>
        <w:ind w:left="480" w:hanging="480" w:hangingChars="200"/>
        <w:jc w:val="left"/>
        <w:textAlignment w:val="auto"/>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xml:space="preserve">Yin, H., Huang, X., &amp; Zhou, G. (2024). An empirical investigation into the impact of social media fitness videos on users’ exercise intentions.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rPr>
        <w:t>Behavioral Sciences, 14</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xml:space="preserve"> (3), 157</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t xml:space="preserve">. </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begin"/>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instrText xml:space="preserve"> HYPERLINK "https://doi.org/10.3390/bs14030157" </w:instrTex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separate"/>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t>https://doi.org/10.3390/bs14030157</w:t>
      </w:r>
      <w:r>
        <w:rPr>
          <w:rFonts w:hint="default" w:ascii="Times New Roman Regular" w:hAnsi="Times New Roman Regular" w:eastAsia="Helvetica Neue" w:cs="Times New Roman Regular"/>
          <w:i w:val="0"/>
          <w:iCs w:val="0"/>
          <w:caps w:val="0"/>
          <w:color w:val="0F1115"/>
          <w:spacing w:val="0"/>
          <w:sz w:val="24"/>
          <w:szCs w:val="24"/>
          <w:shd w:val="clear" w:fill="FFFFFF"/>
          <w:lang w:val="en-US" w:eastAsia="zh-CN" w:bidi="ar-SA"/>
        </w:rPr>
        <w:fldChar w:fldCharType="end"/>
      </w:r>
    </w:p>
    <w:p w14:paraId="1B8AC8DA">
      <w:pPr>
        <w:keepNext w:val="0"/>
        <w:keepLines w:val="0"/>
        <w:widowControl/>
        <w:suppressLineNumbers w:val="0"/>
        <w:jc w:val="left"/>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p>
    <w:p w14:paraId="616B59D9">
      <w:pPr>
        <w:keepNext w:val="0"/>
        <w:keepLines w:val="0"/>
        <w:widowControl/>
        <w:suppressLineNumbers w:val="0"/>
        <w:jc w:val="left"/>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p>
    <w:p w14:paraId="14A2E13F">
      <w:pPr>
        <w:keepNext w:val="0"/>
        <w:keepLines w:val="0"/>
        <w:widowControl/>
        <w:suppressLineNumbers w:val="0"/>
        <w:jc w:val="left"/>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p>
    <w:p w14:paraId="63240B2A">
      <w:pPr>
        <w:keepNext w:val="0"/>
        <w:keepLines w:val="0"/>
        <w:widowControl/>
        <w:suppressLineNumbers w:val="0"/>
        <w:jc w:val="left"/>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p>
    <w:p w14:paraId="301AF35A">
      <w:pPr>
        <w:keepNext w:val="0"/>
        <w:keepLines w:val="0"/>
        <w:widowControl/>
        <w:suppressLineNumbers w:val="0"/>
        <w:jc w:val="left"/>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p>
    <w:p w14:paraId="1CF2B326">
      <w:pPr>
        <w:rPr>
          <w:rFonts w:hint="default" w:ascii="Times New Roman Regular" w:hAnsi="Times New Roman Regular" w:cs="Times New Roman Regular"/>
          <w:sz w:val="24"/>
          <w:szCs w:val="24"/>
          <w:lang w:val="en-US" w:eastAsia="zh-CN"/>
        </w:rPr>
      </w:pPr>
    </w:p>
    <w:p w14:paraId="66D9CC5F">
      <w:pPr>
        <w:keepNext w:val="0"/>
        <w:keepLines w:val="0"/>
        <w:widowControl/>
        <w:suppressLineNumbers w:val="0"/>
        <w:jc w:val="left"/>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rPr>
      </w:pPr>
    </w:p>
    <w:p w14:paraId="101BE60D">
      <w:pPr>
        <w:rPr>
          <w:rFonts w:hint="default" w:ascii="Times New Roman Regular" w:hAnsi="Times New Roman Regular" w:cs="Times New Roman Regular"/>
          <w:sz w:val="24"/>
          <w:szCs w:val="24"/>
          <w:lang w:val="en-US" w:eastAsia="zh-CN"/>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Gill Sans Regular">
    <w:panose1 w:val="020B0502020104020203"/>
    <w:charset w:val="00"/>
    <w:family w:val="auto"/>
    <w:pitch w:val="default"/>
    <w:sig w:usb0="80000267" w:usb1="00000000" w:usb2="00000000" w:usb3="00000000" w:csb0="200001F7" w:csb1="CFFE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SimSun">
    <w:altName w:val="汉仪书宋二KW"/>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Times">
    <w:altName w:val="Times New Ro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C63F7"/>
    <w:rsid w:val="11FFEF3F"/>
    <w:rsid w:val="12F6AA3B"/>
    <w:rsid w:val="1DBF347D"/>
    <w:rsid w:val="1F98D6E0"/>
    <w:rsid w:val="27430A54"/>
    <w:rsid w:val="37FF9DC9"/>
    <w:rsid w:val="3BFC63F7"/>
    <w:rsid w:val="3D9E6E24"/>
    <w:rsid w:val="3FF7BBB0"/>
    <w:rsid w:val="4FDC87B8"/>
    <w:rsid w:val="4FDF24D9"/>
    <w:rsid w:val="57FBB54F"/>
    <w:rsid w:val="5A4FD7BB"/>
    <w:rsid w:val="5B67012C"/>
    <w:rsid w:val="5BD99A6F"/>
    <w:rsid w:val="5DCF0938"/>
    <w:rsid w:val="5F6D1F2F"/>
    <w:rsid w:val="5F775C72"/>
    <w:rsid w:val="5F7F34BB"/>
    <w:rsid w:val="62ED06C4"/>
    <w:rsid w:val="635BE7E8"/>
    <w:rsid w:val="67FF89AF"/>
    <w:rsid w:val="6E1C62AC"/>
    <w:rsid w:val="6EBB813B"/>
    <w:rsid w:val="6F2F5C01"/>
    <w:rsid w:val="6F7FA0DA"/>
    <w:rsid w:val="6F9F63E1"/>
    <w:rsid w:val="6FBB289D"/>
    <w:rsid w:val="6FEB4CFB"/>
    <w:rsid w:val="6FF54A81"/>
    <w:rsid w:val="72FF73C3"/>
    <w:rsid w:val="73AF2AE8"/>
    <w:rsid w:val="73FE0533"/>
    <w:rsid w:val="74F30AB7"/>
    <w:rsid w:val="75EF8EE1"/>
    <w:rsid w:val="76AAE36E"/>
    <w:rsid w:val="76FA1260"/>
    <w:rsid w:val="76FD67F9"/>
    <w:rsid w:val="775C2E9D"/>
    <w:rsid w:val="77B778AF"/>
    <w:rsid w:val="77BEB7EC"/>
    <w:rsid w:val="77FB4387"/>
    <w:rsid w:val="77FDFD85"/>
    <w:rsid w:val="7B9572F9"/>
    <w:rsid w:val="7DAFDEFB"/>
    <w:rsid w:val="7DBD7444"/>
    <w:rsid w:val="7DBF1939"/>
    <w:rsid w:val="7DD38AC3"/>
    <w:rsid w:val="7DFB7D26"/>
    <w:rsid w:val="7E0F214C"/>
    <w:rsid w:val="7EBD4ADE"/>
    <w:rsid w:val="7FD98C56"/>
    <w:rsid w:val="7FDFCF81"/>
    <w:rsid w:val="7FED6EF3"/>
    <w:rsid w:val="7FEF97F9"/>
    <w:rsid w:val="7FF123F4"/>
    <w:rsid w:val="7FF4ACE6"/>
    <w:rsid w:val="7FF612EF"/>
    <w:rsid w:val="7FFBA5B0"/>
    <w:rsid w:val="7FFE1CAC"/>
    <w:rsid w:val="8FEF34AE"/>
    <w:rsid w:val="967ED61B"/>
    <w:rsid w:val="9DDCCF06"/>
    <w:rsid w:val="9FEAC85A"/>
    <w:rsid w:val="9FFC7302"/>
    <w:rsid w:val="A6BF65C9"/>
    <w:rsid w:val="ABFB797B"/>
    <w:rsid w:val="AC9F5A4D"/>
    <w:rsid w:val="B7F903B6"/>
    <w:rsid w:val="BBF7B0A7"/>
    <w:rsid w:val="BBF9921D"/>
    <w:rsid w:val="BDF5EE76"/>
    <w:rsid w:val="BF7DBFB7"/>
    <w:rsid w:val="BFD23BDF"/>
    <w:rsid w:val="BFD7A1D8"/>
    <w:rsid w:val="BFFFE6D8"/>
    <w:rsid w:val="C7781311"/>
    <w:rsid w:val="C7DFE32C"/>
    <w:rsid w:val="CFE5A9FE"/>
    <w:rsid w:val="CFFFEE9A"/>
    <w:rsid w:val="D7FA59B6"/>
    <w:rsid w:val="D9BD4323"/>
    <w:rsid w:val="DB2D7CB3"/>
    <w:rsid w:val="DDA73E09"/>
    <w:rsid w:val="DDB82424"/>
    <w:rsid w:val="DF6D26C3"/>
    <w:rsid w:val="DF959969"/>
    <w:rsid w:val="DFEF5028"/>
    <w:rsid w:val="DFFE8691"/>
    <w:rsid w:val="E9B7653A"/>
    <w:rsid w:val="EB1FC6F0"/>
    <w:rsid w:val="EBFDE7FA"/>
    <w:rsid w:val="EE3F7FB9"/>
    <w:rsid w:val="EEED6017"/>
    <w:rsid w:val="EF3FA2C7"/>
    <w:rsid w:val="EF7F42A3"/>
    <w:rsid w:val="EFD61034"/>
    <w:rsid w:val="EFF708A6"/>
    <w:rsid w:val="EFF7F56D"/>
    <w:rsid w:val="F1EF49B3"/>
    <w:rsid w:val="F5FDF4D1"/>
    <w:rsid w:val="F6AFD868"/>
    <w:rsid w:val="F75DA018"/>
    <w:rsid w:val="F7BD97E3"/>
    <w:rsid w:val="F7CE68BB"/>
    <w:rsid w:val="F7F71869"/>
    <w:rsid w:val="F95EFCD8"/>
    <w:rsid w:val="F9CF1EB7"/>
    <w:rsid w:val="F9EDFF29"/>
    <w:rsid w:val="FA375D0F"/>
    <w:rsid w:val="FAD7DA63"/>
    <w:rsid w:val="FBBF5941"/>
    <w:rsid w:val="FBDF3863"/>
    <w:rsid w:val="FCE9A79B"/>
    <w:rsid w:val="FCFD954D"/>
    <w:rsid w:val="FD5175FA"/>
    <w:rsid w:val="FDEF094A"/>
    <w:rsid w:val="FDEFE4F5"/>
    <w:rsid w:val="FDF7CFE1"/>
    <w:rsid w:val="FE363E52"/>
    <w:rsid w:val="FF1ECA23"/>
    <w:rsid w:val="FF6F9075"/>
    <w:rsid w:val="FF7ECE67"/>
    <w:rsid w:val="FFE8C033"/>
    <w:rsid w:val="FFEA20A0"/>
    <w:rsid w:val="FFEFDF19"/>
    <w:rsid w:val="FFF510CF"/>
    <w:rsid w:val="FFFB3A1E"/>
    <w:rsid w:val="FFFF1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basedOn w:val="1"/>
    <w:uiPriority w:val="0"/>
    <w:rPr>
      <w:sz w:val="24"/>
      <w:szCs w:val="24"/>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2026-04-06T14:20:00Z</dcterms:created>
  <dc:creator>张韵然Cher</dc:creator>
  <cp:lastModifiedBy>张韵然Cher</cp:lastModifiedBy>
  <dcterms:modified xsi:type="dcterms:W3CDTF">2026-04-12T17:34:34Z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380067F2790DBDD6A950D369C86E8D03_41</vt:lpwstr>
  </property>
</Properties>
</file>