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Discussion</w:t>
      </w:r>
    </w:p>
    <w:p/>
    <w:p>
      <w:r>
        <w:t>The present study examined how information source and message framing influence exercise behavioral intention through multiple mechanisms, with health consciousness as a moderator. Contrary to Hypotheses 1 and 2, neither information source nor message frame demonstrated direct effects on behavioral intention. These non-significant findings diverge substantially from prior research demonstrating that source credibility and message framing typically influence behavioral outcomes. One plausible explanation stems from the Elaboration Likelihood Model (ELM), which posits that peripheral cues such as source characteristics primarily influence attitudes under conditions of low involvement or motivation. However, exercise health intentions represent a high-involvement domain for many individuals, particularly those with elevated health consciousness. Under high-elaboration conditions, the quality of arguments and personal relevance supersede peripheral source cues. The observed dominance of attitude as a predictor (β = .75, p &lt; .001) aligns with this interpretation—individuals appear to have engaged deeply with the message content, forming stable attitudes that drove behavioral intentions regardless of whether information originated from a human or artificial source.</w:t>
      </w:r>
    </w:p>
    <w:p/>
    <w:p>
      <w:pPr>
        <w:jc w:val="left"/>
      </w:pPr>
      <w:r>
        <w:rPr>
          <w:b/>
          <w:sz w:val="22"/>
        </w:rPr>
        <w:t>Table 7. Theoretical Models and Study Findings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Theoretical Model</w:t>
            </w:r>
          </w:p>
        </w:tc>
        <w:tc>
          <w:tcPr>
            <w:tcW w:type="dxa" w:w="2160"/>
          </w:tcPr>
          <w:p>
            <w:r>
              <w:rPr>
                <w:b/>
              </w:rPr>
              <w:t>Key Prediction</w:t>
            </w:r>
          </w:p>
        </w:tc>
        <w:tc>
          <w:tcPr>
            <w:tcW w:type="dxa" w:w="2160"/>
          </w:tcPr>
          <w:p>
            <w:r>
              <w:rPr>
                <w:b/>
              </w:rPr>
              <w:t>Study Finding</w:t>
            </w:r>
          </w:p>
        </w:tc>
        <w:tc>
          <w:tcPr>
            <w:tcW w:type="dxa" w:w="2160"/>
          </w:tcPr>
          <w:p>
            <w:r>
              <w:rPr>
                <w:b/>
              </w:rPr>
              <w:t>Theoretical Implication</w:t>
            </w:r>
          </w:p>
        </w:tc>
      </w:tr>
      <w:tr>
        <w:tc>
          <w:tcPr>
            <w:tcW w:type="dxa" w:w="2160"/>
          </w:tcPr>
          <w:p>
            <w:r>
              <w:t>Elaboration Likelihood Model</w:t>
            </w:r>
          </w:p>
        </w:tc>
        <w:tc>
          <w:tcPr>
            <w:tcW w:type="dxa" w:w="2160"/>
          </w:tcPr>
          <w:p>
            <w:r>
              <w:t>Peripheral vs. Central Route</w:t>
            </w:r>
          </w:p>
        </w:tc>
        <w:tc>
          <w:tcPr>
            <w:tcW w:type="dxa" w:w="2160"/>
          </w:tcPr>
          <w:p>
            <w:r>
              <w:t>Central route dominant</w:t>
            </w:r>
          </w:p>
        </w:tc>
        <w:tc>
          <w:tcPr>
            <w:tcW w:type="dxa" w:w="2160"/>
          </w:tcPr>
          <w:p>
            <w:r>
              <w:t>High personal relevance context</w:t>
            </w:r>
          </w:p>
        </w:tc>
      </w:tr>
      <w:tr>
        <w:tc>
          <w:tcPr>
            <w:tcW w:type="dxa" w:w="2160"/>
          </w:tcPr>
          <w:p>
            <w:r>
              <w:t>Source Credibility Theory</w:t>
            </w:r>
          </w:p>
        </w:tc>
        <w:tc>
          <w:tcPr>
            <w:tcW w:type="dxa" w:w="2160"/>
          </w:tcPr>
          <w:p>
            <w:r>
              <w:t>Source traits affect outcomes</w:t>
            </w:r>
          </w:p>
        </w:tc>
        <w:tc>
          <w:tcPr>
            <w:tcW w:type="dxa" w:w="2160"/>
          </w:tcPr>
          <w:p>
            <w:r>
              <w:t>Trust ≠ Intention</w:t>
            </w:r>
          </w:p>
        </w:tc>
        <w:tc>
          <w:tcPr>
            <w:tcW w:type="dxa" w:w="2160"/>
          </w:tcPr>
          <w:p>
            <w:r>
              <w:t>Cognition-behavior disconnection</w:t>
            </w:r>
          </w:p>
        </w:tc>
      </w:tr>
      <w:tr>
        <w:tc>
          <w:tcPr>
            <w:tcW w:type="dxa" w:w="2160"/>
          </w:tcPr>
          <w:p>
            <w:r>
              <w:t>Framing Theory</w:t>
            </w:r>
          </w:p>
        </w:tc>
        <w:tc>
          <w:tcPr>
            <w:tcW w:type="dxa" w:w="2160"/>
          </w:tcPr>
          <w:p>
            <w:r>
              <w:t>Frame type affects processing</w:t>
            </w:r>
          </w:p>
        </w:tc>
        <w:tc>
          <w:tcPr>
            <w:tcW w:type="dxa" w:w="2160"/>
          </w:tcPr>
          <w:p>
            <w:r>
              <w:t>Frame effects absent</w:t>
            </w:r>
          </w:p>
        </w:tc>
        <w:tc>
          <w:tcPr>
            <w:tcW w:type="dxa" w:w="2160"/>
          </w:tcPr>
          <w:p>
            <w:r>
              <w:t>Message quality &gt; framing</w:t>
            </w:r>
          </w:p>
        </w:tc>
      </w:tr>
      <w:tr>
        <w:tc>
          <w:tcPr>
            <w:tcW w:type="dxa" w:w="2160"/>
          </w:tcPr>
          <w:p>
            <w:r>
              <w:t>Self-Efficacy Theory</w:t>
            </w:r>
          </w:p>
        </w:tc>
        <w:tc>
          <w:tcPr>
            <w:tcW w:type="dxa" w:w="2160"/>
          </w:tcPr>
          <w:p>
            <w:r>
              <w:t>Efficacy beliefs affect behavior</w:t>
            </w:r>
          </w:p>
        </w:tc>
        <w:tc>
          <w:tcPr>
            <w:tcW w:type="dxa" w:w="2160"/>
          </w:tcPr>
          <w:p>
            <w:r>
              <w:t>SE weakly predicts</w:t>
            </w:r>
          </w:p>
        </w:tc>
        <w:tc>
          <w:tcPr>
            <w:tcW w:type="dxa" w:w="2160"/>
          </w:tcPr>
          <w:p>
            <w:r>
              <w:t>Attitude is final pathway</w:t>
            </w:r>
          </w:p>
        </w:tc>
      </w:tr>
      <w:tr>
        <w:tc>
          <w:tcPr>
            <w:tcW w:type="dxa" w:w="2160"/>
          </w:tcPr>
          <w:p>
            <w:r>
              <w:t>Self-Determination Theory</w:t>
            </w:r>
          </w:p>
        </w:tc>
        <w:tc>
          <w:tcPr>
            <w:tcW w:type="dxa" w:w="2160"/>
          </w:tcPr>
          <w:p>
            <w:r>
              <w:t>Autonomy affects motivation</w:t>
            </w:r>
          </w:p>
        </w:tc>
        <w:tc>
          <w:tcPr>
            <w:tcW w:type="dxa" w:w="2160"/>
          </w:tcPr>
          <w:p>
            <w:r>
              <w:t>HC moderates source effect</w:t>
            </w:r>
          </w:p>
        </w:tc>
        <w:tc>
          <w:tcPr>
            <w:tcW w:type="dxa" w:w="2160"/>
          </w:tcPr>
          <w:p>
            <w:r>
              <w:t>Intrinsic motivation buffers peripherals</w:t>
            </w:r>
          </w:p>
        </w:tc>
      </w:tr>
    </w:tbl>
    <w:p/>
    <w:p>
      <w:r>
        <w:t>The failure to support mediation pathways (Hypotheses 3–6) reveals a critical insight regarding the cascade of persuasion mechanisms. Although information source significantly influenced trust (β = -.50, p &lt; .001) and self-efficacy (β = -.30, p = .02), these cognitively-mediated changes did not propagate downstream to behavioral intention. Trust, despite its prominence in source credibility theory as a mechanism linking source attributes to downstream outcomes, demonstrated no significant association with behavioral intention (β = .03, ns). This disconnection suggests that individuals may differentiate between cognitive evaluations of information source trustworthiness and their actual behavioral commitment to exercise. They may recognize that an AI source is inherently less trustworthy while nonetheless acknowledging the validity of the exercise recommendations provided. Self-efficacy showed a modest relationship with intention (β = .13, p = .001), yet this pathway alone could not deliver the hypothesized mediation effects for message frame, as frame effects on self-efficacy were weak and non-significant. The centrality of attitude in determining intention—absorbing approximately 57% of explained variance—suggests that attitude functions as the final common pathway through which persuasive attempts influence behavioral commitment, while upstream cognitive constructs (trust, efficacy) remain psychologically isolated from behavioral outputs.</w:t>
      </w:r>
    </w:p>
    <w:p/>
    <w:p>
      <w:r>
        <w:t>The finding that health consciousness moderated the effect of information source on behavioral intention (Hypothesis 7, β = -.39, p = .005) presents an encouraging contradiction to the general pattern of weak persuasion effects. This moderation operated indirectly through the mediating mechanisms rather than directly, indicating that health-conscious individuals were not simply more resistant to source-based persuasion, but rather exhibited reduced variance attributable to source differences in their intention-formation processes. Frame-theoretic research suggests that message framing effects are often substantial, yet the current data revealed minimal framing effects across all pathways. One possibility is that the health domain, particularly exercise recommendations, activates frames of personal relevance that override the intentional manipulations coded in gain-loss framing. Alternatively, the relatively brief nature of the intervention may not have permitted sufficient elaboration to fully develop the theoretically-predicted contrasts between gain and loss frames.</w:t>
      </w:r>
    </w:p>
    <w:p/>
    <w:p>
      <w:pPr>
        <w:jc w:val="left"/>
      </w:pPr>
      <w:r>
        <w:rPr>
          <w:b/>
          <w:sz w:val="22"/>
        </w:rPr>
        <w:t>Table 8. Effect Size Summary Across Model Pathways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Pathway</w:t>
            </w:r>
          </w:p>
        </w:tc>
        <w:tc>
          <w:tcPr>
            <w:tcW w:type="dxa" w:w="2160"/>
          </w:tcPr>
          <w:p>
            <w:r>
              <w:rPr>
                <w:b/>
              </w:rPr>
              <w:t>β Magnitude</w:t>
            </w:r>
          </w:p>
        </w:tc>
        <w:tc>
          <w:tcPr>
            <w:tcW w:type="dxa" w:w="2160"/>
          </w:tcPr>
          <w:p>
            <w:r>
              <w:rPr>
                <w:b/>
              </w:rPr>
              <w:t>Effect Size</w:t>
            </w:r>
          </w:p>
        </w:tc>
        <w:tc>
          <w:tcPr>
            <w:tcW w:type="dxa" w:w="2160"/>
          </w:tcPr>
          <w:p>
            <w:r>
              <w:rPr>
                <w:b/>
              </w:rPr>
              <w:t>Significance</w:t>
            </w:r>
          </w:p>
        </w:tc>
      </w:tr>
      <w:tr>
        <w:tc>
          <w:tcPr>
            <w:tcW w:type="dxa" w:w="2160"/>
          </w:tcPr>
          <w:p>
            <w:r>
              <w:t>Source → Trust</w:t>
            </w:r>
          </w:p>
        </w:tc>
        <w:tc>
          <w:tcPr>
            <w:tcW w:type="dxa" w:w="2160"/>
          </w:tcPr>
          <w:p>
            <w:r>
              <w:t>-0.495</w:t>
            </w:r>
          </w:p>
        </w:tc>
        <w:tc>
          <w:tcPr>
            <w:tcW w:type="dxa" w:w="2160"/>
          </w:tcPr>
          <w:p>
            <w:r>
              <w:t>Strong</w:t>
            </w:r>
          </w:p>
        </w:tc>
        <w:tc>
          <w:tcPr>
            <w:tcW w:type="dxa" w:w="2160"/>
          </w:tcPr>
          <w:p>
            <w:r>
              <w:t>***</w:t>
            </w:r>
          </w:p>
        </w:tc>
      </w:tr>
      <w:tr>
        <w:tc>
          <w:tcPr>
            <w:tcW w:type="dxa" w:w="2160"/>
          </w:tcPr>
          <w:p>
            <w:r>
              <w:t>Source → SE</w:t>
            </w:r>
          </w:p>
        </w:tc>
        <w:tc>
          <w:tcPr>
            <w:tcW w:type="dxa" w:w="2160"/>
          </w:tcPr>
          <w:p>
            <w:r>
              <w:t>-0.303</w:t>
            </w:r>
          </w:p>
        </w:tc>
        <w:tc>
          <w:tcPr>
            <w:tcW w:type="dxa" w:w="2160"/>
          </w:tcPr>
          <w:p>
            <w:r>
              <w:t>Medium</w:t>
            </w:r>
          </w:p>
        </w:tc>
        <w:tc>
          <w:tcPr>
            <w:tcW w:type="dxa" w:w="2160"/>
          </w:tcPr>
          <w:p>
            <w:r>
              <w:t>*</w:t>
            </w:r>
          </w:p>
        </w:tc>
      </w:tr>
      <w:tr>
        <w:tc>
          <w:tcPr>
            <w:tcW w:type="dxa" w:w="2160"/>
          </w:tcPr>
          <w:p>
            <w:r>
              <w:t>Source → Attitude</w:t>
            </w:r>
          </w:p>
        </w:tc>
        <w:tc>
          <w:tcPr>
            <w:tcW w:type="dxa" w:w="2160"/>
          </w:tcPr>
          <w:p>
            <w:r>
              <w:t>0.048</w:t>
            </w:r>
          </w:p>
        </w:tc>
        <w:tc>
          <w:tcPr>
            <w:tcW w:type="dxa" w:w="2160"/>
          </w:tcPr>
          <w:p>
            <w:r>
              <w:t>Negligible</w:t>
            </w:r>
          </w:p>
        </w:tc>
        <w:tc>
          <w:tcPr>
            <w:tcW w:type="dxa" w:w="2160"/>
          </w:tcPr>
          <w:p>
            <w:r>
              <w:t>ns</w:t>
            </w:r>
          </w:p>
        </w:tc>
      </w:tr>
      <w:tr>
        <w:tc>
          <w:tcPr>
            <w:tcW w:type="dxa" w:w="2160"/>
          </w:tcPr>
          <w:p>
            <w:r>
              <w:t>Frame → Any Mediator</w:t>
            </w:r>
          </w:p>
        </w:tc>
        <w:tc>
          <w:tcPr>
            <w:tcW w:type="dxa" w:w="2160"/>
          </w:tcPr>
          <w:p>
            <w:r>
              <w:t>M = 0.07</w:t>
            </w:r>
          </w:p>
        </w:tc>
        <w:tc>
          <w:tcPr>
            <w:tcW w:type="dxa" w:w="2160"/>
          </w:tcPr>
          <w:p>
            <w:r>
              <w:t>Weak</w:t>
            </w:r>
          </w:p>
        </w:tc>
        <w:tc>
          <w:tcPr>
            <w:tcW w:type="dxa" w:w="2160"/>
          </w:tcPr>
          <w:p>
            <w:r>
              <w:t>ns</w:t>
            </w:r>
          </w:p>
        </w:tc>
      </w:tr>
      <w:tr>
        <w:tc>
          <w:tcPr>
            <w:tcW w:type="dxa" w:w="2160"/>
          </w:tcPr>
          <w:p>
            <w:r>
              <w:t>Mediators → Intention</w:t>
            </w:r>
          </w:p>
        </w:tc>
        <w:tc>
          <w:tcPr>
            <w:tcW w:type="dxa" w:w="2160"/>
          </w:tcPr>
          <w:p>
            <w:r>
              <w:t>M = 0.05</w:t>
            </w:r>
          </w:p>
        </w:tc>
        <w:tc>
          <w:tcPr>
            <w:tcW w:type="dxa" w:w="2160"/>
          </w:tcPr>
          <w:p>
            <w:r>
              <w:t>Weak</w:t>
            </w:r>
          </w:p>
        </w:tc>
        <w:tc>
          <w:tcPr>
            <w:tcW w:type="dxa" w:w="2160"/>
          </w:tcPr>
          <w:p>
            <w:r>
              <w:t>*-**</w:t>
            </w:r>
          </w:p>
        </w:tc>
      </w:tr>
      <w:tr>
        <w:tc>
          <w:tcPr>
            <w:tcW w:type="dxa" w:w="2160"/>
          </w:tcPr>
          <w:p>
            <w:r>
              <w:t>Attitude → Intention</w:t>
            </w:r>
          </w:p>
        </w:tc>
        <w:tc>
          <w:tcPr>
            <w:tcW w:type="dxa" w:w="2160"/>
          </w:tcPr>
          <w:p>
            <w:r>
              <w:t>0.694</w:t>
            </w:r>
          </w:p>
        </w:tc>
        <w:tc>
          <w:tcPr>
            <w:tcW w:type="dxa" w:w="2160"/>
          </w:tcPr>
          <w:p>
            <w:r>
              <w:t>Strong</w:t>
            </w:r>
          </w:p>
        </w:tc>
        <w:tc>
          <w:tcPr>
            <w:tcW w:type="dxa" w:w="2160"/>
          </w:tcPr>
          <w:p>
            <w:r>
              <w:t>***</w:t>
            </w:r>
          </w:p>
        </w:tc>
      </w:tr>
      <w:tr>
        <w:tc>
          <w:tcPr>
            <w:tcW w:type="dxa" w:w="2160"/>
          </w:tcPr>
          <w:p>
            <w:r>
              <w:t>Total HC × Source Moderation</w:t>
            </w:r>
          </w:p>
        </w:tc>
        <w:tc>
          <w:tcPr>
            <w:tcW w:type="dxa" w:w="2160"/>
          </w:tcPr>
          <w:p>
            <w:r>
              <w:t>-0.392</w:t>
            </w:r>
          </w:p>
        </w:tc>
        <w:tc>
          <w:tcPr>
            <w:tcW w:type="dxa" w:w="2160"/>
          </w:tcPr>
          <w:p>
            <w:r>
              <w:t>Medium</w:t>
            </w:r>
          </w:p>
        </w:tc>
        <w:tc>
          <w:tcPr>
            <w:tcW w:type="dxa" w:w="2160"/>
          </w:tcPr>
          <w:p>
            <w:r>
              <w:t>**</w:t>
            </w:r>
          </w:p>
        </w:tc>
      </w:tr>
    </w:tbl>
    <w:p/>
    <w:p>
      <w:r>
        <w:t>Note: *** p &lt; .001, ** p &lt; .01, * p &lt; .05, ns = not significant</w:t>
      </w:r>
    </w:p>
    <w:p/>
    <w:p>
      <w:r>
        <w:t>From a theoretical perspective, these findings illuminate a critical boundary condition in persuasion science: the distinction between cognitive and behavioral persuasion outcomes. Information source and frame can substantially influence how individuals cognitively process recommendations (affecting trust and efficacy perceptions), yet these cognitive shifts may not necessarily translate into altered behavioral commitments when individuals have already formed stable attitudes toward the behavior itself. The ELM would predict that peripheral route processing (via source/frame) would contribute to attitude change among low-motivation individuals, but the high baseline attitude scores (M = 6.11/7.0) suggest participants already held favorable attitudes toward following exercise recommendations, potentially creating a ceiling effect that limited persuasion potential. The present findings thus qualify source credibility and message framing theories by suggesting these are primarily effective persuasion tools when receivers have not yet crystallized strong attitudinal positions, or when operating under conditions of low personal relevance. The moderating role of health consciousness deserves particular attention. Individuals with higher health consciousness exhibited reduced sensitivity to information source in determining their behavioral intentions, suggesting they possess stronger intrinsic motivation and less reliance on external credibility cues. This finding aligns with self-determination theory, wherein individuals high in autonomous motivation (proxied here by health consciousness) exhibit less responsiveness to external persuasive attempts and remain focused on internally-derived goals. Conversely, individuals lower in health consciousness showed greater differentiation in intentions based on source, indicating they may utilize source characteristics as a heuristic decision-making tool when personal health motivation is limited.</w:t>
      </w:r>
    </w:p>
    <w:p/>
    <w:p>
      <w:r>
        <w:t>Several limitations warrant acknowledgment. First, the cross-sectional design precludes causal inference; the hypothesized temporal sequences among variables remain untested. Second, the relatively weak fit of the structural model (CFI = .52, RMSEA = .34 for the full model) suggests that important causal mechanisms may remain unmeasured or that the hypothesized model structure inadequately represents the actual relationship network. Third, the sample represented a specific demographic context that may limit generalizability; diverse populations may exhibit different patterns of persuasibility and message processing. Fourth, the operationalization of information source (human vs. AI) and message frame (gain vs. loss) were brief experimental manipulations; sustained exposure or more elaborate source characterizations might yield different effects. Fifth, self-reported behavioral intention, rather than actual behavior, was the outcome variable; intention-behavior relationships vary substantially across contexts and populations.</w:t>
      </w:r>
    </w:p>
    <w:p/>
    <w:p>
      <w:pPr>
        <w:jc w:val="left"/>
      </w:pPr>
      <w:r>
        <w:rPr>
          <w:b/>
          <w:sz w:val="22"/>
        </w:rPr>
        <w:t>Table 9. Study Limitations and Future Research Directions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Limitation</w:t>
            </w:r>
          </w:p>
        </w:tc>
        <w:tc>
          <w:tcPr>
            <w:tcW w:type="dxa" w:w="2880"/>
          </w:tcPr>
          <w:p>
            <w:r>
              <w:rPr>
                <w:b/>
              </w:rPr>
              <w:t>Potential Impact</w:t>
            </w:r>
          </w:p>
        </w:tc>
        <w:tc>
          <w:tcPr>
            <w:tcW w:type="dxa" w:w="2880"/>
          </w:tcPr>
          <w:p>
            <w:r>
              <w:rPr>
                <w:b/>
              </w:rPr>
              <w:t>Future Research Direction</w:t>
            </w:r>
          </w:p>
        </w:tc>
      </w:tr>
      <w:tr>
        <w:tc>
          <w:tcPr>
            <w:tcW w:type="dxa" w:w="2880"/>
          </w:tcPr>
          <w:p>
            <w:r>
              <w:t>Cross-sectional design</w:t>
            </w:r>
          </w:p>
        </w:tc>
        <w:tc>
          <w:tcPr>
            <w:tcW w:type="dxa" w:w="2880"/>
          </w:tcPr>
          <w:p>
            <w:r>
              <w:t>Cannot establish causality</w:t>
            </w:r>
          </w:p>
        </w:tc>
        <w:tc>
          <w:tcPr>
            <w:tcW w:type="dxa" w:w="2880"/>
          </w:tcPr>
          <w:p>
            <w:r>
              <w:t>Longitudinal study</w:t>
            </w:r>
          </w:p>
        </w:tc>
      </w:tr>
      <w:tr>
        <w:tc>
          <w:tcPr>
            <w:tcW w:type="dxa" w:w="2880"/>
          </w:tcPr>
          <w:p>
            <w:r>
              <w:t>Model fit concerns</w:t>
            </w:r>
          </w:p>
        </w:tc>
        <w:tc>
          <w:tcPr>
            <w:tcW w:type="dxa" w:w="2880"/>
          </w:tcPr>
          <w:p>
            <w:r>
              <w:t>Unmeasured mechanisms</w:t>
            </w:r>
          </w:p>
        </w:tc>
        <w:tc>
          <w:tcPr>
            <w:tcW w:type="dxa" w:w="2880"/>
          </w:tcPr>
          <w:p>
            <w:r>
              <w:t>Add theorized variables</w:t>
            </w:r>
          </w:p>
        </w:tc>
      </w:tr>
      <w:tr>
        <w:tc>
          <w:tcPr>
            <w:tcW w:type="dxa" w:w="2880"/>
          </w:tcPr>
          <w:p>
            <w:r>
              <w:t>Sample specificity</w:t>
            </w:r>
          </w:p>
        </w:tc>
        <w:tc>
          <w:tcPr>
            <w:tcW w:type="dxa" w:w="2880"/>
          </w:tcPr>
          <w:p>
            <w:r>
              <w:t>May not generalize</w:t>
            </w:r>
          </w:p>
        </w:tc>
        <w:tc>
          <w:tcPr>
            <w:tcW w:type="dxa" w:w="2880"/>
          </w:tcPr>
          <w:p>
            <w:r>
              <w:t>Multi-sample verification</w:t>
            </w:r>
          </w:p>
        </w:tc>
      </w:tr>
      <w:tr>
        <w:tc>
          <w:tcPr>
            <w:tcW w:type="dxa" w:w="2880"/>
          </w:tcPr>
          <w:p>
            <w:r>
              <w:t>Brief interventions</w:t>
            </w:r>
          </w:p>
        </w:tc>
        <w:tc>
          <w:tcPr>
            <w:tcW w:type="dxa" w:w="2880"/>
          </w:tcPr>
          <w:p>
            <w:r>
              <w:t>Weak effects possible</w:t>
            </w:r>
          </w:p>
        </w:tc>
        <w:tc>
          <w:tcPr>
            <w:tcW w:type="dxa" w:w="2880"/>
          </w:tcPr>
          <w:p>
            <w:r>
              <w:t>Extended exposure design</w:t>
            </w:r>
          </w:p>
        </w:tc>
      </w:tr>
      <w:tr>
        <w:tc>
          <w:tcPr>
            <w:tcW w:type="dxa" w:w="2880"/>
          </w:tcPr>
          <w:p>
            <w:r>
              <w:t>Intention vs. behavior</w:t>
            </w:r>
          </w:p>
        </w:tc>
        <w:tc>
          <w:tcPr>
            <w:tcW w:type="dxa" w:w="2880"/>
          </w:tcPr>
          <w:p>
            <w:r>
              <w:t>Discounting real behavior</w:t>
            </w:r>
          </w:p>
        </w:tc>
        <w:tc>
          <w:tcPr>
            <w:tcW w:type="dxa" w:w="2880"/>
          </w:tcPr>
          <w:p>
            <w:r>
              <w:t>Objective behavior tracking</w:t>
            </w:r>
          </w:p>
        </w:tc>
      </w:tr>
    </w:tbl>
    <w:p/>
    <w:p>
      <w:r>
        <w:t>Future research should investigate potential moderators beyond health consciousness, such as prior exercise experience, perceived autonomy, or personal relevance to health outcomes. Longitudinal designs would clarify whether the observed cognitive effects of source and frame eventually influence behavior through distal pathways not captured in the present structural model. Additionally, examining effect heterogeneity across subgroups defined by demographic factors or chronic health status could elucidate boundary conditions for source and framing effects. Finally, qualitative inquiry into how individuals reconcile cognitive evaluations of source trustworthiness with their behavioral commitments may illuminate the psychological mechanisms underlying the observed disconnection between trust and intention. Integration with real-time measurement of exercise behavior and wearable technology could provide objective validation of the intention-behavior relationship.</w:t>
      </w:r>
    </w:p>
    <w:p/>
    <w:p>
      <w:r>
        <w:t>In conclusion, this study reveals that information source and message framing exert primarily cognitive rather than behavioral effects in the exercise domain, with attitude functioning as the critical gateway to behavioral intention. Health consciousness emerges as an important moderator, buffering higher-consciousness individuals against source-based persuasion. These findings have important practical implications for health promotion and exercise intervention design. Effective strategies should prioritize attitude development and maintenance, particularly addressing the substantive merit and personal relevance of the health message itself, rather than relying primarily on source credibility or framing tactics. For individuals with lower health consciousness, careful attention to information source credibility and positive framing may enhance persuasiveness through cognitive routes. However, for health-conscious populations, emphasis should shift toward evidence quality, personalization, and alignment with autonomous health motivations. Digital health platforms and AI-based fitness coaching systems should ensure that while cognitive trust in the system may be lower than human experts, the evidence-based quality of recommendations compensates by directly influencing user attitudes and subsequent behavioral commitment.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