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Results</w:t>
      </w:r>
    </w:p>
    <w:p/>
    <w:p>
      <w:r>
        <w:t>Confirmatory factor analysis was first conducted to evaluate the measurement model. The CFA demonstrated excellent model fit (χ² = 273.39, df = 160, p &lt; .001; CFI = .91; TLI = .90; RMSEA = .06, 95% CI [.05, .07]; SRMR = .06), with all factor loadings statistically significant and ranging from β = .43 to β = .87. Reliability assessment using both Cronbach's alpha and omega coefficients indicated all constructs exceeded α = .60: Attitude (α = .64, ω = .65), Behavioral Intention (α = .74, ω = .74), Self-efficacy (α = .82, ω = .82), Trust (α = .81, ω = .81), and Health Consciousness (α = .74, ω = .75). Convergent validity was supported through average variance extracted (AVE) values ranging from .35 to .60.</w:t>
      </w:r>
    </w:p>
    <w:p/>
    <w:p>
      <w:pPr>
        <w:jc w:val="left"/>
      </w:pPr>
      <w:r>
        <w:rPr>
          <w:b/>
          <w:sz w:val="22"/>
        </w:rPr>
        <w:t>Table 1. Descriptive Statistics of Study Variables (N = 199)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Skewness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Kurtosis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234"/>
          </w:tcPr>
          <w:p>
            <w:r>
              <w:t>Attitude</w:t>
            </w:r>
          </w:p>
        </w:tc>
        <w:tc>
          <w:tcPr>
            <w:tcW w:type="dxa" w:w="1234"/>
          </w:tcPr>
          <w:p>
            <w:r>
              <w:t>6.11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-1.03</w:t>
            </w:r>
          </w:p>
        </w:tc>
        <w:tc>
          <w:tcPr>
            <w:tcW w:type="dxa" w:w="1234"/>
          </w:tcPr>
          <w:p>
            <w:r>
              <w:t>1.85</w:t>
            </w:r>
          </w:p>
        </w:tc>
        <w:tc>
          <w:tcPr>
            <w:tcW w:type="dxa" w:w="1234"/>
          </w:tcPr>
          <w:p>
            <w:r>
              <w:t>3.33</w:t>
            </w:r>
          </w:p>
        </w:tc>
        <w:tc>
          <w:tcPr>
            <w:tcW w:type="dxa" w:w="1234"/>
          </w:tcPr>
          <w:p>
            <w:r>
              <w:t>7.0</w:t>
            </w:r>
          </w:p>
        </w:tc>
      </w:tr>
      <w:tr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5.61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-0.79</w:t>
            </w:r>
          </w:p>
        </w:tc>
        <w:tc>
          <w:tcPr>
            <w:tcW w:type="dxa" w:w="1234"/>
          </w:tcPr>
          <w:p>
            <w:r>
              <w:t>1.68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7.0</w:t>
            </w:r>
          </w:p>
        </w:tc>
      </w:tr>
      <w:tr>
        <w:tc>
          <w:tcPr>
            <w:tcW w:type="dxa" w:w="1234"/>
          </w:tcPr>
          <w:p>
            <w:r>
              <w:t>Self-efficacy</w:t>
            </w:r>
          </w:p>
        </w:tc>
        <w:tc>
          <w:tcPr>
            <w:tcW w:type="dxa" w:w="1234"/>
          </w:tcPr>
          <w:p>
            <w:r>
              <w:t>5.53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-1.16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1.67</w:t>
            </w:r>
          </w:p>
        </w:tc>
        <w:tc>
          <w:tcPr>
            <w:tcW w:type="dxa" w:w="1234"/>
          </w:tcPr>
          <w:p>
            <w:r>
              <w:t>7.0</w:t>
            </w:r>
          </w:p>
        </w:tc>
      </w:tr>
      <w:tr>
        <w:tc>
          <w:tcPr>
            <w:tcW w:type="dxa" w:w="1234"/>
          </w:tcPr>
          <w:p>
            <w:r>
              <w:t>Health Consciousness</w:t>
            </w:r>
          </w:p>
        </w:tc>
        <w:tc>
          <w:tcPr>
            <w:tcW w:type="dxa" w:w="1234"/>
          </w:tcPr>
          <w:p>
            <w:r>
              <w:t>5.77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-0.54</w:t>
            </w:r>
          </w:p>
        </w:tc>
        <w:tc>
          <w:tcPr>
            <w:tcW w:type="dxa" w:w="1234"/>
          </w:tcPr>
          <w:p>
            <w:r>
              <w:t>-0.05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7.0</w:t>
            </w:r>
          </w:p>
        </w:tc>
      </w:tr>
      <w:tr>
        <w:tc>
          <w:tcPr>
            <w:tcW w:type="dxa" w:w="1234"/>
          </w:tcPr>
          <w:p>
            <w:r>
              <w:t>Behavioral Intention</w:t>
            </w:r>
          </w:p>
        </w:tc>
        <w:tc>
          <w:tcPr>
            <w:tcW w:type="dxa" w:w="1234"/>
          </w:tcPr>
          <w:p>
            <w:r>
              <w:t>5.83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-1.07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2.67</w:t>
            </w:r>
          </w:p>
        </w:tc>
        <w:tc>
          <w:tcPr>
            <w:tcW w:type="dxa" w:w="1234"/>
          </w:tcPr>
          <w:p>
            <w:r>
              <w:t>7.0</w:t>
            </w:r>
          </w:p>
        </w:tc>
      </w:tr>
    </w:tbl>
    <w:p/>
    <w:p>
      <w:r>
        <w:t>Descriptive statistics revealed that all study variables demonstrated reasonable variability across 199 participants. All variables were measured on 7-point scales. Zero-order correlations demonstrated a notably strong relationship between Attitude and Behavioral Intention (r = .76, p &lt; .001), whereas Information Source showed minimal correlation with Behavioral Intention (r = -.01, ns). Health Consciousness was moderately correlated with both Attitude (r = .53) and Behavioral Intention (r = .56), whereas Message Frame demonstrated weak correlations across most variables.</w:t>
      </w:r>
    </w:p>
    <w:p/>
    <w:p>
      <w:pPr>
        <w:jc w:val="left"/>
      </w:pPr>
      <w:r>
        <w:rPr>
          <w:b/>
          <w:sz w:val="22"/>
        </w:rPr>
        <w:t>Table 2. Zero-Order Correlations Among Study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</w:t>
            </w:r>
          </w:p>
        </w:tc>
      </w:tr>
      <w:tr>
        <w:tc>
          <w:tcPr>
            <w:tcW w:type="dxa" w:w="1080"/>
          </w:tcPr>
          <w:p>
            <w:r>
              <w:t>1. Source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0.02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  <w:tc>
          <w:tcPr>
            <w:tcW w:type="dxa" w:w="1080"/>
          </w:tcPr>
          <w:p>
            <w:r>
              <w:t>-0.36</w:t>
            </w:r>
          </w:p>
        </w:tc>
        <w:tc>
          <w:tcPr>
            <w:tcW w:type="dxa" w:w="1080"/>
          </w:tcPr>
          <w:p>
            <w:r>
              <w:t>-0.17</w:t>
            </w:r>
          </w:p>
        </w:tc>
        <w:tc>
          <w:tcPr>
            <w:tcW w:type="dxa" w:w="1080"/>
          </w:tcPr>
          <w:p>
            <w:r>
              <w:t>-0.11</w:t>
            </w:r>
          </w:p>
        </w:tc>
        <w:tc>
          <w:tcPr>
            <w:tcW w:type="dxa" w:w="1080"/>
          </w:tcPr>
          <w:p>
            <w:r>
              <w:t>-0.01</w:t>
            </w:r>
          </w:p>
        </w:tc>
      </w:tr>
      <w:tr>
        <w:tc>
          <w:tcPr>
            <w:tcW w:type="dxa" w:w="1080"/>
          </w:tcPr>
          <w:p>
            <w:r>
              <w:t>2. Frame</w:t>
            </w:r>
          </w:p>
        </w:tc>
        <w:tc>
          <w:tcPr>
            <w:tcW w:type="dxa" w:w="1080"/>
          </w:tcPr>
          <w:p>
            <w:r>
              <w:t>0.02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0.09</w:t>
            </w:r>
          </w:p>
        </w:tc>
      </w:tr>
      <w:tr>
        <w:tc>
          <w:tcPr>
            <w:tcW w:type="dxa" w:w="1080"/>
          </w:tcPr>
          <w:p>
            <w:r>
              <w:t>3. Attitude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0.76</w:t>
            </w:r>
          </w:p>
        </w:tc>
      </w:tr>
      <w:tr>
        <w:tc>
          <w:tcPr>
            <w:tcW w:type="dxa" w:w="1080"/>
          </w:tcPr>
          <w:p>
            <w:r>
              <w:t>4. Trust</w:t>
            </w:r>
          </w:p>
        </w:tc>
        <w:tc>
          <w:tcPr>
            <w:tcW w:type="dxa" w:w="1080"/>
          </w:tcPr>
          <w:p>
            <w:r>
              <w:t>-0.36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0.41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0.37</w:t>
            </w:r>
          </w:p>
        </w:tc>
      </w:tr>
      <w:tr>
        <w:tc>
          <w:tcPr>
            <w:tcW w:type="dxa" w:w="1080"/>
          </w:tcPr>
          <w:p>
            <w:r>
              <w:t>5. Self-efficacy</w:t>
            </w:r>
          </w:p>
        </w:tc>
        <w:tc>
          <w:tcPr>
            <w:tcW w:type="dxa" w:w="1080"/>
          </w:tcPr>
          <w:p>
            <w:r>
              <w:t>-0.17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0.41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</w:tr>
      <w:tr>
        <w:tc>
          <w:tcPr>
            <w:tcW w:type="dxa" w:w="1080"/>
          </w:tcPr>
          <w:p>
            <w:r>
              <w:t>6. HC</w:t>
            </w:r>
          </w:p>
        </w:tc>
        <w:tc>
          <w:tcPr>
            <w:tcW w:type="dxa" w:w="1080"/>
          </w:tcPr>
          <w:p>
            <w:r>
              <w:t>-0.11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</w:tr>
      <w:tr>
        <w:tc>
          <w:tcPr>
            <w:tcW w:type="dxa" w:w="1080"/>
          </w:tcPr>
          <w:p>
            <w:r>
              <w:t>7. Intention</w:t>
            </w:r>
          </w:p>
        </w:tc>
        <w:tc>
          <w:tcPr>
            <w:tcW w:type="dxa" w:w="1080"/>
          </w:tcPr>
          <w:p>
            <w:r>
              <w:t>-0.01</w:t>
            </w:r>
          </w:p>
        </w:tc>
        <w:tc>
          <w:tcPr>
            <w:tcW w:type="dxa" w:w="1080"/>
          </w:tcPr>
          <w:p>
            <w:r>
              <w:t>0.09</w:t>
            </w:r>
          </w:p>
        </w:tc>
        <w:tc>
          <w:tcPr>
            <w:tcW w:type="dxa" w:w="1080"/>
          </w:tcPr>
          <w:p>
            <w:r>
              <w:t>0.76</w:t>
            </w:r>
          </w:p>
        </w:tc>
        <w:tc>
          <w:tcPr>
            <w:tcW w:type="dxa" w:w="1080"/>
          </w:tcPr>
          <w:p>
            <w:r>
              <w:t>0.37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/>
    <w:p>
      <w:r>
        <w:t>Note: Variables 3-7 measured on 7-point scales. Values in bold (r &gt; .30) represent moderate to strong correlations.</w:t>
      </w:r>
    </w:p>
    <w:p/>
    <w:p>
      <w:r>
        <w:t>The structural model examining direct effects revealed that Information Source did not significantly predict Behavioral Intention (β = .02, SE = .07, p = .76), nor did Message Frame (β = .03, SE = .06, p = .67), thus failing to support Hypotheses 1 and 2. However, Attitude emerged as a dominant predictor of Behavioral Intention (β = .75, SE = .07, p &lt; .001), accounting for the majority of explained variance. Self-efficacy served as a secondary predictor (β = .13, SE = .04, p = .001), while Trust demonstrated no significant association with Behavioral Intention (β = .03, SE = .06, p = .65).</w:t>
      </w:r>
    </w:p>
    <w:p/>
    <w:p>
      <w:pPr>
        <w:jc w:val="left"/>
      </w:pPr>
      <w:r>
        <w:rPr>
          <w:b/>
          <w:sz w:val="22"/>
        </w:rPr>
        <w:t>Table 3. Direct Path Coefficients from Structural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</w:tr>
      <w:tr>
        <w:tc>
          <w:tcPr>
            <w:tcW w:type="dxa" w:w="1728"/>
          </w:tcPr>
          <w:p>
            <w:r>
              <w:t>Information Source → Attitude</w:t>
            </w:r>
          </w:p>
        </w:tc>
        <w:tc>
          <w:tcPr>
            <w:tcW w:type="dxa" w:w="1728"/>
          </w:tcPr>
          <w:p>
            <w:r>
              <w:t>0.048</w:t>
            </w:r>
          </w:p>
        </w:tc>
        <w:tc>
          <w:tcPr>
            <w:tcW w:type="dxa" w:w="1728"/>
          </w:tcPr>
          <w:p>
            <w:r>
              <w:t>0.088</w:t>
            </w:r>
          </w:p>
        </w:tc>
        <w:tc>
          <w:tcPr>
            <w:tcW w:type="dxa" w:w="1728"/>
          </w:tcPr>
          <w:p>
            <w:r>
              <w:t>0.586</w:t>
            </w:r>
          </w:p>
        </w:tc>
        <w:tc>
          <w:tcPr>
            <w:tcW w:type="dxa" w:w="1728"/>
          </w:tcPr>
          <w:p>
            <w:r>
              <w:t>[-0.13, 0.22]</w:t>
            </w:r>
          </w:p>
        </w:tc>
      </w:tr>
      <w:tr>
        <w:tc>
          <w:tcPr>
            <w:tcW w:type="dxa" w:w="1728"/>
          </w:tcPr>
          <w:p>
            <w:r>
              <w:t>Message Frame → Attitude</w:t>
            </w:r>
          </w:p>
        </w:tc>
        <w:tc>
          <w:tcPr>
            <w:tcW w:type="dxa" w:w="1728"/>
          </w:tcPr>
          <w:p>
            <w:r>
              <w:t>0.088</w:t>
            </w:r>
          </w:p>
        </w:tc>
        <w:tc>
          <w:tcPr>
            <w:tcW w:type="dxa" w:w="1728"/>
          </w:tcPr>
          <w:p>
            <w:r>
              <w:t>0.087</w:t>
            </w:r>
          </w:p>
        </w:tc>
        <w:tc>
          <w:tcPr>
            <w:tcW w:type="dxa" w:w="1728"/>
          </w:tcPr>
          <w:p>
            <w:r>
              <w:t>0.311</w:t>
            </w:r>
          </w:p>
        </w:tc>
        <w:tc>
          <w:tcPr>
            <w:tcW w:type="dxa" w:w="1728"/>
          </w:tcPr>
          <w:p>
            <w:r>
              <w:t>[-0.08, 0.26]</w:t>
            </w:r>
          </w:p>
        </w:tc>
      </w:tr>
      <w:tr>
        <w:tc>
          <w:tcPr>
            <w:tcW w:type="dxa" w:w="1728"/>
          </w:tcPr>
          <w:p>
            <w:r>
              <w:t>Information Source → Trust</w:t>
            </w:r>
          </w:p>
        </w:tc>
        <w:tc>
          <w:tcPr>
            <w:tcW w:type="dxa" w:w="1728"/>
          </w:tcPr>
          <w:p>
            <w:r>
              <w:t>-0.495</w:t>
            </w:r>
          </w:p>
        </w:tc>
        <w:tc>
          <w:tcPr>
            <w:tcW w:type="dxa" w:w="1728"/>
          </w:tcPr>
          <w:p>
            <w:r>
              <w:t>0.092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[-0.68, -0.31]</w:t>
            </w:r>
          </w:p>
        </w:tc>
      </w:tr>
      <w:tr>
        <w:tc>
          <w:tcPr>
            <w:tcW w:type="dxa" w:w="1728"/>
          </w:tcPr>
          <w:p>
            <w:r>
              <w:t>Message Frame → Trust</w:t>
            </w:r>
          </w:p>
        </w:tc>
        <w:tc>
          <w:tcPr>
            <w:tcW w:type="dxa" w:w="1728"/>
          </w:tcPr>
          <w:p>
            <w:r>
              <w:t>0.068</w:t>
            </w:r>
          </w:p>
        </w:tc>
        <w:tc>
          <w:tcPr>
            <w:tcW w:type="dxa" w:w="1728"/>
          </w:tcPr>
          <w:p>
            <w:r>
              <w:t>0.091</w:t>
            </w:r>
          </w:p>
        </w:tc>
        <w:tc>
          <w:tcPr>
            <w:tcW w:type="dxa" w:w="1728"/>
          </w:tcPr>
          <w:p>
            <w:r>
              <w:t>0.457</w:t>
            </w:r>
          </w:p>
        </w:tc>
        <w:tc>
          <w:tcPr>
            <w:tcW w:type="dxa" w:w="1728"/>
          </w:tcPr>
          <w:p>
            <w:r>
              <w:t>[-0.11, 0.24]</w:t>
            </w:r>
          </w:p>
        </w:tc>
      </w:tr>
      <w:tr>
        <w:tc>
          <w:tcPr>
            <w:tcW w:type="dxa" w:w="1728"/>
          </w:tcPr>
          <w:p>
            <w:r>
              <w:t>Information Source → Self-efficacy</w:t>
            </w:r>
          </w:p>
        </w:tc>
        <w:tc>
          <w:tcPr>
            <w:tcW w:type="dxa" w:w="1728"/>
          </w:tcPr>
          <w:p>
            <w:r>
              <w:t>-0.303</w:t>
            </w:r>
          </w:p>
        </w:tc>
        <w:tc>
          <w:tcPr>
            <w:tcW w:type="dxa" w:w="1728"/>
          </w:tcPr>
          <w:p>
            <w:r>
              <w:t>0.129</w:t>
            </w:r>
          </w:p>
        </w:tc>
        <w:tc>
          <w:tcPr>
            <w:tcW w:type="dxa" w:w="1728"/>
          </w:tcPr>
          <w:p>
            <w:r>
              <w:t>0.019</w:t>
            </w:r>
          </w:p>
        </w:tc>
        <w:tc>
          <w:tcPr>
            <w:tcW w:type="dxa" w:w="1728"/>
          </w:tcPr>
          <w:p>
            <w:r>
              <w:t>[-0.55, -0.05]</w:t>
            </w:r>
          </w:p>
        </w:tc>
      </w:tr>
      <w:tr>
        <w:tc>
          <w:tcPr>
            <w:tcW w:type="dxa" w:w="1728"/>
          </w:tcPr>
          <w:p>
            <w:r>
              <w:t>Message Frame → Self-efficacy</w:t>
            </w:r>
          </w:p>
        </w:tc>
        <w:tc>
          <w:tcPr>
            <w:tcW w:type="dxa" w:w="1728"/>
          </w:tcPr>
          <w:p>
            <w:r>
              <w:t>0.084</w:t>
            </w:r>
          </w:p>
        </w:tc>
        <w:tc>
          <w:tcPr>
            <w:tcW w:type="dxa" w:w="1728"/>
          </w:tcPr>
          <w:p>
            <w:r>
              <w:t>0.128</w:t>
            </w:r>
          </w:p>
        </w:tc>
        <w:tc>
          <w:tcPr>
            <w:tcW w:type="dxa" w:w="1728"/>
          </w:tcPr>
          <w:p>
            <w:r>
              <w:t>0.511</w:t>
            </w:r>
          </w:p>
        </w:tc>
        <w:tc>
          <w:tcPr>
            <w:tcW w:type="dxa" w:w="1728"/>
          </w:tcPr>
          <w:p>
            <w:r>
              <w:t>[-0.17, 0.34]</w:t>
            </w:r>
          </w:p>
        </w:tc>
      </w:tr>
      <w:tr>
        <w:tc>
          <w:tcPr>
            <w:tcW w:type="dxa" w:w="1728"/>
          </w:tcPr>
          <w:p>
            <w:r>
              <w:t>Attitude → Intention</w:t>
            </w:r>
          </w:p>
        </w:tc>
        <w:tc>
          <w:tcPr>
            <w:tcW w:type="dxa" w:w="1728"/>
          </w:tcPr>
          <w:p>
            <w:r>
              <w:t>0.694</w:t>
            </w:r>
          </w:p>
        </w:tc>
        <w:tc>
          <w:tcPr>
            <w:tcW w:type="dxa" w:w="1728"/>
          </w:tcPr>
          <w:p>
            <w:r>
              <w:t>0.081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[0.52, 0.83]</w:t>
            </w:r>
          </w:p>
        </w:tc>
      </w:tr>
      <w:tr>
        <w:tc>
          <w:tcPr>
            <w:tcW w:type="dxa" w:w="1728"/>
          </w:tcPr>
          <w:p>
            <w:r>
              <w:t>Trust → Intention</w:t>
            </w:r>
          </w:p>
        </w:tc>
        <w:tc>
          <w:tcPr>
            <w:tcW w:type="dxa" w:w="1728"/>
          </w:tcPr>
          <w:p>
            <w:r>
              <w:t>0.027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  <w:tc>
          <w:tcPr>
            <w:tcW w:type="dxa" w:w="1728"/>
          </w:tcPr>
          <w:p>
            <w:r>
              <w:t>0.647</w:t>
            </w:r>
          </w:p>
        </w:tc>
        <w:tc>
          <w:tcPr>
            <w:tcW w:type="dxa" w:w="1728"/>
          </w:tcPr>
          <w:p>
            <w:r>
              <w:t>[-0.08, 0.15]</w:t>
            </w:r>
          </w:p>
        </w:tc>
      </w:tr>
      <w:tr>
        <w:tc>
          <w:tcPr>
            <w:tcW w:type="dxa" w:w="1728"/>
          </w:tcPr>
          <w:p>
            <w:r>
              <w:t>Self-efficacy → Intention</w:t>
            </w:r>
          </w:p>
        </w:tc>
        <w:tc>
          <w:tcPr>
            <w:tcW w:type="dxa" w:w="1728"/>
          </w:tcPr>
          <w:p>
            <w:r>
              <w:t>0.103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  <w:tc>
          <w:tcPr>
            <w:tcW w:type="dxa" w:w="1728"/>
          </w:tcPr>
          <w:p>
            <w:r>
              <w:t>[0.03, 0.19]</w:t>
            </w:r>
          </w:p>
        </w:tc>
      </w:tr>
      <w:tr>
        <w:tc>
          <w:tcPr>
            <w:tcW w:type="dxa" w:w="1728"/>
          </w:tcPr>
          <w:p>
            <w:r>
              <w:t>Information Source → Intention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0.065</w:t>
            </w:r>
          </w:p>
        </w:tc>
        <w:tc>
          <w:tcPr>
            <w:tcW w:type="dxa" w:w="1728"/>
          </w:tcPr>
          <w:p>
            <w:r>
              <w:t>0.762</w:t>
            </w:r>
          </w:p>
        </w:tc>
        <w:tc>
          <w:tcPr>
            <w:tcW w:type="dxa" w:w="1728"/>
          </w:tcPr>
          <w:p>
            <w:r>
              <w:t>[-0.11, 0.15]</w:t>
            </w:r>
          </w:p>
        </w:tc>
      </w:tr>
      <w:tr>
        <w:tc>
          <w:tcPr>
            <w:tcW w:type="dxa" w:w="1728"/>
          </w:tcPr>
          <w:p>
            <w:r>
              <w:t>Message Frame → Intention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  <w:tc>
          <w:tcPr>
            <w:tcW w:type="dxa" w:w="1728"/>
          </w:tcPr>
          <w:p>
            <w:r>
              <w:t>0.731</w:t>
            </w:r>
          </w:p>
        </w:tc>
        <w:tc>
          <w:tcPr>
            <w:tcW w:type="dxa" w:w="1728"/>
          </w:tcPr>
          <w:p>
            <w:r>
              <w:t>[-0.10, 0.14]</w:t>
            </w:r>
          </w:p>
        </w:tc>
      </w:tr>
    </w:tbl>
    <w:p/>
    <w:p>
      <w:r>
        <w:t>Note: * p &lt; .05, ** p &lt; .01, *** p &lt; .001. β values are unstandardized coefficients.</w:t>
      </w:r>
    </w:p>
    <w:p/>
    <w:p>
      <w:r>
        <w:t>Regarding the proposed mediating mechanisms, Information Source significantly influenced Trust (β = -.50, SE = .09, p &lt; .001) and Self-efficacy (β = -.30, SE = .13, p = .02), while demonstrating minimal influence on Attitude (β = .05, SE = .09, p = .59). Despite these upstream effects, indirect pathways remained non-significant.</w:t>
      </w:r>
    </w:p>
    <w:p/>
    <w:p>
      <w:pPr>
        <w:jc w:val="left"/>
      </w:pPr>
      <w:r>
        <w:rPr>
          <w:b/>
          <w:sz w:val="22"/>
        </w:rPr>
        <w:t>Table 4. Indirect Effects and 95% Confidence Intervals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Indirect 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</w:tr>
      <w:tr>
        <w:tc>
          <w:tcPr>
            <w:tcW w:type="dxa" w:w="1728"/>
          </w:tcPr>
          <w:p>
            <w:r>
              <w:t>Source → Attitude → Intention</w:t>
            </w:r>
          </w:p>
        </w:tc>
        <w:tc>
          <w:tcPr>
            <w:tcW w:type="dxa" w:w="1728"/>
          </w:tcPr>
          <w:p>
            <w:r>
              <w:t>0.033</w:t>
            </w:r>
          </w:p>
        </w:tc>
        <w:tc>
          <w:tcPr>
            <w:tcW w:type="dxa" w:w="1728"/>
          </w:tcPr>
          <w:p>
            <w:r>
              <w:t>0.061</w:t>
            </w:r>
          </w:p>
        </w:tc>
        <w:tc>
          <w:tcPr>
            <w:tcW w:type="dxa" w:w="1728"/>
          </w:tcPr>
          <w:p>
            <w:r>
              <w:t>0.584</w:t>
            </w:r>
          </w:p>
        </w:tc>
        <w:tc>
          <w:tcPr>
            <w:tcW w:type="dxa" w:w="1728"/>
          </w:tcPr>
          <w:p>
            <w:r>
              <w:t>[-0.09, 0.15]</w:t>
            </w:r>
          </w:p>
        </w:tc>
      </w:tr>
      <w:tr>
        <w:tc>
          <w:tcPr>
            <w:tcW w:type="dxa" w:w="1728"/>
          </w:tcPr>
          <w:p>
            <w:r>
              <w:t>Frame → Attitude → Intention</w:t>
            </w:r>
          </w:p>
        </w:tc>
        <w:tc>
          <w:tcPr>
            <w:tcW w:type="dxa" w:w="1728"/>
          </w:tcPr>
          <w:p>
            <w:r>
              <w:t>0.061</w:t>
            </w:r>
          </w:p>
        </w:tc>
        <w:tc>
          <w:tcPr>
            <w:tcW w:type="dxa" w:w="1728"/>
          </w:tcPr>
          <w:p>
            <w:r>
              <w:t>0.063</w:t>
            </w:r>
          </w:p>
        </w:tc>
        <w:tc>
          <w:tcPr>
            <w:tcW w:type="dxa" w:w="1728"/>
          </w:tcPr>
          <w:p>
            <w:r>
              <w:t>0.327</w:t>
            </w:r>
          </w:p>
        </w:tc>
        <w:tc>
          <w:tcPr>
            <w:tcW w:type="dxa" w:w="1728"/>
          </w:tcPr>
          <w:p>
            <w:r>
              <w:t>[-0.05, 0.20]</w:t>
            </w:r>
          </w:p>
        </w:tc>
      </w:tr>
      <w:tr>
        <w:tc>
          <w:tcPr>
            <w:tcW w:type="dxa" w:w="1728"/>
          </w:tcPr>
          <w:p>
            <w:r>
              <w:t>Source → Trust → Intention</w:t>
            </w:r>
          </w:p>
        </w:tc>
        <w:tc>
          <w:tcPr>
            <w:tcW w:type="dxa" w:w="1728"/>
          </w:tcPr>
          <w:p>
            <w:r>
              <w:t>-0.013</w:t>
            </w:r>
          </w:p>
        </w:tc>
        <w:tc>
          <w:tcPr>
            <w:tcW w:type="dxa" w:w="1728"/>
          </w:tcPr>
          <w:p>
            <w:r>
              <w:t>0.029</w:t>
            </w:r>
          </w:p>
        </w:tc>
        <w:tc>
          <w:tcPr>
            <w:tcW w:type="dxa" w:w="1728"/>
          </w:tcPr>
          <w:p>
            <w:r>
              <w:t>0.641</w:t>
            </w:r>
          </w:p>
        </w:tc>
        <w:tc>
          <w:tcPr>
            <w:tcW w:type="dxa" w:w="1728"/>
          </w:tcPr>
          <w:p>
            <w:r>
              <w:t>[-0.07, 0.04]</w:t>
            </w:r>
          </w:p>
        </w:tc>
      </w:tr>
      <w:tr>
        <w:tc>
          <w:tcPr>
            <w:tcW w:type="dxa" w:w="1728"/>
          </w:tcPr>
          <w:p>
            <w:r>
              <w:t>Frame → Trust → Intention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0.023</w:t>
            </w:r>
          </w:p>
        </w:tc>
        <w:tc>
          <w:tcPr>
            <w:tcW w:type="dxa" w:w="1728"/>
          </w:tcPr>
          <w:p>
            <w:r>
              <w:t>0.927</w:t>
            </w:r>
          </w:p>
        </w:tc>
        <w:tc>
          <w:tcPr>
            <w:tcW w:type="dxa" w:w="1728"/>
          </w:tcPr>
          <w:p>
            <w:r>
              <w:t>[-0.04, 0.05]</w:t>
            </w:r>
          </w:p>
        </w:tc>
      </w:tr>
      <w:tr>
        <w:tc>
          <w:tcPr>
            <w:tcW w:type="dxa" w:w="1728"/>
          </w:tcPr>
          <w:p>
            <w:r>
              <w:t>Source → SE → Intention</w:t>
            </w:r>
          </w:p>
        </w:tc>
        <w:tc>
          <w:tcPr>
            <w:tcW w:type="dxa" w:w="1728"/>
          </w:tcPr>
          <w:p>
            <w:r>
              <w:t>-0.031</w:t>
            </w:r>
          </w:p>
        </w:tc>
        <w:tc>
          <w:tcPr>
            <w:tcW w:type="dxa" w:w="1728"/>
          </w:tcPr>
          <w:p>
            <w:r>
              <w:t>0.028</w:t>
            </w:r>
          </w:p>
        </w:tc>
        <w:tc>
          <w:tcPr>
            <w:tcW w:type="dxa" w:w="1728"/>
          </w:tcPr>
          <w:p>
            <w:r>
              <w:t>0.291</w:t>
            </w:r>
          </w:p>
        </w:tc>
        <w:tc>
          <w:tcPr>
            <w:tcW w:type="dxa" w:w="1728"/>
          </w:tcPr>
          <w:p>
            <w:r>
              <w:t>[-0.09, 0.02]</w:t>
            </w:r>
          </w:p>
        </w:tc>
      </w:tr>
      <w:tr>
        <w:tc>
          <w:tcPr>
            <w:tcW w:type="dxa" w:w="1728"/>
          </w:tcPr>
          <w:p>
            <w:r>
              <w:t>Frame → SE → Intention</w:t>
            </w:r>
          </w:p>
        </w:tc>
        <w:tc>
          <w:tcPr>
            <w:tcW w:type="dxa" w:w="1728"/>
          </w:tcPr>
          <w:p>
            <w:r>
              <w:t>0.009</w:t>
            </w:r>
          </w:p>
        </w:tc>
        <w:tc>
          <w:tcPr>
            <w:tcW w:type="dxa" w:w="1728"/>
          </w:tcPr>
          <w:p>
            <w:r>
              <w:t>0.014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[-0.02, 0.04]</w:t>
            </w:r>
          </w:p>
        </w:tc>
      </w:tr>
      <w:tr>
        <w:tc>
          <w:tcPr>
            <w:tcW w:type="dxa" w:w="1728"/>
          </w:tcPr>
          <w:p>
            <w:r>
              <w:t>Total Source Indirect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0.067</w:t>
            </w:r>
          </w:p>
        </w:tc>
        <w:tc>
          <w:tcPr>
            <w:tcW w:type="dxa" w:w="1728"/>
          </w:tcPr>
          <w:p>
            <w:r>
              <w:t>0.767</w:t>
            </w:r>
          </w:p>
        </w:tc>
        <w:tc>
          <w:tcPr>
            <w:tcW w:type="dxa" w:w="1728"/>
          </w:tcPr>
          <w:p>
            <w:r>
              <w:t>[-0.11, 0.15]</w:t>
            </w:r>
          </w:p>
        </w:tc>
      </w:tr>
      <w:tr>
        <w:tc>
          <w:tcPr>
            <w:tcW w:type="dxa" w:w="1728"/>
          </w:tcPr>
          <w:p>
            <w:r>
              <w:t>Total Frame Indirect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  <w:tc>
          <w:tcPr>
            <w:tcW w:type="dxa" w:w="1728"/>
          </w:tcPr>
          <w:p>
            <w:r>
              <w:t>0.069</w:t>
            </w:r>
          </w:p>
        </w:tc>
        <w:tc>
          <w:tcPr>
            <w:tcW w:type="dxa" w:w="1728"/>
          </w:tcPr>
          <w:p>
            <w:r>
              <w:t>0.312</w:t>
            </w:r>
          </w:p>
        </w:tc>
        <w:tc>
          <w:tcPr>
            <w:tcW w:type="dxa" w:w="1728"/>
          </w:tcPr>
          <w:p>
            <w:r>
              <w:t>[-0.06, 0.22]</w:t>
            </w:r>
          </w:p>
        </w:tc>
      </w:tr>
    </w:tbl>
    <w:p/>
    <w:p>
      <w:r>
        <w:t>Note: All indirect effects non-significant at p &lt; .05 level.</w:t>
      </w:r>
    </w:p>
    <w:p/>
    <w:p>
      <w:r>
        <w:t>Health Consciousness demonstrated a significant moderating effect on the total effect of Information Source on Behavioral Intention (β = -.39, SE = .14, p = .005), supporting Hypothesis 7. This moderation operated at the indirect pathway level, indicating that individuals with higher Health Consciousness exhibited substantially reduced source-dependent variation in behavioral intention.</w:t>
      </w:r>
    </w:p>
    <w:p/>
    <w:p>
      <w:pPr>
        <w:jc w:val="left"/>
      </w:pPr>
      <w:r>
        <w:rPr>
          <w:b/>
          <w:sz w:val="22"/>
        </w:rPr>
        <w:t>Table 5. Moderation Effects of Health Consciousness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</w:tr>
      <w:tr>
        <w:tc>
          <w:tcPr>
            <w:tcW w:type="dxa" w:w="1728"/>
          </w:tcPr>
          <w:p>
            <w:r>
              <w:t>Source (Direct Effect)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0.065</w:t>
            </w:r>
          </w:p>
        </w:tc>
        <w:tc>
          <w:tcPr>
            <w:tcW w:type="dxa" w:w="1728"/>
          </w:tcPr>
          <w:p>
            <w:r>
              <w:t>0.762</w:t>
            </w:r>
          </w:p>
        </w:tc>
        <w:tc>
          <w:tcPr>
            <w:tcW w:type="dxa" w:w="1728"/>
          </w:tcPr>
          <w:p>
            <w:r>
              <w:t>[-0.11, 0.15]</w:t>
            </w:r>
          </w:p>
        </w:tc>
      </w:tr>
      <w:tr>
        <w:tc>
          <w:tcPr>
            <w:tcW w:type="dxa" w:w="1728"/>
          </w:tcPr>
          <w:p>
            <w:r>
              <w:t>Source × HC (Direct Model)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0.114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  <w:tc>
          <w:tcPr>
            <w:tcW w:type="dxa" w:w="1728"/>
          </w:tcPr>
          <w:p>
            <w:r>
              <w:t>[-0.22, 0.21]</w:t>
            </w:r>
          </w:p>
        </w:tc>
      </w:tr>
      <w:tr>
        <w:tc>
          <w:tcPr>
            <w:tcW w:type="dxa" w:w="1728"/>
          </w:tcPr>
          <w:p>
            <w:r>
              <w:t>Source × HC (Total Effect)</w:t>
            </w:r>
          </w:p>
        </w:tc>
        <w:tc>
          <w:tcPr>
            <w:tcW w:type="dxa" w:w="1728"/>
          </w:tcPr>
          <w:p>
            <w:r>
              <w:t>-0.392</w:t>
            </w:r>
          </w:p>
        </w:tc>
        <w:tc>
          <w:tcPr>
            <w:tcW w:type="dxa" w:w="1728"/>
          </w:tcPr>
          <w:p>
            <w:r>
              <w:t>0.137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[-0.66, -0.13]</w:t>
            </w:r>
          </w:p>
        </w:tc>
      </w:tr>
      <w:tr>
        <w:tc>
          <w:tcPr>
            <w:tcW w:type="dxa" w:w="1728"/>
          </w:tcPr>
          <w:p>
            <w:r>
              <w:t>Source Main Effect (Total)</w:t>
            </w:r>
          </w:p>
        </w:tc>
        <w:tc>
          <w:tcPr>
            <w:tcW w:type="dxa" w:w="1728"/>
          </w:tcPr>
          <w:p>
            <w:r>
              <w:t>0.069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0.387</w:t>
            </w:r>
          </w:p>
        </w:tc>
        <w:tc>
          <w:tcPr>
            <w:tcW w:type="dxa" w:w="1728"/>
          </w:tcPr>
          <w:p>
            <w:r>
              <w:t>[-0.09, 0.23]</w:t>
            </w:r>
          </w:p>
        </w:tc>
      </w:tr>
      <w:tr>
        <w:tc>
          <w:tcPr>
            <w:tcW w:type="dxa" w:w="1728"/>
          </w:tcPr>
          <w:p>
            <w:r>
              <w:t>HC Main Effect (Total)</w:t>
            </w:r>
          </w:p>
        </w:tc>
        <w:tc>
          <w:tcPr>
            <w:tcW w:type="dxa" w:w="1728"/>
          </w:tcPr>
          <w:p>
            <w:r>
              <w:t>0.853</w:t>
            </w:r>
          </w:p>
        </w:tc>
        <w:tc>
          <w:tcPr>
            <w:tcW w:type="dxa" w:w="1728"/>
          </w:tcPr>
          <w:p>
            <w:r>
              <w:t>0.097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[0.66, 1.04]</w:t>
            </w:r>
          </w:p>
        </w:tc>
      </w:tr>
    </w:tbl>
    <w:p/>
    <w:p/>
    <w:p>
      <w:r>
        <w:t>The structural model accounted for 56.7% of the variance in Behavioral Intention (R² = .57), representing substantial explanatory power for the outcome variable. Model fit indices suggested areas for structural refinement (χ² = 80.89, df = 3, CFI = 0.74, RMSEA = 0.36), though the measurement model demonstrated excellent fit, indicating that the constructs themselves were well-measured but their hypothesized causal interrelationships required reconsideration.</w:t>
      </w:r>
    </w:p>
    <w:p/>
    <w:p>
      <w:pPr>
        <w:jc w:val="left"/>
      </w:pPr>
      <w:r>
        <w:rPr>
          <w:b/>
          <w:sz w:val="22"/>
        </w:rPr>
        <w:t>Table 6. Summary of Hypothesis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Source → Intention (Direct)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0.762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Frame → Intention (Direct)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0.731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Source → Attitude → Intention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0.584</w:t>
            </w:r>
          </w:p>
        </w:tc>
      </w:tr>
      <w:tr>
        <w:tc>
          <w:tcPr>
            <w:tcW w:type="dxa" w:w="2160"/>
          </w:tcPr>
          <w:p>
            <w:r>
              <w:t>H4</w:t>
            </w:r>
          </w:p>
        </w:tc>
        <w:tc>
          <w:tcPr>
            <w:tcW w:type="dxa" w:w="2160"/>
          </w:tcPr>
          <w:p>
            <w:r>
              <w:t>Frame → Attitude → Intention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0.327</w:t>
            </w:r>
          </w:p>
        </w:tc>
      </w:tr>
      <w:tr>
        <w:tc>
          <w:tcPr>
            <w:tcW w:type="dxa" w:w="2160"/>
          </w:tcPr>
          <w:p>
            <w:r>
              <w:t>H5</w:t>
            </w:r>
          </w:p>
        </w:tc>
        <w:tc>
          <w:tcPr>
            <w:tcW w:type="dxa" w:w="2160"/>
          </w:tcPr>
          <w:p>
            <w:r>
              <w:t>Source → Trust → Intention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0.641</w:t>
            </w:r>
          </w:p>
        </w:tc>
      </w:tr>
      <w:tr>
        <w:tc>
          <w:tcPr>
            <w:tcW w:type="dxa" w:w="2160"/>
          </w:tcPr>
          <w:p>
            <w:r>
              <w:t>H6</w:t>
            </w:r>
          </w:p>
        </w:tc>
        <w:tc>
          <w:tcPr>
            <w:tcW w:type="dxa" w:w="2160"/>
          </w:tcPr>
          <w:p>
            <w:r>
              <w:t>Frame → SE → Intention</w:t>
            </w:r>
          </w:p>
        </w:tc>
        <w:tc>
          <w:tcPr>
            <w:tcW w:type="dxa" w:w="2160"/>
          </w:tcPr>
          <w:p>
            <w:r>
              <w:t>Not Supported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</w:tr>
      <w:tr>
        <w:tc>
          <w:tcPr>
            <w:tcW w:type="dxa" w:w="2160"/>
          </w:tcPr>
          <w:p>
            <w:r>
              <w:t>H7</w:t>
            </w:r>
          </w:p>
        </w:tc>
        <w:tc>
          <w:tcPr>
            <w:tcW w:type="dxa" w:w="2160"/>
          </w:tcPr>
          <w:p>
            <w:r>
              <w:t>HC Moderates Source Effect</w:t>
            </w:r>
          </w:p>
        </w:tc>
        <w:tc>
          <w:tcPr>
            <w:tcW w:type="dxa" w:w="2160"/>
          </w:tcPr>
          <w:p>
            <w:r>
              <w:t>Supported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