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5060"/>
        <w:gridCol w:w="5060"/>
      </w:tblGrid>
      <w:tr>
        <w:trPr>
          <w:trHeight w:hRule="exact" w:val="144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8519" cy="857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19" cy="857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96" w:val="left"/>
                <w:tab w:pos="1768" w:val="left"/>
              </w:tabs>
              <w:autoSpaceDE w:val="0"/>
              <w:widowControl/>
              <w:spacing w:line="202" w:lineRule="exact" w:before="340" w:after="0"/>
              <w:ind w:left="878" w:right="12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3366"/>
                <w:sz w:val="24"/>
              </w:rPr>
              <w:t xml:space="preserve">UNDER SECRETARY OF DEFENSE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8"/>
              </w:rPr>
              <w:t xml:space="preserve"> 5000 DEFENSE PENTAGON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8"/>
              </w:rPr>
              <w:t xml:space="preserve"> WASHINGTON, D.C. 20301-5000 </w:t>
            </w:r>
          </w:p>
        </w:tc>
      </w:tr>
    </w:tbl>
    <w:p>
      <w:pPr>
        <w:autoSpaceDN w:val="0"/>
        <w:autoSpaceDE w:val="0"/>
        <w:widowControl/>
        <w:spacing w:line="190" w:lineRule="exact" w:before="80" w:after="0"/>
        <w:ind w:left="408" w:right="0" w:firstLine="0"/>
        <w:jc w:val="left"/>
      </w:pPr>
      <w:r>
        <w:rPr>
          <w:rFonts w:ascii="Arial" w:hAnsi="Arial" w:eastAsia="Arial"/>
          <w:b/>
          <w:i w:val="0"/>
          <w:color w:val="003366"/>
          <w:sz w:val="14"/>
        </w:rPr>
        <w:t xml:space="preserve"> INTE</w:t>
      </w:r>
      <w:r>
        <w:rPr>
          <w:rFonts w:ascii="Arial" w:hAnsi="Arial" w:eastAsia="Arial"/>
          <w:b/>
          <w:i w:val="0"/>
          <w:color w:val="003366"/>
          <w:sz w:val="14"/>
        </w:rPr>
        <w:t xml:space="preserve">LLIGENCE </w:t>
      </w:r>
    </w:p>
    <w:p>
      <w:pPr>
        <w:autoSpaceDN w:val="0"/>
        <w:autoSpaceDE w:val="0"/>
        <w:widowControl/>
        <w:spacing w:line="298" w:lineRule="exact" w:before="404" w:after="0"/>
        <w:ind w:left="5784" w:right="0" w:firstLine="23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February 11, 2015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Incorporating Change 6, March 19, 2020 </w:t>
      </w:r>
    </w:p>
    <w:p>
      <w:pPr>
        <w:autoSpaceDN w:val="0"/>
        <w:tabs>
          <w:tab w:pos="3110" w:val="left"/>
          <w:tab w:pos="3470" w:val="left"/>
        </w:tabs>
        <w:autoSpaceDE w:val="0"/>
        <w:widowControl/>
        <w:spacing w:line="276" w:lineRule="exact" w:before="300" w:after="172"/>
        <w:ind w:left="67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MEMORANDUM FOR SECRETARIES OF THE MILITARY DEPARTMENTS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OF THE JOINT CHIEFS OF STAFF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SECRETARIES OF 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DEPUTY CHIEF MANAGEMENT OFFICER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COST ASSESSMENT AND PROGRAM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OPERATIONAL TEST AND EVALUATION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COUNSEL OF THE DEPARTMENT OF DEFENSE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GENERAL OF THE DEPARTMENT OF DEFENSE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SECRETARIES OF 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CHIEF INFORMATION OFFICER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ASSISTANTS TO THE SECRETARY OF 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NET ASSESSMENT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DEFENSE AGENCIES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THE DoD FIELD ACTIVITIES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5.99999999999994" w:type="dxa"/>
      </w:tblPr>
      <w:tblGrid>
        <w:gridCol w:w="5060"/>
        <w:gridCol w:w="5060"/>
      </w:tblGrid>
      <w:tr>
        <w:trPr>
          <w:trHeight w:hRule="exact" w:val="99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</w:t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Directive-type Memorandum (DTM) 15-002, “Policy Guidance for the Processing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National Interest Determinations (NIDs) in Connection with Foreign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Ownership, Control, or Influence (FOCI)” </w:t>
            </w:r>
          </w:p>
        </w:tc>
      </w:tr>
    </w:tbl>
    <w:p>
      <w:pPr>
        <w:autoSpaceDN w:val="0"/>
        <w:autoSpaceDE w:val="0"/>
        <w:widowControl/>
        <w:spacing w:line="320" w:lineRule="exact" w:before="172" w:after="0"/>
        <w:ind w:left="6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Attachment 1 </w:t>
      </w:r>
    </w:p>
    <w:p>
      <w:pPr>
        <w:autoSpaceDN w:val="0"/>
        <w:tabs>
          <w:tab w:pos="1396" w:val="left"/>
        </w:tabs>
        <w:autoSpaceDE w:val="0"/>
        <w:widowControl/>
        <w:spacing w:line="276" w:lineRule="exact" w:before="298" w:after="0"/>
        <w:ind w:left="67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the authority in DoD Directive 5143.01 (Reference (a)),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DT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M: </w:t>
      </w:r>
    </w:p>
    <w:p>
      <w:pPr>
        <w:autoSpaceDN w:val="0"/>
        <w:autoSpaceDE w:val="0"/>
        <w:widowControl/>
        <w:spacing w:line="276" w:lineRule="exact" w:before="292" w:after="0"/>
        <w:ind w:left="2476" w:right="50" w:hanging="360"/>
        <w:jc w:val="both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Establishes policy, assigns responsibilities, and provides additional direction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clarifies existing policy on NIDs contained in Volume 3 of DoD Manual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5220.22 (Reference (b)) and DoD Instruction (DoDI) 5220.22 (Reference (c)). </w:t>
      </w:r>
    </w:p>
    <w:p>
      <w:pPr>
        <w:autoSpaceDN w:val="0"/>
        <w:autoSpaceDE w:val="0"/>
        <w:widowControl/>
        <w:spacing w:line="278" w:lineRule="exact" w:before="292" w:after="0"/>
        <w:ind w:left="2476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DTM is effective February 11, 2015; it will be cancelled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incorporated into Reference (b).  This DTM will expire effective February 11,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2021. </w:t>
      </w:r>
    </w:p>
    <w:p>
      <w:pPr>
        <w:autoSpaceDN w:val="0"/>
        <w:autoSpaceDE w:val="0"/>
        <w:widowControl/>
        <w:spacing w:line="346" w:lineRule="exact" w:before="252" w:after="0"/>
        <w:ind w:left="13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DTM applies to: </w:t>
      </w:r>
    </w:p>
    <w:p>
      <w:pPr>
        <w:autoSpaceDN w:val="0"/>
        <w:autoSpaceDE w:val="0"/>
        <w:widowControl/>
        <w:spacing w:line="276" w:lineRule="exact" w:before="292" w:after="0"/>
        <w:ind w:left="2476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OSD, the Military Departments, the Office of the Chairman of the Joint Chiefs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Staff and the Joint Staff, the Combatant Commands,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General of the Department of Defense, the Defense Agencies,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Field Activities, and all other organizational entities within the </w:t>
      </w:r>
    </w:p>
    <w:p>
      <w:pPr>
        <w:sectPr>
          <w:pgSz w:w="12240" w:h="15840"/>
          <w:pgMar w:top="340" w:right="1356" w:bottom="612" w:left="764" w:header="720" w:footer="720" w:gutter="0"/>
          <w:cols w:space="720" w:num="1" w:equalWidth="0"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276" w:lineRule="exact" w:before="446" w:after="0"/>
        <w:ind w:left="18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Defense (referred to collectively in this DTM as the “DoD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Components”). </w:t>
      </w:r>
    </w:p>
    <w:p>
      <w:pPr>
        <w:autoSpaceDN w:val="0"/>
        <w:autoSpaceDE w:val="0"/>
        <w:widowControl/>
        <w:spacing w:line="276" w:lineRule="exact" w:before="292" w:after="0"/>
        <w:ind w:left="1800" w:right="72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DTM does not levy requirements on companies.  Contractors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companies in process for facility security clearance are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DoD 5220.22-M (Reference (d)) and other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their contracts. </w:t>
      </w:r>
    </w:p>
    <w:p>
      <w:pPr>
        <w:autoSpaceDN w:val="0"/>
        <w:autoSpaceDE w:val="0"/>
        <w:widowControl/>
        <w:spacing w:line="276" w:lineRule="exact" w:before="294" w:after="0"/>
        <w:ind w:left="1800" w:right="432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the term “Government Contracting Activity (GCA)” is used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DTM, it will refer to contracting activities of the DoD Components,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Reference (d). </w:t>
      </w:r>
    </w:p>
    <w:p>
      <w:pPr>
        <w:autoSpaceDN w:val="0"/>
        <w:autoSpaceDE w:val="0"/>
        <w:widowControl/>
        <w:spacing w:line="276" w:lineRule="exact" w:before="292" w:after="0"/>
        <w:ind w:left="1800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Nothing contained in this DTM will affect the authority of a GCA to limit,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deny, or revoke access to classified information under its statutory, regulatory,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contractual jurisdiction.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It is DoD policy that DoD FOCI procedures will be used to protect against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foreign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intere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sts: </w:t>
      </w:r>
    </w:p>
    <w:p>
      <w:pPr>
        <w:autoSpaceDN w:val="0"/>
        <w:autoSpaceDE w:val="0"/>
        <w:widowControl/>
        <w:spacing w:line="276" w:lineRule="exact" w:before="294" w:after="0"/>
        <w:ind w:left="1800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Gaining unauthorized access to classified, export-controlled, or 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 security (COMSEC) (classified or unclassified) informa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Executive Order 12829 (Reference (e)) and DoDI 852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3.01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(Reference (f)).  DoD FOCI procedures for access to unclassified COMS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located in National Security Agency/Central Security Service Policy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Manual 3-16 (Reference (g)). </w:t>
      </w:r>
    </w:p>
    <w:p>
      <w:pPr>
        <w:autoSpaceDN w:val="0"/>
        <w:tabs>
          <w:tab w:pos="1800" w:val="left"/>
          <w:tab w:pos="8816" w:val="left"/>
        </w:tabs>
        <w:autoSpaceDE w:val="0"/>
        <w:widowControl/>
        <w:spacing w:line="278" w:lineRule="exact" w:before="290" w:after="0"/>
        <w:ind w:left="1440" w:right="432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Adversely affecting the performance of classified contracts, in accordanc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Reference (e). </w:t>
      </w:r>
    </w:p>
    <w:p>
      <w:pPr>
        <w:autoSpaceDN w:val="0"/>
        <w:tabs>
          <w:tab w:pos="1800" w:val="left"/>
        </w:tabs>
        <w:autoSpaceDE w:val="0"/>
        <w:widowControl/>
        <w:spacing w:line="276" w:lineRule="exact" w:before="294" w:after="0"/>
        <w:ind w:left="1440" w:right="1008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Undermining U.S. security and export controls, in accordance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(e). </w:t>
      </w:r>
    </w:p>
    <w:p>
      <w:pPr>
        <w:autoSpaceDN w:val="0"/>
        <w:autoSpaceDE w:val="0"/>
        <w:widowControl/>
        <w:spacing w:line="322" w:lineRule="exact" w:before="230" w:after="21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714"/>
        <w:gridCol w:w="4714"/>
      </w:tblGrid>
      <w:tr>
        <w:trPr>
          <w:trHeight w:hRule="exact" w:val="992"/>
        </w:trPr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080" w:right="0" w:hanging="36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Under Secretary of Defense for Intelligence (USD(I))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The USD(I) overs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policy and management of the National Industrial Sec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urity Program,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include FOCI matters and the issuance of NIDs.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ees </w:t>
            </w:r>
          </w:p>
        </w:tc>
      </w:tr>
    </w:tbl>
    <w:p>
      <w:pPr>
        <w:autoSpaceDN w:val="0"/>
        <w:autoSpaceDE w:val="0"/>
        <w:widowControl/>
        <w:spacing w:line="276" w:lineRule="exact" w:before="232" w:after="0"/>
        <w:ind w:left="1800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Defense Security Service (DSS)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control of the USD(I), the Director, DSS,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proposes NIDs on behalf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GCA if the U.S. contractor will require access to proscribed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special security agreement (SSA). </w:t>
      </w:r>
    </w:p>
    <w:p>
      <w:pPr>
        <w:autoSpaceDN w:val="0"/>
        <w:autoSpaceDE w:val="0"/>
        <w:widowControl/>
        <w:spacing w:line="276" w:lineRule="exact" w:before="294" w:after="0"/>
        <w:ind w:left="1800" w:right="432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Component Heads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DoD Component heads comply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References (b), (c),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provisions of this DTM with regard to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to NIDS and FOCI.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4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6, 03/19/2020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56" w:right="1372" w:bottom="356" w:left="1440" w:header="720" w:footer="720" w:gutter="0"/>
          <w:cols w:space="720" w:num="1" w:equalWidth="0"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6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320" w:lineRule="exact" w:before="40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See Attachment 2.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304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C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leared for public release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DTM is available on the 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Divisio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n Website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http://www.esd.whs.mil/DD/.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changes to this issuance amend the expiration date to allow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cellation and incorpo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ration of this DTM into Reference (b). </w:t>
      </w:r>
    </w:p>
    <w:p>
      <w:pPr>
        <w:autoSpaceDN w:val="0"/>
        <w:autoSpaceDE w:val="0"/>
        <w:widowControl/>
        <w:spacing w:line="240" w:lineRule="auto" w:before="126" w:after="0"/>
        <w:ind w:left="0" w:right="8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91130" cy="6045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604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302" w:after="0"/>
        <w:ind w:left="468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Michael G. Vickers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Intelligence </w:t>
      </w:r>
    </w:p>
    <w:p>
      <w:pPr>
        <w:autoSpaceDN w:val="0"/>
        <w:autoSpaceDE w:val="0"/>
        <w:widowControl/>
        <w:spacing w:line="276" w:lineRule="exact" w:before="298" w:after="0"/>
        <w:ind w:left="0" w:right="80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stated </w:t>
      </w:r>
    </w:p>
    <w:p>
      <w:pPr>
        <w:autoSpaceDN w:val="0"/>
        <w:tabs>
          <w:tab w:pos="4620" w:val="left"/>
        </w:tabs>
        <w:autoSpaceDE w:val="0"/>
        <w:widowControl/>
        <w:spacing w:line="320" w:lineRule="exact" w:before="86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6, 03/19/2020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356" w:right="1376" w:bottom="356" w:left="1440" w:header="720" w:footer="720" w:gutter="0"/>
          <w:cols w:space="720" w:num="1" w:equalWidth="0"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518" w:val="left"/>
          <w:tab w:pos="540" w:val="left"/>
        </w:tabs>
        <w:autoSpaceDE w:val="0"/>
        <w:widowControl/>
        <w:spacing w:line="276" w:lineRule="exact" w:before="55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DoD Directive 5143.01, “Under Secretary of Defense for Intelligence (USD(I)),”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October 24, 2014,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DoD Manual 5220.22, Volume 3, “National Industrial Security Program:  Procedures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Activities Relating to Foreign Ownership, Control, or Influence (FOCI),”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April 17, 2014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DoD Instruction 5220.22, “National Industrial Security Program (NISP),” March 18, 2011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DoD 5220.22-M, “National Industrial Security Program Operating Manual,” February 28,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2006,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Executive Order 12829, “National Industrial Security Program,” January 6, 1993,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8523.01, “Communications Security (COMSEC),” April 22, 2008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(g) National Security Agency/Central Security Service Policy Manual 3-16, “Control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Communications Security (COMSEC) Material,” August 5, 2005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(h) DoD Instruction 5205.11, “Management, Administration, and Oversight of DoD Special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 Programs (SAPs),” February 6, 2013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2004 of Title 32, Code of Federal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(j)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Parts 120-130 of Title 22, Code of Federal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(k) Parts 730-774 of Title 15, Code of Federal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Section 2536 of Title 10, United States Code </w:t>
      </w:r>
    </w:p>
    <w:p>
      <w:pPr>
        <w:autoSpaceDN w:val="0"/>
        <w:tabs>
          <w:tab w:pos="4620" w:val="left"/>
          <w:tab w:pos="8060" w:val="left"/>
        </w:tabs>
        <w:autoSpaceDE w:val="0"/>
        <w:widowControl/>
        <w:spacing w:line="320" w:lineRule="exact" w:before="67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6, 03/19/2020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346" w:lineRule="exact" w:before="4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ATTACHMENT 2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346" w:lineRule="exact" w:before="2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  <w:u w:val="single"/>
        </w:rPr>
        <w:t>NID 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76" w:lineRule="exact" w:before="59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GENERAL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attachment provides guidance for and establishes procedures concerning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NIDs. </w:t>
      </w:r>
    </w:p>
    <w:p>
      <w:pPr>
        <w:autoSpaceDN w:val="0"/>
        <w:autoSpaceDE w:val="0"/>
        <w:widowControl/>
        <w:spacing w:line="322" w:lineRule="exact" w:before="50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10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Part 2004 of Title 32, Code of Federal Regulations (CFR), also known as the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Industrial Security Program Directive No. 1 (Reference (i)), includes requirements for a NID. 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NID does not: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(1)  Authorize disclosure of classified information to a foreign government, a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U.S. citizen, or a non-U.S. entity.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Authorize exports of any type, to include deemed exports, of items controlled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various U.S. export regulations, including parts 120-130 of Title 22, CFR, also known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“International Traffic in Arms Regulations” (Reference (j)) and parts 730-774 of Title 15,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CFR, also known as the “Export Administration Regulations” (Reference (k)).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If a GCA requires a contractor cleared under an SSA to have access to proscribed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information, DSS will take actions to propose an initial NID to the applicable GCA for response,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the provisions of this DTM, instead of the actions set forth in paragraphs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3d(3)(c) and 3e of Enclosure 3 of Reference (b).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When a GCA requires a company to have access to proscribed information, the GCA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notify DSS.  DSS will propose NIDs on behalf of GCAs.  Coordination of a proposed NID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DSS and a GCA must confirm that release of the proscribed information to the U.S.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 is consistent with the national security interests of the United States. </w:t>
      </w:r>
    </w:p>
    <w:p>
      <w:pPr>
        <w:autoSpaceDN w:val="0"/>
        <w:autoSpaceDE w:val="0"/>
        <w:widowControl/>
        <w:spacing w:line="322" w:lineRule="exact" w:before="23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requirement for NIDs proposed by DSS applies to: </w:t>
      </w:r>
    </w:p>
    <w:p>
      <w:pPr>
        <w:autoSpaceDN w:val="0"/>
        <w:autoSpaceDE w:val="0"/>
        <w:widowControl/>
        <w:spacing w:line="322" w:lineRule="exact" w:before="23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Pre-contract activities if access to proscribed information is required.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21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New contracts to be issued to a contractor already cleared under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 or when a company is in process for an FCL and DSS has determined FOCI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mitigated by an SSA. </w:t>
      </w:r>
    </w:p>
    <w:p>
      <w:pPr>
        <w:autoSpaceDN w:val="0"/>
        <w:tabs>
          <w:tab w:pos="2160" w:val="left"/>
        </w:tabs>
        <w:autoSpaceDE w:val="0"/>
        <w:widowControl/>
        <w:spacing w:line="272" w:lineRule="exact" w:before="280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 Existing contracts when contractors are acquired by foreign interests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an SSA is the proposed mitigation. </w:t>
      </w:r>
    </w:p>
    <w:p>
      <w:pPr>
        <w:autoSpaceDN w:val="0"/>
        <w:autoSpaceDE w:val="0"/>
        <w:widowControl/>
        <w:spacing w:line="320" w:lineRule="exact" w:before="232" w:after="76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requirement for NIDS proposed by DSS does not apply if: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6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44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DSS is relieved of NISP CSA responsibility as defined in DoDI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5205.11 (Reference (h)).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21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DSS does not have security oversight responsibility for certain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classified information (e.g, Sensitive Compartmented Information (SCI)).  DoD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heads will provide DSS with information on any such approved NIDS in a timely manner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 oversight of the contractor’s overall security program and FOCI mitigation as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(b).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When a GCA requires a contractor to have access to proscribed information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of the conditions set forth in paragraph 2c(1) of this attachment, the GCA will immediately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notify DSS.  DSS will take the following actions to propose a NID to the applicable GCA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the procedures in this DTM.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Coordinate with the point of contact designated by the GCA and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GCA program office to confirm that there is a valid requirement for access to proscribed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information.  If the GCA does not validate the requirement, DSS will request the GCA to revise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DD 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orm 254, “Contract Security Classification Specification, Department 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 Defense,”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located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http://www.dtic.mil/whs/directives/infomgt/forms/formsprogram.htm,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ion guidance to remove the requirement for access to proscribed infor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mation.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Coordinate with the applicable GCA program office regarding details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validated access requirement.  Relevant details of this validated requirement will be included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DSS evaluation process before a NID is proposed.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Coordinate with the GCA and the responsible U.S. Government (USG)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agency when the validated requirement includes access to COMSEC, SCI, or Restricted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(RD) to assure that DSS includes any needed information in the proposed NID. 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proscribed information under the classification or jurisdiction of a USG agency other than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GCA will not be granted without the concurrence of the responsible USG control agency.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Send the formal proposed NID to the GCA designated point of contact. 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long as the proposed NID does not require access to COMSEC, SCI, or RD, it will become final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 days after DSS notifies the GCA, unless the affected GCA does not concur. 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GCA must notify DSS no later than 5 days before the end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30-day period if the GCA requires more time to review the proposed NID. 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GCA non-concurs with the proposed NID, the affected GCA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provide written rationale for the non-concurrence at or before the end of that 30-day period. </w:t>
      </w: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written rationale should be from the DoD Component senior official (e.g., Senior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Acquisition Executive or Component equivalent) designated the responsibility and authority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make NIDs for the Component.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604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Request the responsible USG control agency to provide a written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30 days if access to COMSEC, SCI, or RD is involved, after receiving confirmation from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6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276" w:lineRule="exact" w:before="446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affected GCA of the requirement for such access.  Include any additional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 for the NID (e.g., a list of all required COMSEC equipment) by the USG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agency. 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276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The proposed NID will not be final without concurrence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 USG control agency. </w:t>
      </w:r>
    </w:p>
    <w:p>
      <w:pPr>
        <w:autoSpaceDN w:val="0"/>
        <w:autoSpaceDE w:val="0"/>
        <w:widowControl/>
        <w:spacing w:line="276" w:lineRule="exact" w:before="276" w:after="0"/>
        <w:ind w:left="0" w:right="582" w:firstLine="21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If the responsible USG control agency does not concur, DSS,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affected GCA, and the USG control agency will determine if any alternatives to an SSA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warranted.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If DSS or the GCA determines a NID is not warranted, they will coordinate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efforts to address acceptability of the proposed SSA or whether there are alternatives to mitigate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FOCI.  DSS and the GCA must consider the FOCI factors in Reference (b) when contemplating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NID.  When denying a NID, retain documentation explaining the rationale for the decision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Reference (b).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While NIDs are made on a case-by-case, program, or project-specific basis, DSS,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affected GCA, and USG control agency (if applicable) may also consider NIDs that are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program, project, or contract specific.  If approved, such a NID will remain in effect until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renewal of the applicable SSA, provided there continues to be a legitimate requirement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 to proscribed information.  For program and project NIDs, a separate NID is not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each contract.  The GCA will provide DSS with a list of all contracts affected by the NID.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DSS, instead of the GCA, will also forward a copy of any such non-program or non-project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NID to the OUSD(I) Security Policy and Oversight Division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subparagraph 2e(2)(d)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3a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Enclosure 3 to Reference (b).  The criteria for consideration of a NID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is not program, pr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oj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ect, or contract specific are: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Contractor compliance with the provisions of an SSA for a minimum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consecutive years. </w:t>
      </w:r>
    </w:p>
    <w:p>
      <w:pPr>
        <w:autoSpaceDN w:val="0"/>
        <w:autoSpaceDE w:val="0"/>
        <w:widowControl/>
        <w:spacing w:line="276" w:lineRule="exact" w:before="276" w:after="0"/>
        <w:ind w:left="0" w:right="92" w:firstLine="1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Contractor compliance with the provisions of Reference (j) for a minimum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consecutive years and the contractor continues to meet the requirements and mitigation set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SSA.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Analysis of relevant threat and risk assessments.  If threat or risk assessments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 not exist, then one must be prepared by DSS.  DSS will coordinate with the applicable GCA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USG controlling agency for input, as appropriate.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Results of the annual DSS security reviews for the past 5 years reflecting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least satisfactory security ratings.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A current assessment by DSS of the FOCI factors that apply to the contractor.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604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 A NID remains in effect for the period of time determined in writing by DSS,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with the GCA and the responsible USG Control Agency (if applicable).  Renewal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6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276" w:lineRule="exact" w:before="4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an SSA does not require generation of a new NID provided the requirement for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proscribed information (e.g., contract or agreement) remains in effect.  When a NID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program, project, or contract specific, DSS, the affected GCA and USG control agency (if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applicable) will determine how long such a NID will be in effect or will require renewal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to approve such a NID. </w:t>
      </w:r>
    </w:p>
    <w:p>
      <w:pPr>
        <w:autoSpaceDN w:val="0"/>
        <w:autoSpaceDE w:val="0"/>
        <w:widowControl/>
        <w:spacing w:line="276" w:lineRule="exact" w:before="276" w:after="1054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 In accordance with section 2536 of Title 10, United States Code (Reference (l)),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cannot award contracts involving access to proscribed information to a company effectively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owned or controlled by a foreign government unless a waiver has been issued by the Secretary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or designee as specified in Reference (b).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6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Attachment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5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COMSEC communications security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Code of Federal Regulations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CSA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cognizant security authority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Security Service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Directive-type Memorandum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FOCI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foreign ownership, control, or influence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GCA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Contracting Activity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Interest Determination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OUSD(I)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of the Under Secretary of Defense for Intelligence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Restricted Data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SAPCO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Access Program Central Office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Sensitive Compartmented Information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security agreement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USD(I)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Secretary of Defense for Intelligence </w:t>
      </w:r>
    </w:p>
    <w:p>
      <w:pPr>
        <w:autoSpaceDN w:val="0"/>
        <w:tabs>
          <w:tab w:pos="1216" w:val="left"/>
        </w:tabs>
        <w:autoSpaceDE w:val="0"/>
        <w:widowControl/>
        <w:spacing w:line="32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U.S. Government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noted, these terms and their definitions are for the purposes of this DTM.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company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(d).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contractor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(d). </w:t>
      </w:r>
    </w:p>
    <w:p>
      <w:pPr>
        <w:autoSpaceDN w:val="0"/>
        <w:autoSpaceDE w:val="0"/>
        <w:widowControl/>
        <w:spacing w:line="320" w:lineRule="exact" w:before="232" w:after="60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Defined in Reference (i).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8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24" w:space="0"/>
            <w:col w:w="9428" w:space="0"/>
            <w:col w:w="10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DTM-15-002, February 11, 2015</w:t>
      </w:r>
    </w:p>
    <w:p>
      <w:pPr>
        <w:autoSpaceDN w:val="0"/>
        <w:autoSpaceDE w:val="0"/>
        <w:widowControl/>
        <w:spacing w:line="276" w:lineRule="exact" w:before="72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proscribed information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Top Secret information, COMSEC information excluding controlled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cryptographic items wh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unkeyed and utilized with unclassified keys, RD, Special Access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information, or SCI. </w:t>
      </w:r>
    </w:p>
    <w:p>
      <w:pPr>
        <w:autoSpaceDN w:val="0"/>
        <w:autoSpaceDE w:val="0"/>
        <w:widowControl/>
        <w:spacing w:line="276" w:lineRule="exact" w:before="276" w:after="1081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USG control agency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agency that approves access to certain proscribed information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contractors who req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uire a national interest determination because they are cleared through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SSA.  For COMSEC, this is the National Security Agency/Central Security Service; for SCI,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of the Director of National Intelligence; and for RD, the Department of Energy.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6, 03/19/2020 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8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56" w:right="1360" w:bottom="356" w:left="1440" w:header="720" w:footer="720" w:gutter="0"/>
      <w:cols w:space="720" w:num="1" w:equalWidth="0"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24" w:space="0"/>
        <w:col w:w="9428" w:space="0"/>
        <w:col w:w="101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dtic.mil/whs/directives/infomgt/forms/formsprogr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