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53"/>
        <w:gridCol w:w="5153"/>
      </w:tblGrid>
      <w:tr>
        <w:trPr>
          <w:trHeight w:hRule="exact" w:val="1606"/>
        </w:trPr>
        <w:tc>
          <w:tcPr>
            <w:tcW w:type="dxa" w:w="1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62660" cy="9817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660" cy="9817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0" w:after="0"/>
              <w:ind w:left="432" w:right="86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3366"/>
                <w:sz w:val="24"/>
              </w:rPr>
              <w:t xml:space="preserve">OFFICE OF THE DEPUTY SECRETARY OF DEFENSE </w:t>
            </w:r>
            <w:r>
              <w:rPr>
                <w:rFonts w:ascii="Arial" w:hAnsi="Arial" w:eastAsia="Arial"/>
                <w:b/>
                <w:i w:val="0"/>
                <w:color w:val="003366"/>
                <w:sz w:val="18"/>
              </w:rPr>
              <w:t xml:space="preserve">1010 DEFENSE PENTAGON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3366"/>
                <w:sz w:val="18"/>
              </w:rPr>
              <w:t>WASHINGTON, D.C. 20301-1010</w:t>
            </w:r>
          </w:p>
        </w:tc>
      </w:tr>
    </w:tbl>
    <w:p>
      <w:pPr>
        <w:autoSpaceDN w:val="0"/>
        <w:autoSpaceDE w:val="0"/>
        <w:widowControl/>
        <w:spacing w:line="320" w:lineRule="exact" w:before="100" w:after="0"/>
        <w:ind w:left="0" w:right="1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January 24, 2019 </w:t>
      </w:r>
    </w:p>
    <w:p>
      <w:pPr>
        <w:autoSpaceDN w:val="0"/>
        <w:tabs>
          <w:tab w:pos="3126" w:val="left"/>
          <w:tab w:pos="3386" w:val="left"/>
          <w:tab w:pos="3444" w:val="left"/>
          <w:tab w:pos="3458" w:val="left"/>
        </w:tabs>
        <w:autoSpaceDE w:val="0"/>
        <w:widowControl/>
        <w:spacing w:line="276" w:lineRule="exact" w:before="276" w:after="172"/>
        <w:ind w:left="72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MEMORANDUM FOR CHIEF MANAGEMENT OFFICER OF THE DEPARTMENT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SECRETARIES OF THE MILITARY DEPARTMENTS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CHAIRMAN OF THE JOINT CHIEFS OF STAFF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UNDER SECRETARIES OF DEFENSE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CHIEF OF THE NATIONAL GUARD BUREAU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GENERAL COUNSEL OF THE DEPARTMENT OF DEFENSE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 OF COST ASSESSMENT AND PROGRAM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EVALUATION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INSPECTOR GENERAL OF THE DEPARTMENT OF DEFENSE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 OF OPERATIONAL TEST AND EVALUATION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CHIEF INFORMATION OFFICER OF THE DEPARTMENT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 SECRETARY OF DEFENSE FOR LEGISLATIVE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AFFAIRS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 TO THE SECRETARY OF DEFENSE FOR PUBLIC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AFFAIRS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 OF NET ASSESSMENT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DIRECTORS OF DEFENSE AGENCIES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DIRECTORS OF DOD FIELD ACTIVITIES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2.0" w:type="dxa"/>
      </w:tblPr>
      <w:tblGrid>
        <w:gridCol w:w="5153"/>
        <w:gridCol w:w="5153"/>
      </w:tblGrid>
      <w:tr>
        <w:trPr>
          <w:trHeight w:hRule="exact" w:val="71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3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SUBJECT: </w:t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11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Directive-type Memorandum (DTM)-19-001 – Establishment of the Secretary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Defense Strategic Thinkers Program </w:t>
            </w:r>
          </w:p>
        </w:tc>
      </w:tr>
    </w:tbl>
    <w:p>
      <w:pPr>
        <w:autoSpaceDN w:val="0"/>
        <w:tabs>
          <w:tab w:pos="2076" w:val="left"/>
          <w:tab w:pos="2378" w:val="left"/>
        </w:tabs>
        <w:autoSpaceDE w:val="0"/>
        <w:widowControl/>
        <w:spacing w:line="276" w:lineRule="exact" w:before="180" w:after="0"/>
        <w:ind w:left="72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References: DoD Manual 8910.01, Volume 1, “DoD Information Collections Manual: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Procedures for DoD Internal Information Collections,” June 30, 2014,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 Code, Title 10, Section 2005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5400.11, “DoD Privacy Program,” October 29, 2014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5400.11-R, “Department of Defense Privacy Program,” May 14, 2007 </w:t>
      </w:r>
    </w:p>
    <w:p>
      <w:pPr>
        <w:autoSpaceDN w:val="0"/>
        <w:autoSpaceDE w:val="0"/>
        <w:widowControl/>
        <w:spacing w:line="320" w:lineRule="exact" w:before="232" w:after="0"/>
        <w:ind w:left="144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Purpose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DTM: </w:t>
      </w:r>
    </w:p>
    <w:p>
      <w:pPr>
        <w:autoSpaceDN w:val="0"/>
        <w:tabs>
          <w:tab w:pos="2522" w:val="left"/>
        </w:tabs>
        <w:autoSpaceDE w:val="0"/>
        <w:widowControl/>
        <w:spacing w:line="276" w:lineRule="exact" w:before="258" w:after="0"/>
        <w:ind w:left="2162" w:right="72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Establishes policy, assigns responsibilities, and provides procedures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implementation of the Strategic Thinkers Program (STP). </w:t>
      </w:r>
    </w:p>
    <w:p>
      <w:pPr>
        <w:autoSpaceDN w:val="0"/>
        <w:tabs>
          <w:tab w:pos="2522" w:val="left"/>
        </w:tabs>
        <w:autoSpaceDE w:val="0"/>
        <w:widowControl/>
        <w:spacing w:line="276" w:lineRule="exact" w:before="256" w:after="0"/>
        <w:ind w:left="216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effective January 24, 2019; it will be incorporated into a new DoD instruction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military education.  This DTM will expire effective January 24, 2020. </w:t>
      </w:r>
    </w:p>
    <w:p>
      <w:pPr>
        <w:autoSpaceDN w:val="0"/>
        <w:tabs>
          <w:tab w:pos="1442" w:val="left"/>
        </w:tabs>
        <w:autoSpaceDE w:val="0"/>
        <w:widowControl/>
        <w:spacing w:line="276" w:lineRule="exact" w:before="240" w:after="0"/>
        <w:ind w:left="72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Applicability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DTM applies to OSD, the Military Departments, the Office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Chairm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an of the Join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 Chiefs of Staff and the Joint Staff, the Combatant Commands, the Office </w:t>
      </w:r>
    </w:p>
    <w:p>
      <w:pPr>
        <w:sectPr>
          <w:pgSz w:w="12240" w:h="15840"/>
          <w:pgMar w:top="368" w:right="1216" w:bottom="798" w:left="718" w:header="720" w:footer="720" w:gutter="0"/>
          <w:cols w:space="720" w:num="1" w:equalWidth="0"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DTM-19-001, January 24, 2019</w:t>
      </w:r>
    </w:p>
    <w:p>
      <w:pPr>
        <w:autoSpaceDN w:val="0"/>
        <w:autoSpaceDE w:val="0"/>
        <w:widowControl/>
        <w:spacing w:line="276" w:lineRule="exact" w:before="4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Inspector General of the Department of Defense, the Defense Agencies, the DoD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Activities, and all other organizational entities within the DoD (referred to collectively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DTM as the “DoD Components”).  The term “Military Services,” as used in this DTM, refers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Army, Navy, Air Force, and Marine Corps. </w:t>
      </w:r>
    </w:p>
    <w:p>
      <w:pPr>
        <w:autoSpaceDN w:val="0"/>
        <w:autoSpaceDE w:val="0"/>
        <w:widowControl/>
        <w:spacing w:line="320" w:lineRule="exact" w:before="19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See Glossary.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Policy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Participants in the STP will receive a Master’s degree from the contracted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ity in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nternational Public Policy.  Through the program they will be:</w:t>
      </w:r>
    </w:p>
    <w:p>
      <w:pPr>
        <w:autoSpaceDN w:val="0"/>
        <w:autoSpaceDE w:val="0"/>
        <w:widowControl/>
        <w:spacing w:line="276" w:lineRule="exact" w:before="256" w:after="0"/>
        <w:ind w:left="1800" w:right="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Educated in strategic thinking, warfighting, and interagency strategic decision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making, using interactive historical case studies and war games as problem-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solving experiences, while drawing on the disciplines of applied 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studies, history, and other subject areas. </w:t>
      </w:r>
    </w:p>
    <w:p>
      <w:pPr>
        <w:autoSpaceDN w:val="0"/>
        <w:autoSpaceDE w:val="0"/>
        <w:widowControl/>
        <w:spacing w:line="276" w:lineRule="exact" w:before="258" w:after="0"/>
        <w:ind w:left="1800" w:right="432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Equipped with the advanced cognitive and analytical skills necessary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engage civilian and military leaders on the development and conduct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strategy and operations in the broader context of national policy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objectives. </w:t>
      </w:r>
    </w:p>
    <w:p>
      <w:pPr>
        <w:autoSpaceDN w:val="0"/>
        <w:autoSpaceDE w:val="0"/>
        <w:widowControl/>
        <w:spacing w:line="276" w:lineRule="exact" w:before="256" w:after="0"/>
        <w:ind w:left="1800" w:right="720" w:hanging="36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Prepared to occupy demanding appointments as strategic thinkers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advisors in the Office of the Secretary of Defense, the Joint Staff,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Combatant Commander’s staff office, a four star headquarters,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State, or other federal agencies. </w:t>
      </w:r>
    </w:p>
    <w:p>
      <w:pPr>
        <w:autoSpaceDN w:val="0"/>
        <w:tabs>
          <w:tab w:pos="1800" w:val="left"/>
        </w:tabs>
        <w:autoSpaceDE w:val="0"/>
        <w:widowControl/>
        <w:spacing w:line="278" w:lineRule="exact" w:before="256" w:after="0"/>
        <w:ind w:left="1440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Able to think and communicate both clearly and precisely in terms of making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strategic assessments and communicating their ideas and intent. </w:t>
      </w:r>
    </w:p>
    <w:p>
      <w:pPr>
        <w:autoSpaceDN w:val="0"/>
        <w:autoSpaceDE w:val="0"/>
        <w:widowControl/>
        <w:spacing w:line="322" w:lineRule="exact" w:before="1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See Attachment 1.</w:t>
      </w:r>
    </w:p>
    <w:p>
      <w:pPr>
        <w:autoSpaceDN w:val="0"/>
        <w:autoSpaceDE w:val="0"/>
        <w:widowControl/>
        <w:spacing w:line="322" w:lineRule="exact" w:before="194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Procedures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See Attachment 2.</w:t>
      </w:r>
    </w:p>
    <w:p>
      <w:pPr>
        <w:autoSpaceDN w:val="0"/>
        <w:autoSpaceDE w:val="0"/>
        <w:widowControl/>
        <w:spacing w:line="276" w:lineRule="exact" w:before="240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Information Collections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accordance with Paragraph 12 of Volume 1 of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Manual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8910.01, the nominatio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ns for the STP, referred to in Paragraph 4.b of Attachment 1, do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not require licensing with a report control symbol.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40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Releasability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Cleared for public release.  This DTM is available on the Directives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Divisio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n Website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http://www.esd.whs.mil/dd/.</w:t>
      </w:r>
    </w:p>
    <w:p>
      <w:pPr>
        <w:autoSpaceDN w:val="0"/>
        <w:autoSpaceDE w:val="0"/>
        <w:widowControl/>
        <w:spacing w:line="240" w:lineRule="auto" w:before="266" w:after="0"/>
        <w:ind w:left="0" w:right="74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40660" cy="110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10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564" w:after="0"/>
        <w:ind w:left="0" w:right="79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Attachments: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 stated</w:t>
      </w:r>
    </w:p>
    <w:p>
      <w:pPr>
        <w:autoSpaceDN w:val="0"/>
        <w:autoSpaceDE w:val="0"/>
        <w:widowControl/>
        <w:spacing w:line="320" w:lineRule="exact" w:before="4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DTM-19-001, January 24, 2019</w:t>
      </w:r>
    </w:p>
    <w:p>
      <w:pPr>
        <w:autoSpaceDN w:val="0"/>
        <w:autoSpaceDE w:val="0"/>
        <w:widowControl/>
        <w:spacing w:line="320" w:lineRule="exact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ATTACHMENT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ASSISTANT SECRETARY OF DEFENSE FOR READINESS (ASD(R))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Under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hority, direction, and control of the Under Secretary of Defense for Person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nel and Readiness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(USD(P&amp;R)), the ASD(R): </w:t>
      </w:r>
    </w:p>
    <w:p>
      <w:pPr>
        <w:autoSpaceDN w:val="0"/>
        <w:autoSpaceDE w:val="0"/>
        <w:widowControl/>
        <w:spacing w:line="276" w:lineRule="exact" w:before="276" w:after="0"/>
        <w:ind w:left="0" w:right="576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Provides all necessary funding to the contracted university for the management,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administration and support of the STP, with the exception of the travel funding discussed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4.d of this attachment.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Develops appropriate metrics to assess post-program career development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progression of follow-on assignments for program graduates.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Provides appropriate guidance and direction for the selection process outlined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3.d. of Attachment 2 of this DTM and approves the final results. </w:t>
      </w:r>
    </w:p>
    <w:p>
      <w:pPr>
        <w:autoSpaceDN w:val="0"/>
        <w:autoSpaceDE w:val="0"/>
        <w:widowControl/>
        <w:spacing w:line="276" w:lineRule="exact" w:before="55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DEPUTY ASSISTANT SECRETARY OF DEFENSE FOR FORCE EDUCATION 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AINING (DASD(FE&amp;T))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.  Under the authority, direction, and control of the USD(P&amp;R),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through the ASD(R), the DA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SD(FE&amp;T):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Directly oversees program management, support, and implementation.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Chairs the interview selection panel that annually selects program participants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Service members nominated by the Military Departments, in accordance with Paragraph 3.d.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Attachment 2.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c.  Assists the Secretaries of the Military Departments to match STP graduates to follow-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and sequential career assignments in areas utilizing the special skills gained in the program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tracks post-assignment career progression. </w:t>
      </w:r>
    </w:p>
    <w:p>
      <w:pPr>
        <w:autoSpaceDN w:val="0"/>
        <w:autoSpaceDE w:val="0"/>
        <w:widowControl/>
        <w:spacing w:line="276" w:lineRule="exact" w:before="55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GENERAL COUNSEL OF THE DEPARTMENT OF DEFENSE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General Counsel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Department of Defense provides legal advice, as necessary, in su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pport of the STP. </w:t>
      </w:r>
    </w:p>
    <w:p>
      <w:pPr>
        <w:autoSpaceDN w:val="0"/>
        <w:autoSpaceDE w:val="0"/>
        <w:widowControl/>
        <w:spacing w:line="276" w:lineRule="exact" w:before="55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SECRETARIES OF THE MILITARY DEPARTMENTS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Secretaries of the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partments: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In accordance with the criteria in Paragraph 2 of Attachment 2 and the submission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guidance in Paragraph 3 of Attachment 2, nominate two primary and two alternate candidates per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for STP participation, to the Director, Professional Military Education (PME),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of the DASD(FE&amp;T).  The Department of Navy will ensure two primary and two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alternate candidates are submitted from both the Navy and Marine Corps. </w:t>
      </w:r>
    </w:p>
    <w:p>
      <w:pPr>
        <w:autoSpaceDN w:val="0"/>
        <w:tabs>
          <w:tab w:pos="8060" w:val="left"/>
        </w:tabs>
        <w:autoSpaceDE w:val="0"/>
        <w:widowControl/>
        <w:spacing w:line="320" w:lineRule="exact" w:before="664" w:after="0"/>
        <w:ind w:left="4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380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DTM-19-001, January 24, 2019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4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Submit annual nominations to the Director, PME, no later than December 1 of 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year.  An extension of the submission deadline can be provided upon a showing of good cause.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Require each selected candidate to sign an agreement in accordance with Section 2005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Title 10, United States Code and Paragraph 4 of Attachment 2.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Provide administrative support, personnel management, and appropriate funding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assigned to the STP from their respective Military Services, to include: </w:t>
      </w:r>
    </w:p>
    <w:p>
      <w:pPr>
        <w:autoSpaceDN w:val="0"/>
        <w:autoSpaceDE w:val="0"/>
        <w:widowControl/>
        <w:spacing w:line="320" w:lineRule="exact" w:before="23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 funded billet(s).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7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Funding authorized expenses related to permanent change of station 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start of the program and after graduation.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Transfer of security clearance, permanently certified with passing authority,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Director, Human Capital Management Office, Office of the USD(P&amp;R) or, if required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Military Service, to the appropriate Washington area Military Service Special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7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Designation of a single point of contact (POC) within each Military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all matters concerning the STP. </w:t>
      </w:r>
    </w:p>
    <w:p>
      <w:pPr>
        <w:autoSpaceDN w:val="0"/>
        <w:autoSpaceDE w:val="0"/>
        <w:widowControl/>
        <w:spacing w:line="276" w:lineRule="exact" w:before="276" w:after="0"/>
        <w:ind w:left="0" w:right="86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Identify post-STP assignments for program participants that utilize the special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knowledge and skills gained through completion of the program and place graduates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accordingly.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Ensure records submitted and created as a result of this program are managed under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Privacy Act System of Records Notice as required by DoD Directive 5400.11 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5400.11-R. </w:t>
      </w:r>
    </w:p>
    <w:p>
      <w:pPr>
        <w:autoSpaceDN w:val="0"/>
        <w:tabs>
          <w:tab w:pos="8060" w:val="left"/>
        </w:tabs>
        <w:autoSpaceDE w:val="0"/>
        <w:widowControl/>
        <w:spacing w:line="320" w:lineRule="exact" w:before="5356" w:after="0"/>
        <w:ind w:left="4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1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380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DTM-19-001, January 24, 2019</w:t>
      </w:r>
    </w:p>
    <w:p>
      <w:pPr>
        <w:autoSpaceDN w:val="0"/>
        <w:autoSpaceDE w:val="0"/>
        <w:widowControl/>
        <w:spacing w:line="320" w:lineRule="exact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ATTACHMENT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DESCRIPTION AND PROCEDURES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STP DESCRIPTION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STP is a partnership between the DoD and a contracted civilian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versity offering a uni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que, highly selective, in-depth graduate level education, designed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intellectually talented military officers who wish to develop advanced analytical and strategic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thinking skills.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The proposed curriculum for the STP academic model consists of DoD-approved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coursework, developed jointly through the DASD(FE&amp;T) offices and the contracted civilian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university.  The curriculum conforms to the academic requirements of the civilian university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its accrediting agency and is designed to be completed in the equivalent of 1 academic year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(AY).  Through the STP academic model, students will explore the relationship between politics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 range of historical and contemporary military operations, from the use of hybrid warfare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small, non-state groups to the threatened use of nuclear weapons.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 classroom-based portion of this program will combine military historical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case studies with economics knowledge, analytics, regional expertise, diplomatic skills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capacity to apply theory to real-world problems.  The curriculum is designed to prepare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the competencies required to anticipate and adapt to current and future strategic challenges,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order to better inform and assist military and civilian decision-making at all levels.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classroom based portion will consist of four academic courses in a customizable co-curriculum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format (university student mix) and four academic courses in a military cohort only format. </w:t>
      </w:r>
    </w:p>
    <w:p>
      <w:pPr>
        <w:autoSpaceDN w:val="0"/>
        <w:autoSpaceDE w:val="0"/>
        <w:widowControl/>
        <w:spacing w:line="276" w:lineRule="exact" w:before="276" w:after="0"/>
        <w:ind w:left="0" w:right="432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experiential war-gaming portion of the program will have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examine historical and contemporary decision-making to gain a better understanding of 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strategy and operations have evolved over time and how levels of warfare link together.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will be required to conduct a strategic assessment, develop a theory of victory,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execute a war plan.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Staff rides will focus on important issues of leadership and decision-making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have applications well beyond the field of strategic studies.  Students, faculty, and guest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lecturers will travel to specific locations to examine historical battles, campaigns, and,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occasionally, entire wars in order to actively engage in a dialogue with history.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Studying under world-class scholars and practitioners at the contracted university,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customize a portion of their course of study from hundreds of functional, regional,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economic courses to advance their expertise and position themselves for continued professional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success.  Prominent military leaders throughout DoD will be invited to address the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cohort, providing their expertise and perspective on themes of political objective, unity of force,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inter-Service and inter-allied cooperation, and leadership.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High profile theorists and internationally recognized practitioners will be employed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guest lecturers, exposing students to cutting edge theories and insights that are relevant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way they understand their Military Service.  The guest lecturers will provide students with an </w:t>
      </w:r>
    </w:p>
    <w:p>
      <w:pPr>
        <w:autoSpaceDN w:val="0"/>
        <w:tabs>
          <w:tab w:pos="8060" w:val="left"/>
        </w:tabs>
        <w:autoSpaceDE w:val="0"/>
        <w:widowControl/>
        <w:spacing w:line="320" w:lineRule="exact" w:before="664" w:after="0"/>
        <w:ind w:left="4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380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DTM-19-001, January 24, 2019</w:t>
      </w:r>
    </w:p>
    <w:p>
      <w:pPr>
        <w:autoSpaceDN w:val="0"/>
        <w:autoSpaceDE w:val="0"/>
        <w:widowControl/>
        <w:spacing w:line="276" w:lineRule="exact" w:before="446" w:after="0"/>
        <w:ind w:left="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unparalleled platform for international engagement with traditional and emerging security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partners enrolled in similar graduate level coursework. </w:t>
      </w:r>
    </w:p>
    <w:p>
      <w:pPr>
        <w:autoSpaceDN w:val="0"/>
        <w:autoSpaceDE w:val="0"/>
        <w:widowControl/>
        <w:spacing w:line="276" w:lineRule="exact" w:before="55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QUALIFICATIONS FOR STP PARTICIPATION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To qualify for participation in the STP,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applicant must: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Be a commissioned officer in the Active Component of a Military Service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United States.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Hold a baccalaureate degree from an accredited degree granting institution.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Attain an overall ranking in the top 20 percent, preferably the top 5 percent, of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Joint Professional Military Education Phase I class and receive a similarly favorable evaluation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the course of at least one key operational assignment.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Be in the paygrade of O-4 or above, preferably O-5 promotable or above, and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completed at least 10 years on active duty before the STP AY.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 Provide or participate in assessments designed to evaluate strategic thinking abilities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during the interview selection process.  These assessments may include essay drafting, testing,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personal interviews, and other methods, as determined by the DASD(FE&amp;T).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 Apply to the contracted university and be accepted for admission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admissions criteria and policies established by the contracted university. </w:t>
      </w:r>
    </w:p>
    <w:p>
      <w:pPr>
        <w:autoSpaceDN w:val="0"/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APPLYING FOR THE STP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Intent to Apply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All applicants nominated by their Military Service (primary and alternates)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file an intent to apply via encrypted email to the Director, PME, through their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Department’s designated STP POC.  Subject line will read:  Last Name, First Initial.  Middle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Initial.  INTENT TO APPLY.  Example:  Jones, A. B. INTENT TO APPLY.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In the body of the e-mail, applicants will provide their first name, middle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name, last name, rank, branch of Service, military e-mail, personal e-mail, personal and 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contact phone numbers, and an attached one-page statement of purpose explaining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applicant’s reasons for seeking admission to the STP.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Applicants will receive a response e-mail with an essay prompt and further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instructions on required documents after they send their intent to apply e-mail.  If an applicant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does not receive a response e-mail within 48 hours, the applicant should contact the Director,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PME. </w:t>
      </w:r>
    </w:p>
    <w:p>
      <w:pPr>
        <w:autoSpaceDN w:val="0"/>
        <w:tabs>
          <w:tab w:pos="8060" w:val="left"/>
        </w:tabs>
        <w:autoSpaceDE w:val="0"/>
        <w:widowControl/>
        <w:spacing w:line="320" w:lineRule="exact" w:before="940" w:after="0"/>
        <w:ind w:left="4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380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DTM-19-001, January 24, 2019</w:t>
      </w:r>
    </w:p>
    <w:p>
      <w:pPr>
        <w:autoSpaceDN w:val="0"/>
        <w:autoSpaceDE w:val="0"/>
        <w:widowControl/>
        <w:spacing w:line="320" w:lineRule="exact" w:before="40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Application Transmission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23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STP applicants will: </w:t>
      </w:r>
    </w:p>
    <w:p>
      <w:pPr>
        <w:autoSpaceDN w:val="0"/>
        <w:autoSpaceDE w:val="0"/>
        <w:widowControl/>
        <w:spacing w:line="276" w:lineRule="exact" w:before="276" w:after="0"/>
        <w:ind w:left="0" w:right="288" w:firstLine="21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Deliver all application documents, outlined in Paragraph 3.c.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attachment, to the Director, PME, either by Federal Express, Certified Mail, through use of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encrypted (.mil) e-mail account, or hand-delivered in person.  Applicants must ensure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application package is complete.  Applicants will return answers to the essay prompt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PME, by way of e-mail. </w:t>
      </w:r>
    </w:p>
    <w:p>
      <w:pPr>
        <w:autoSpaceDN w:val="0"/>
        <w:tabs>
          <w:tab w:pos="2160" w:val="left"/>
        </w:tabs>
        <w:autoSpaceDE w:val="0"/>
        <w:widowControl/>
        <w:spacing w:line="276" w:lineRule="exact" w:before="516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Label any encrypted e-mail as Last Name, First Initial.  Middle Initial.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STP AY##.  Example: Jones A. B. STP AY##. </w:t>
      </w:r>
    </w:p>
    <w:p>
      <w:pPr>
        <w:autoSpaceDN w:val="0"/>
        <w:autoSpaceDE w:val="0"/>
        <w:widowControl/>
        <w:spacing w:line="320" w:lineRule="exact" w:before="47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Personally identifiable information (PII) must be safeguarded.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21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 Encrypted e-mails between “.mil” e-mail accounts are authorized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PII transmission, but applicants must check the block for “Encrypt” under the “Options” tab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Microsoft Outlook. </w:t>
      </w:r>
    </w:p>
    <w:p>
      <w:pPr>
        <w:autoSpaceDN w:val="0"/>
        <w:tabs>
          <w:tab w:pos="2160" w:val="left"/>
        </w:tabs>
        <w:autoSpaceDE w:val="0"/>
        <w:widowControl/>
        <w:spacing w:line="276" w:lineRule="exact" w:before="516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To minimize loss of PII, social security numbers must be redacted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from all material regardless of transmission means. </w:t>
      </w:r>
    </w:p>
    <w:p>
      <w:pPr>
        <w:autoSpaceDN w:val="0"/>
        <w:autoSpaceDE w:val="0"/>
        <w:widowControl/>
        <w:spacing w:line="320" w:lineRule="exact" w:before="47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Application 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application package must include: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The one-page essay response to the prompt with one-inch margins, 12 point,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Times New Roman font, and single spaced text.  If using encrypted e-mail delivery, applicants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place their name and essay title in the header of the page as Last Name, First Initial. Middle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Initial.  STP AY## Title.  Applicants will save the file the same way.  Example:  Jones A.B. STP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AY## MY ESSAY. </w:t>
      </w:r>
    </w:p>
    <w:p>
      <w:pPr>
        <w:autoSpaceDN w:val="0"/>
        <w:autoSpaceDE w:val="0"/>
        <w:widowControl/>
        <w:spacing w:line="276" w:lineRule="exact" w:before="276" w:after="0"/>
        <w:ind w:left="0" w:right="432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The two most recent observed fitness reports or equivalent evaluations,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scanned in chronological order with most recent on top.  If using encrypted e-mail delivery,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applicants will name their files as Last Name, First Initial. Middle Initial. STP AY## fitness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report or service equivalent document (e.g., the Officer Evaluation Report).  Example:  Jones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A.B. STP AY## fitness report. </w:t>
      </w:r>
    </w:p>
    <w:p>
      <w:pPr>
        <w:autoSpaceDN w:val="0"/>
        <w:autoSpaceDE w:val="0"/>
        <w:widowControl/>
        <w:spacing w:line="276" w:lineRule="exact" w:before="276" w:after="0"/>
        <w:ind w:left="0" w:right="144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A copy of the Joint Professional Military Education Level I certificate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transcript from any intermediate level education (ILE) program previously completed.  If using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encrypted e-mail delivery, applicants will name their files as Last Name, First Initial. Middle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Initial.  STP AY## ILE DIPLOMA.  Example:  Jones A.B. STP AY## ILE DIPLOMA. </w:t>
      </w:r>
    </w:p>
    <w:p>
      <w:pPr>
        <w:autoSpaceDN w:val="0"/>
        <w:autoSpaceDE w:val="0"/>
        <w:widowControl/>
        <w:spacing w:line="320" w:lineRule="exact" w:before="23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Copies of all college undergraduate and graduate program transcript(s).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Unofficial transcripts are acceptable for application purposes, but if selected to attend the STP, </w:t>
      </w:r>
    </w:p>
    <w:p>
      <w:pPr>
        <w:autoSpaceDN w:val="0"/>
        <w:tabs>
          <w:tab w:pos="8060" w:val="left"/>
        </w:tabs>
        <w:autoSpaceDE w:val="0"/>
        <w:widowControl/>
        <w:spacing w:line="320" w:lineRule="exact" w:before="532" w:after="0"/>
        <w:ind w:left="4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380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DTM-19-001, January 24, 2019</w:t>
      </w:r>
    </w:p>
    <w:p>
      <w:pPr>
        <w:autoSpaceDN w:val="0"/>
        <w:autoSpaceDE w:val="0"/>
        <w:widowControl/>
        <w:spacing w:line="276" w:lineRule="exact" w:before="446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official transcripts are required.   If using encrypted e-mail delivery, applicants will name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files as Last Name, First Initial. Middle Initial. STP AY## TRANSCRIPTS.  Example:  Jones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A.B. STP AY## TRANSCRIPTS.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 At least one written recommendation from their previous ILE in-resident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faculty advisor.  Non-resident applicants may provide a written endorsement from their reporting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senior (i.e. senior rater).  If recommendation letters are not available in time for submission,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applicants will contact the Director, PME, for case-by-case exemption approval.  If using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encrypted e-mail delivery, applicants will name their files as Last Name, First Initial. Middle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Initial. STP AY## FACULTY RECOMMENDATION.  Example:  Jones A.B. STP AY##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FACULTY RECOMMENDATION. </w:t>
      </w:r>
    </w:p>
    <w:p>
      <w:pPr>
        <w:autoSpaceDN w:val="0"/>
        <w:autoSpaceDE w:val="0"/>
        <w:widowControl/>
        <w:spacing w:line="276" w:lineRule="exact" w:before="276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Selection Process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accordance with the guidance and direction provided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ASD(R),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he DASD(FE&amp;T)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will convene a panel to review applications and recommend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selectees for the program to the ASD(R). </w:t>
      </w:r>
    </w:p>
    <w:p>
      <w:pPr>
        <w:autoSpaceDN w:val="0"/>
        <w:autoSpaceDE w:val="0"/>
        <w:widowControl/>
        <w:spacing w:line="276" w:lineRule="exact" w:before="276" w:after="0"/>
        <w:ind w:left="0" w:right="622" w:firstLine="14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Interviews will be scheduled through the applicant’s respective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POC, and will be held at:  4000 Defense Pentagon, Suite 1E537, Washington, D.C.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20301. 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276" w:after="172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For out-of-area applicants, the DASD(FE&amp;T) offices may schedule video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teleconferences or phone interviews.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0"/>
        <w:gridCol w:w="4720"/>
      </w:tblGrid>
      <w:tr>
        <w:trPr>
          <w:trHeight w:hRule="exact" w:val="71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not required. 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4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(a)  In-person interviews for out-of-area applicants are recommended but </w:t>
            </w:r>
          </w:p>
        </w:tc>
      </w:tr>
    </w:tbl>
    <w:p>
      <w:pPr>
        <w:autoSpaceDN w:val="0"/>
        <w:autoSpaceDE w:val="0"/>
        <w:widowControl/>
        <w:spacing w:line="320" w:lineRule="exact" w:before="412" w:after="0"/>
        <w:ind w:left="21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 Applicants who prefer a face-to-face interview in Washington, D.C. </w:t>
      </w:r>
    </w:p>
    <w:p>
      <w:pPr>
        <w:autoSpaceDN w:val="0"/>
        <w:autoSpaceDE w:val="0"/>
        <w:widowControl/>
        <w:spacing w:line="276" w:lineRule="exact" w:before="44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should contact their Service POC concerning availability of funding for travel, lodging,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incidental costs. </w:t>
      </w:r>
    </w:p>
    <w:p>
      <w:pPr>
        <w:autoSpaceDN w:val="0"/>
        <w:autoSpaceDE w:val="0"/>
        <w:widowControl/>
        <w:spacing w:line="276" w:lineRule="exact" w:before="51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The STP selection panel will schedule interview dates between January 3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January 20. Student applications for the fall semester are due to the contracted university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February 1. </w:t>
      </w:r>
    </w:p>
    <w:p>
      <w:pPr>
        <w:autoSpaceDN w:val="0"/>
        <w:autoSpaceDE w:val="0"/>
        <w:widowControl/>
        <w:spacing w:line="320" w:lineRule="exact" w:before="23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 The ASD(R) will be the final approval authority for all Service nominees. </w:t>
      </w:r>
    </w:p>
    <w:p>
      <w:pPr>
        <w:autoSpaceDN w:val="0"/>
        <w:autoSpaceDE w:val="0"/>
        <w:widowControl/>
        <w:spacing w:line="276" w:lineRule="exact" w:before="44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Office of the DASD(FE&amp;T) will notify the Military Service POCs of the officers selected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the STP by January 21. </w:t>
      </w:r>
    </w:p>
    <w:p>
      <w:pPr>
        <w:autoSpaceDN w:val="0"/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STP STUDENTS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STP students will: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 Sign an agreement, in accordance with Section 2005 of Title 10, United States Code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they will: </w:t>
      </w:r>
    </w:p>
    <w:p>
      <w:pPr>
        <w:autoSpaceDN w:val="0"/>
        <w:autoSpaceDE w:val="0"/>
        <w:widowControl/>
        <w:spacing w:line="320" w:lineRule="exact" w:before="232" w:after="0"/>
        <w:ind w:left="144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 Complete the STP at the contracted university. </w:t>
      </w:r>
    </w:p>
    <w:p>
      <w:pPr>
        <w:autoSpaceDN w:val="0"/>
        <w:tabs>
          <w:tab w:pos="8060" w:val="left"/>
        </w:tabs>
        <w:autoSpaceDE w:val="0"/>
        <w:widowControl/>
        <w:spacing w:line="320" w:lineRule="exact" w:before="460" w:after="0"/>
        <w:ind w:left="4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380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DTM-19-001, January 24, 2019</w:t>
      </w:r>
    </w:p>
    <w:p>
      <w:pPr>
        <w:autoSpaceDN w:val="0"/>
        <w:tabs>
          <w:tab w:pos="1440" w:val="left"/>
        </w:tabs>
        <w:autoSpaceDE w:val="0"/>
        <w:widowControl/>
        <w:spacing w:line="276" w:lineRule="exact" w:before="44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 Upon graduation, be considered for follow-on assignment(s) that utilize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 knowledge and skills gained through completion of the program.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 Serve on active duty for 2 years following completion of the STP. 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 do not graduate from the program, for any reason, will be reassigned in accordance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policies of his or her respective Military Service.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 Report for duty to the contracted university’s STP office in mid-August to begin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weeks of in-processing, orientation, and training courses. </w:t>
      </w:r>
    </w:p>
    <w:p>
      <w:pPr>
        <w:autoSpaceDN w:val="0"/>
        <w:autoSpaceDE w:val="0"/>
        <w:widowControl/>
        <w:spacing w:line="276" w:lineRule="exact" w:before="276" w:after="0"/>
        <w:ind w:left="0" w:right="576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 After the 2 week orientation period, report to the contracted university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beginning of the fall semester and remain assigned there until completion of all graduation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tabs>
          <w:tab w:pos="8060" w:val="left"/>
        </w:tabs>
        <w:autoSpaceDE w:val="0"/>
        <w:widowControl/>
        <w:spacing w:line="320" w:lineRule="exact" w:before="9772" w:after="0"/>
        <w:ind w:left="46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Attachment 2 </w:t>
      </w: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440" w:space="0"/>
            <w:col w:w="9380" w:space="0"/>
            <w:col w:w="103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DTM-19-001, January 24, 2019 </w:t>
      </w:r>
    </w:p>
    <w:p>
      <w:pPr>
        <w:autoSpaceDN w:val="0"/>
        <w:autoSpaceDE w:val="0"/>
        <w:widowControl/>
        <w:spacing w:line="320" w:lineRule="exact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GLOSSARY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172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ABBREVIATIONS AND ACRONYMS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720"/>
        <w:gridCol w:w="4720"/>
      </w:tblGrid>
      <w:tr>
        <w:trPr>
          <w:trHeight w:hRule="exact" w:val="458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0" w:after="0"/>
              <w:ind w:left="6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ASD(R)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DASD(FE&amp;T)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DTM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PII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USD(P&amp;R) </w:t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608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Assistant Secretary of Defense for Readiness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academic year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6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Deputy Assistant Secretary of Defense for Force Education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Directive-type memorandum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6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intermediate level education </w:t>
            </w:r>
          </w:p>
          <w:p>
            <w:pPr>
              <w:autoSpaceDN w:val="0"/>
              <w:autoSpaceDE w:val="0"/>
              <w:widowControl/>
              <w:spacing w:line="276" w:lineRule="exact" w:before="276" w:after="0"/>
              <w:ind w:left="608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personally identifiable information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military education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point of contact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6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Strategic Thinkers Program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6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 Secretary of Defense for Personnel and Readiness </w:t>
            </w:r>
          </w:p>
        </w:tc>
      </w:tr>
    </w:tbl>
    <w:p>
      <w:pPr>
        <w:autoSpaceDN w:val="0"/>
        <w:autoSpaceDE w:val="0"/>
        <w:widowControl/>
        <w:spacing w:line="320" w:lineRule="exact" w:before="44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terms and their definitions are for the purpose of this issuance.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staff ride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case study of a previous incident that is conducted on the actual physical site where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the incid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 occurred.  A staff ride is an experiential learning method that involves three distinct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parts: a preliminary study, a site visit, and a post-visit integration session. </w:t>
      </w:r>
    </w:p>
    <w:p>
      <w:pPr>
        <w:autoSpaceDN w:val="0"/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STP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32 credit hour, 10-month master’s degree program designed to prepare a small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sele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ct group of students for leadership roles demanding long-range critical and strategic thinking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skills.  This program is unique in its intense focus on the development of interagency, cross-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strategists who can operate in unknown environments, deal with unanticipated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challenges, adapt non-military developments to security challenges, and seek innovative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approaches in order to engage civilian and military leaders on the development and conduct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strategy and operations in the broader context of national policy objectives. </w:t>
      </w:r>
    </w:p>
    <w:p>
      <w:pPr>
        <w:autoSpaceDN w:val="0"/>
        <w:tabs>
          <w:tab w:pos="8506" w:val="left"/>
        </w:tabs>
        <w:autoSpaceDE w:val="0"/>
        <w:widowControl/>
        <w:spacing w:line="320" w:lineRule="exact" w:before="3148" w:after="0"/>
        <w:ind w:left="45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Glossary </w:t>
      </w:r>
    </w:p>
    <w:sectPr w:rsidR="00FC693F" w:rsidRPr="0006063C" w:rsidSect="00034616">
      <w:pgSz w:w="12240" w:h="15840"/>
      <w:pgMar w:top="356" w:right="1360" w:bottom="356" w:left="1440" w:header="720" w:footer="720" w:gutter="0"/>
      <w:cols w:space="720" w:num="1" w:equalWidth="0"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440" w:space="0"/>
        <w:col w:w="9380" w:space="0"/>
        <w:col w:w="103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