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1409700</wp:posOffset>
            </wp:positionH>
            <wp:positionV relativeFrom="page">
              <wp:posOffset>1371600</wp:posOffset>
            </wp:positionV>
            <wp:extent cx="50800" cy="635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1473200</wp:posOffset>
            </wp:positionH>
            <wp:positionV relativeFrom="page">
              <wp:posOffset>1358900</wp:posOffset>
            </wp:positionV>
            <wp:extent cx="38100" cy="381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1587500</wp:posOffset>
            </wp:positionH>
            <wp:positionV relativeFrom="page">
              <wp:posOffset>1295400</wp:posOffset>
            </wp:positionV>
            <wp:extent cx="38100" cy="381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1600200</wp:posOffset>
            </wp:positionH>
            <wp:positionV relativeFrom="page">
              <wp:posOffset>1270000</wp:posOffset>
            </wp:positionV>
            <wp:extent cx="50800" cy="508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1562100</wp:posOffset>
            </wp:positionH>
            <wp:positionV relativeFrom="page">
              <wp:posOffset>1270000</wp:posOffset>
            </wp:positionV>
            <wp:extent cx="38100" cy="381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1270000</wp:posOffset>
            </wp:positionV>
            <wp:extent cx="38100" cy="381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982980</wp:posOffset>
            </wp:positionH>
            <wp:positionV relativeFrom="page">
              <wp:posOffset>943610</wp:posOffset>
            </wp:positionV>
            <wp:extent cx="1009650" cy="100965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1752600</wp:posOffset>
            </wp:positionH>
            <wp:positionV relativeFrom="page">
              <wp:posOffset>1651000</wp:posOffset>
            </wp:positionV>
            <wp:extent cx="38100" cy="381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1765300</wp:posOffset>
            </wp:positionH>
            <wp:positionV relativeFrom="page">
              <wp:posOffset>1638300</wp:posOffset>
            </wp:positionV>
            <wp:extent cx="38100" cy="381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1346200</wp:posOffset>
            </wp:positionH>
            <wp:positionV relativeFrom="page">
              <wp:posOffset>1600200</wp:posOffset>
            </wp:positionV>
            <wp:extent cx="63500" cy="381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1358900</wp:posOffset>
            </wp:positionH>
            <wp:positionV relativeFrom="page">
              <wp:posOffset>1562100</wp:posOffset>
            </wp:positionV>
            <wp:extent cx="38100" cy="381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1562100</wp:posOffset>
            </wp:positionH>
            <wp:positionV relativeFrom="page">
              <wp:posOffset>1371600</wp:posOffset>
            </wp:positionV>
            <wp:extent cx="38100" cy="381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28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Department of Defense </w:t>
      </w:r>
    </w:p>
    <w:p>
      <w:pPr>
        <w:autoSpaceDN w:val="0"/>
        <w:autoSpaceDE w:val="0"/>
        <w:widowControl/>
        <w:spacing w:line="694" w:lineRule="exact" w:before="25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52"/>
        </w:rPr>
        <w:t xml:space="preserve">DIRECTIVE </w:t>
      </w:r>
    </w:p>
    <w:p>
      <w:pPr>
        <w:autoSpaceDN w:val="0"/>
        <w:autoSpaceDE w:val="0"/>
        <w:widowControl/>
        <w:spacing w:line="292" w:lineRule="exact" w:before="292" w:after="0"/>
        <w:ind w:left="4896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NUMBER 1350.2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August 18, 1995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Certified Current as of November 21, 2003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Incorporating Change 2, June 8, 2015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563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56300" cy="114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0" w:after="0"/>
        <w:ind w:left="0" w:right="3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USD(P&amp;R) </w:t>
      </w:r>
    </w:p>
    <w:p>
      <w:pPr>
        <w:autoSpaceDN w:val="0"/>
        <w:autoSpaceDE w:val="0"/>
        <w:widowControl/>
        <w:spacing w:line="320" w:lineRule="exact" w:before="240" w:after="0"/>
        <w:ind w:left="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SUBJECT:  Department of Defense Military Equal Opportunity (MEO) Program </w:t>
      </w:r>
    </w:p>
    <w:p>
      <w:pPr>
        <w:autoSpaceDN w:val="0"/>
        <w:tabs>
          <w:tab w:pos="1192" w:val="left"/>
          <w:tab w:pos="1576" w:val="left"/>
        </w:tabs>
        <w:autoSpaceDE w:val="0"/>
        <w:widowControl/>
        <w:spacing w:line="276" w:lineRule="exact" w:before="280" w:after="0"/>
        <w:ind w:left="1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References: (a)  DoD Directive 1350.2, subject as above, December 23, 1988 (hereby canceled)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DoD Human Goals Charter (signed by the Secretary of Defense, Deputy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Secretary of Defense, Secretaries of the Military Departments, Chairman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Joint Chiefs of Staff, and Service Chiefs), May 19, 1994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1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Secretary of Defense Memorandum, "Equal Opportunity (EO)," March 3, 1994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 Secretary of Defense Memorandum, "Prohibition of Sexual Harassment 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Department of Defense (DoD)," August 22, 1994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(e)  through (o), see enclosure 1 </w:t>
      </w:r>
    </w:p>
    <w:p>
      <w:pPr>
        <w:autoSpaceDN w:val="0"/>
        <w:autoSpaceDE w:val="0"/>
        <w:widowControl/>
        <w:spacing w:line="320" w:lineRule="exact" w:before="538" w:after="0"/>
        <w:ind w:left="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REISSUANCE AND PURPOSE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2" w:lineRule="exact" w:before="246" w:after="0"/>
        <w:ind w:left="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Directive: </w:t>
      </w:r>
    </w:p>
    <w:p>
      <w:pPr>
        <w:autoSpaceDN w:val="0"/>
        <w:autoSpaceDE w:val="0"/>
        <w:widowControl/>
        <w:spacing w:line="320" w:lineRule="exact" w:before="246" w:after="0"/>
        <w:ind w:left="5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1.1.  Reissues reference (a). </w:t>
      </w:r>
    </w:p>
    <w:p>
      <w:pPr>
        <w:autoSpaceDN w:val="0"/>
        <w:autoSpaceDE w:val="0"/>
        <w:widowControl/>
        <w:spacing w:line="288" w:lineRule="exact" w:before="282" w:after="0"/>
        <w:ind w:left="20" w:right="288" w:firstLine="4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1.2.  Regulates the Department of Defense MEO Program and assigns responsibilities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ensuring DoD-wide compliance with the broad program objectives outlined in references (b),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(c), and (d). </w:t>
      </w:r>
    </w:p>
    <w:p>
      <w:pPr>
        <w:autoSpaceDN w:val="0"/>
        <w:autoSpaceDE w:val="0"/>
        <w:widowControl/>
        <w:spacing w:line="322" w:lineRule="exact" w:before="246" w:after="0"/>
        <w:ind w:left="5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1.3.  Provides for education and training in EO and human relations. </w:t>
      </w:r>
    </w:p>
    <w:p>
      <w:pPr>
        <w:autoSpaceDN w:val="0"/>
        <w:autoSpaceDE w:val="0"/>
        <w:widowControl/>
        <w:spacing w:line="230" w:lineRule="exact" w:before="276" w:after="0"/>
        <w:ind w:left="2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____________________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 References (b) through (e) are on file in the Office of the Deputy Assistant Secretary of Defense (Equal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Opportunity), Pentagon, Washington, DC, (703) 697-6381 or DSN 227-6381. </w:t>
      </w:r>
    </w:p>
    <w:p>
      <w:pPr>
        <w:sectPr>
          <w:pgSz w:w="12240" w:h="15840"/>
          <w:pgMar w:top="724" w:right="1356" w:bottom="1440" w:left="1420" w:header="720" w:footer="720" w:gutter="0"/>
          <w:cols w:space="720" w:num="1" w:equalWidth="0">
            <w:col w:w="94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DODD 1350.2, August 18, 1995 </w:t>
      </w:r>
    </w:p>
    <w:p>
      <w:pPr>
        <w:autoSpaceDN w:val="0"/>
        <w:tabs>
          <w:tab w:pos="480" w:val="left"/>
        </w:tabs>
        <w:autoSpaceDE w:val="0"/>
        <w:widowControl/>
        <w:spacing w:line="276" w:lineRule="exact" w:before="444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1.4.  Prescribes the functions of the Defense Equal Opportunity Council (DEOC)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Defense Equal Opportunity Management Institute (DEOMI).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4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1.5.  Establishes Department-wide standards for discrimination complaint processing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resolution as set forth in the DEOC Task Force on Discrimination and Sexual Harassment Report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(reference (e)).  The recommendations contained in the DEOC Task Force Report are set out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section 6.; implementation of this Directive shall be consistent with sections 4. and 6., below. </w:t>
      </w:r>
    </w:p>
    <w:p>
      <w:pPr>
        <w:autoSpaceDN w:val="0"/>
        <w:autoSpaceDE w:val="0"/>
        <w:widowControl/>
        <w:spacing w:line="320" w:lineRule="exact" w:before="248" w:after="0"/>
        <w:ind w:left="4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1.6.  Provides standard terms and definitions pertaining to the MEO program. </w:t>
      </w:r>
    </w:p>
    <w:p>
      <w:pPr>
        <w:autoSpaceDN w:val="0"/>
        <w:autoSpaceDE w:val="0"/>
        <w:widowControl/>
        <w:spacing w:line="320" w:lineRule="exact" w:before="5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APPLICABILITY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88" w:lineRule="exact" w:before="28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Directive applies to the Office of the Secretary of Defense (OSD), the Military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Departments, the Chairman of the Joint Chiefs of Staff, the Combatant Commands, the Defense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Agencies, and the DoD Field Activities (hereafter referred to collectively as "the DoD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Components").  The term "Military Services," as used herein, refers to the Army, the Navy,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Air Force, the Marine Corps, and the U.S. Coast Guard when it is operating as a Service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Department of the Navy. </w:t>
      </w:r>
    </w:p>
    <w:p>
      <w:pPr>
        <w:autoSpaceDN w:val="0"/>
        <w:autoSpaceDE w:val="0"/>
        <w:widowControl/>
        <w:spacing w:line="320" w:lineRule="exact" w:before="5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DEFINITIONS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88" w:lineRule="exact" w:before="28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Terms used in this Directive are defined in enclosure 2.  Service implementing documents shall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adopt the terms contained herein and shall define those terms exactly as they are defined in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Directive. </w:t>
      </w:r>
    </w:p>
    <w:p>
      <w:pPr>
        <w:autoSpaceDN w:val="0"/>
        <w:autoSpaceDE w:val="0"/>
        <w:widowControl/>
        <w:spacing w:line="320" w:lineRule="exact" w:before="5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POLICY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 is DoD policy to: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4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4.1.  Support the MEO program as a military and economic necessity, as stated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Secretary of Defense (reference (c)), and enforce the provisions of this Directive in developing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operating EO policies and programs at all levels of activity.  Toward that end, Component heads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are charged with promoting EO and affirmative actions, and for eliminating unlawful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discrimination and sexual harassment within the Department. </w:t>
      </w:r>
    </w:p>
    <w:p>
      <w:pPr>
        <w:autoSpaceDN w:val="0"/>
        <w:autoSpaceDE w:val="0"/>
        <w:widowControl/>
        <w:spacing w:line="288" w:lineRule="exact" w:before="280" w:after="0"/>
        <w:ind w:left="0" w:right="144" w:firstLine="4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4.2.  Promote an environment free from personal, social, or institutional barriers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prevent Service members from rising to the highest level of responsibility possible. 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members shall be evaluated only on individual merit, fitness, and capability.  Unlawful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discrimination against persons or groups based on race, color, religion, sex, or national origin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contrary to good order and discipline and is counterproductive to combat readiness and mission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accomplishment.  Unlawful discrimination shall not be condoned. </w:t>
      </w:r>
    </w:p>
    <w:p>
      <w:pPr>
        <w:autoSpaceDN w:val="0"/>
        <w:tabs>
          <w:tab w:pos="4620" w:val="left"/>
        </w:tabs>
        <w:autoSpaceDE w:val="0"/>
        <w:widowControl/>
        <w:spacing w:line="320" w:lineRule="exact" w:before="7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2, 06/08/2015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 </w:t>
      </w:r>
    </w:p>
    <w:p>
      <w:pPr>
        <w:sectPr>
          <w:pgSz w:w="12240" w:h="15840"/>
          <w:pgMar w:top="344" w:right="1360" w:bottom="352" w:left="1440" w:header="720" w:footer="720" w:gutter="0"/>
          <w:cols w:space="720" w:num="1" w:equalWidth="0">
            <w:col w:w="9440" w:space="0"/>
            <w:col w:w="94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DODD 1350.2, August 18, 1995 </w:t>
      </w:r>
    </w:p>
    <w:p>
      <w:pPr>
        <w:autoSpaceDN w:val="0"/>
        <w:autoSpaceDE w:val="0"/>
        <w:widowControl/>
        <w:spacing w:line="288" w:lineRule="exact" w:before="444" w:after="0"/>
        <w:ind w:left="0" w:right="144" w:firstLine="4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4.3.  Use the chain of command to promote, support, and enforce the MEO program. 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chain of command is the primary and preferred channel for identifying and correcting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discriminatory practices.  This includes the processing and resolving of complaints of unlawful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discrimination and sexual harassment, and for ensuring that human relations and EO matters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taken seriously and acted upon as necessary.  The chain of command is responsible for creating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maintaining a MEO environment that incorporates the policies set out in this Directive. </w:t>
      </w:r>
    </w:p>
    <w:p>
      <w:pPr>
        <w:autoSpaceDN w:val="0"/>
        <w:autoSpaceDE w:val="0"/>
        <w:widowControl/>
        <w:spacing w:line="288" w:lineRule="exact" w:before="280" w:after="0"/>
        <w:ind w:left="0" w:right="144" w:firstLine="4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4.4.  Ensure that the Military Services (to include the Reserve components) establish MEO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affirmative action programs that identify and resolve EO problems through formulating,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maintaining, and reviewing affirmative action plans (AAPs) with established objectives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milestones, including accountability in personnel management, consistent with DoD Instruction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1350.3 (reference (f)). </w:t>
      </w:r>
    </w:p>
    <w:p>
      <w:pPr>
        <w:autoSpaceDN w:val="0"/>
        <w:autoSpaceDE w:val="0"/>
        <w:widowControl/>
        <w:spacing w:line="288" w:lineRule="exact" w:before="280" w:after="0"/>
        <w:ind w:left="0" w:right="144" w:firstLine="4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4.5.  Provide periodic, mandatory education and training in EO and human relations 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installation and fleet unit commands, during pre-commissioning programs and initial entry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training, and throughout professional military education (PME) systems, as part of the overall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effort to achieve EO within the Department of Defense.  This training shall be provided to 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Service members, enlisted and officer, including flag and general officers.  The training shall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 comprehensive material on leadership roles and responsibilities for EO programs,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complaints processing, legal implications, reprisal prevention and detection, climate assessment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methodologies, and managing civilian equal employment opportunity (EEO) systems. </w:t>
      </w:r>
    </w:p>
    <w:p>
      <w:pPr>
        <w:autoSpaceDN w:val="0"/>
        <w:tabs>
          <w:tab w:pos="480" w:val="left"/>
        </w:tabs>
        <w:autoSpaceDE w:val="0"/>
        <w:widowControl/>
        <w:spacing w:line="288" w:lineRule="exact" w:before="280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4.6.  Provide for an environment that is free from unlawful discrimination and sexual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harassment.  (See items E2.1.15. and E2.1.16., enclosure 2.)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4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4.7.  Ensure that all on-base activities and, to the extent of the ability of the Department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Defense, any off-base activities available to military personnel are open to all military personnel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their family members regardless of race, color, religion, age, physical or mental disability,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sex, or national origin, as called for by the DoD Human Goals Charter (reference (b)).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4.7.1.  Organizations or administering activities that do not meet this requirement shall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denied the use of military facilities and resources in accordance with DoD Directive 5410.18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(reference (g)). </w:t>
      </w:r>
    </w:p>
    <w:p>
      <w:pPr>
        <w:autoSpaceDN w:val="0"/>
        <w:autoSpaceDE w:val="0"/>
        <w:widowControl/>
        <w:spacing w:line="288" w:lineRule="exact" w:before="280" w:after="0"/>
        <w:ind w:left="0" w:right="288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4.7.2.  Organizations that use on-base facilities, whether on a reimbursable basis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otherwise, must satisfy the responsible area or activity commander that they do not unlawfully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discriminate through their membership requirements or in any of their activities. </w:t>
      </w:r>
    </w:p>
    <w:p>
      <w:pPr>
        <w:autoSpaceDN w:val="0"/>
        <w:autoSpaceDE w:val="0"/>
        <w:widowControl/>
        <w:spacing w:line="288" w:lineRule="exact" w:before="280" w:after="0"/>
        <w:ind w:left="0" w:right="144" w:firstLine="4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4.8.  Oppose discrimination in off-base housing directed against DoD personnel and their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family members.  Each commander shall take actions to overcome such discrimination and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impose off-limits sanctions in housing cases, as required by DoD Instruction 1100.16 (reference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(h)). </w:t>
      </w:r>
    </w:p>
    <w:p>
      <w:pPr>
        <w:autoSpaceDN w:val="0"/>
        <w:tabs>
          <w:tab w:pos="4620" w:val="left"/>
        </w:tabs>
        <w:autoSpaceDE w:val="0"/>
        <w:widowControl/>
        <w:spacing w:line="320" w:lineRule="exact" w:before="13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2, 06/08/2015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 </w:t>
      </w:r>
    </w:p>
    <w:p>
      <w:pPr>
        <w:sectPr>
          <w:pgSz w:w="12240" w:h="15840"/>
          <w:pgMar w:top="344" w:right="1360" w:bottom="352" w:left="1440" w:header="720" w:footer="720" w:gutter="0"/>
          <w:cols w:space="720" w:num="1" w:equalWidth="0">
            <w:col w:w="9440" w:space="0"/>
            <w:col w:w="9440" w:space="0"/>
            <w:col w:w="94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DODD 1350.2, August 18, 1995 </w:t>
      </w:r>
    </w:p>
    <w:p>
      <w:pPr>
        <w:autoSpaceDN w:val="0"/>
        <w:autoSpaceDE w:val="0"/>
        <w:widowControl/>
        <w:spacing w:line="288" w:lineRule="exact" w:before="444" w:after="0"/>
        <w:ind w:left="0" w:right="0" w:firstLine="4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4.9.  Impose, as required, off-limits sanctions through the cognizant Armed Forces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Disciplinary Control Board in cases of discrimination involving places of public accommodation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outside military installations. </w:t>
      </w:r>
    </w:p>
    <w:p>
      <w:pPr>
        <w:autoSpaceDN w:val="0"/>
        <w:autoSpaceDE w:val="0"/>
        <w:widowControl/>
        <w:spacing w:line="568" w:lineRule="exact" w:before="288" w:after="0"/>
        <w:ind w:left="0" w:right="504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ORGANIZATIONS AND FUNCTIONS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  There is established a DEOC. </w:t>
      </w:r>
    </w:p>
    <w:p>
      <w:pPr>
        <w:autoSpaceDN w:val="0"/>
        <w:tabs>
          <w:tab w:pos="1440" w:val="left"/>
        </w:tabs>
        <w:autoSpaceDE w:val="0"/>
        <w:widowControl/>
        <w:spacing w:line="568" w:lineRule="exact" w:before="0" w:after="0"/>
        <w:ind w:left="9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5.1.1.  It shall: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5.1.1.1.  Advise the Secretary of Defense on policies for EO matters. </w:t>
      </w:r>
    </w:p>
    <w:p>
      <w:pPr>
        <w:autoSpaceDN w:val="0"/>
        <w:autoSpaceDE w:val="0"/>
        <w:widowControl/>
        <w:spacing w:line="568" w:lineRule="exact" w:before="0" w:after="0"/>
        <w:ind w:left="144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5.1.1.2.  Coordinate policy and review the military and civilian EO programs.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5.1.1.3.  Monitor progress of program elements. </w:t>
      </w:r>
    </w:p>
    <w:p>
      <w:pPr>
        <w:autoSpaceDN w:val="0"/>
        <w:tabs>
          <w:tab w:pos="1440" w:val="left"/>
        </w:tabs>
        <w:autoSpaceDE w:val="0"/>
        <w:widowControl/>
        <w:spacing w:line="288" w:lineRule="exact" w:before="28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5.1.1.4.  Assist in developing policy guidance for education and training in EO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human relations for DoD personnel. </w:t>
      </w:r>
    </w:p>
    <w:p>
      <w:pPr>
        <w:autoSpaceDN w:val="0"/>
        <w:autoSpaceDE w:val="0"/>
        <w:widowControl/>
        <w:spacing w:line="320" w:lineRule="exact" w:before="248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5.1.1.5.  Provide oversight and ensure resourcing for the DEOMI. </w:t>
      </w:r>
    </w:p>
    <w:p>
      <w:pPr>
        <w:autoSpaceDN w:val="0"/>
        <w:tabs>
          <w:tab w:pos="1440" w:val="left"/>
        </w:tabs>
        <w:autoSpaceDE w:val="0"/>
        <w:widowControl/>
        <w:spacing w:line="568" w:lineRule="exact" w:before="0" w:after="0"/>
        <w:ind w:left="9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5.1.2.  It shall consist of: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5.1.2.1.  The Deputy Secretary of Defense, who shall serve as Chair. </w:t>
      </w:r>
    </w:p>
    <w:p>
      <w:pPr>
        <w:autoSpaceDN w:val="0"/>
        <w:tabs>
          <w:tab w:pos="1440" w:val="left"/>
        </w:tabs>
        <w:autoSpaceDE w:val="0"/>
        <w:widowControl/>
        <w:spacing w:line="288" w:lineRule="exact" w:before="28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5.1.2.2.  The Under Secretary of Defense for Personnel and Readiness, who shall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serve as the Vice-chair. </w:t>
      </w:r>
    </w:p>
    <w:p>
      <w:pPr>
        <w:autoSpaceDN w:val="0"/>
        <w:tabs>
          <w:tab w:pos="1440" w:val="left"/>
        </w:tabs>
        <w:autoSpaceDE w:val="0"/>
        <w:widowControl/>
        <w:spacing w:line="288" w:lineRule="exact" w:before="280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5.1.2.3.  The Deputy Assistant Secretary of Defense for Equal Opportunity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(DASD(EO)), who shall serve as the Executive Secretary. </w:t>
      </w:r>
    </w:p>
    <w:p>
      <w:pPr>
        <w:autoSpaceDN w:val="0"/>
        <w:autoSpaceDE w:val="0"/>
        <w:widowControl/>
        <w:spacing w:line="322" w:lineRule="exact" w:before="24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5.1.2.4.  The Under Secretaries of Defense. </w:t>
      </w:r>
    </w:p>
    <w:p>
      <w:pPr>
        <w:autoSpaceDN w:val="0"/>
        <w:autoSpaceDE w:val="0"/>
        <w:widowControl/>
        <w:spacing w:line="320" w:lineRule="exact" w:before="248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5.1.2.5.  The Secretaries of the Military Departments. </w:t>
      </w:r>
    </w:p>
    <w:p>
      <w:pPr>
        <w:autoSpaceDN w:val="0"/>
        <w:autoSpaceDE w:val="0"/>
        <w:widowControl/>
        <w:spacing w:line="320" w:lineRule="exact" w:before="248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5.1.2.6.  The Chairman of the Joint Chiefs of Staff. </w:t>
      </w:r>
    </w:p>
    <w:p>
      <w:pPr>
        <w:autoSpaceDN w:val="0"/>
        <w:autoSpaceDE w:val="0"/>
        <w:widowControl/>
        <w:spacing w:line="322" w:lineRule="exact" w:before="246" w:after="188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5.1.2.7.  The General Counsel of the Department of Defense.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72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(ASD(FMP)). </w:t>
            </w:r>
          </w:p>
        </w:tc>
        <w:tc>
          <w:tcPr>
            <w:tcW w:type="dxa" w:w="7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5.1.2.8.  The Assistant Secretary of Defense for Force Management Policy </w:t>
            </w:r>
          </w:p>
        </w:tc>
      </w:tr>
    </w:tbl>
    <w:p>
      <w:pPr>
        <w:autoSpaceDN w:val="0"/>
        <w:tabs>
          <w:tab w:pos="1440" w:val="left"/>
        </w:tabs>
        <w:autoSpaceDE w:val="0"/>
        <w:widowControl/>
        <w:spacing w:line="288" w:lineRule="exact" w:before="220" w:after="0"/>
        <w:ind w:left="0" w:right="129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5.1.2.9.  The Assistant Secretary of Defense for Command, Control,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Communications, and Intelligence. </w:t>
      </w:r>
    </w:p>
    <w:p>
      <w:pPr>
        <w:autoSpaceDN w:val="0"/>
        <w:tabs>
          <w:tab w:pos="4620" w:val="left"/>
        </w:tabs>
        <w:autoSpaceDE w:val="0"/>
        <w:widowControl/>
        <w:spacing w:line="320" w:lineRule="exact" w:before="5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2, 06/08/2015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 </w:t>
      </w:r>
    </w:p>
    <w:p>
      <w:pPr>
        <w:sectPr>
          <w:pgSz w:w="12240" w:h="15840"/>
          <w:pgMar w:top="344" w:right="1360" w:bottom="352" w:left="1440" w:header="720" w:footer="720" w:gutter="0"/>
          <w:cols w:space="720" w:num="1" w:equalWidth="0">
            <w:col w:w="9440" w:space="0"/>
            <w:col w:w="9440" w:space="0"/>
            <w:col w:w="9440" w:space="0"/>
            <w:col w:w="94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DODD 1350.2, August 18, 1995 </w:t>
      </w:r>
    </w:p>
    <w:p>
      <w:pPr>
        <w:autoSpaceDN w:val="0"/>
        <w:tabs>
          <w:tab w:pos="1440" w:val="left"/>
        </w:tabs>
        <w:autoSpaceDE w:val="0"/>
        <w:widowControl/>
        <w:spacing w:line="288" w:lineRule="exact" w:before="444" w:after="0"/>
        <w:ind w:left="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5.1.2.10.  The Director of Administration and Management, Office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Secretary of Defense. </w:t>
      </w:r>
    </w:p>
    <w:p>
      <w:pPr>
        <w:autoSpaceDN w:val="0"/>
        <w:autoSpaceDE w:val="0"/>
        <w:widowControl/>
        <w:spacing w:line="322" w:lineRule="exact" w:before="246" w:after="0"/>
        <w:ind w:left="4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  There is established a DEOMI.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5.2.1.  The mission of DEOMI is to enhance combat and operational readiness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enhancing unit and organizational leadership and cohesion.  This is accomplished by developing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conducting education and training in the administration of military, EO, EEO, and human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relations. </w:t>
      </w:r>
    </w:p>
    <w:p>
      <w:pPr>
        <w:autoSpaceDN w:val="0"/>
        <w:tabs>
          <w:tab w:pos="1440" w:val="left"/>
        </w:tabs>
        <w:autoSpaceDE w:val="0"/>
        <w:widowControl/>
        <w:spacing w:line="288" w:lineRule="exact" w:before="28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5.2.1.1.  The primary focus of DEOMI shall be on the training and education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and Coast Guard military and civilian personnel to include the following: </w:t>
      </w:r>
    </w:p>
    <w:p>
      <w:pPr>
        <w:autoSpaceDN w:val="0"/>
        <w:autoSpaceDE w:val="0"/>
        <w:widowControl/>
        <w:spacing w:line="288" w:lineRule="exact" w:before="280" w:after="0"/>
        <w:ind w:left="0" w:right="288" w:firstLine="19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5.2.1.1.1.  Providing primary training for all DoD military and civilian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personnel assigned to EO, EEO, and human relations programs, to include training on policies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programs on the prevention of sexual harassment and participation in extremist activities.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Contractors retained by Defense organizations to perform EO/EEO-related functions shall also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afforded space available access to this training on a reimbursable basis.  The full cost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contractor attendees shall be the sole responsibility of the sponsoring organization. </w:t>
      </w:r>
    </w:p>
    <w:p>
      <w:pPr>
        <w:autoSpaceDN w:val="0"/>
        <w:autoSpaceDE w:val="0"/>
        <w:widowControl/>
        <w:spacing w:line="288" w:lineRule="exact" w:before="280" w:after="0"/>
        <w:ind w:left="0" w:right="288" w:firstLine="19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5.2.1.1.2.  Providing special seminars and briefings for senior civilian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military leaders, including a mandatory 2-day program for all officers newly appointed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grade of brigadier general or rear admiral (lower half) and all new members of the Senior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Executive Service, and training for officers in the grade of major general and rear admiral,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above, and DoD civilians serving in Executive Schedule positions.  To the extent possible,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speakers and instructors for the mandatory 2-day program should at least be at a grade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comparable to the target audience.  The curricula for those courses shall be reviewed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approved by the ASD(FMP). </w:t>
      </w:r>
    </w:p>
    <w:p>
      <w:pPr>
        <w:autoSpaceDN w:val="0"/>
        <w:autoSpaceDE w:val="0"/>
        <w:widowControl/>
        <w:spacing w:line="288" w:lineRule="exact" w:before="280" w:after="0"/>
        <w:ind w:left="0" w:right="432" w:firstLine="19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5.2.1.1.3.  Providing assistance or consultation services, upon request,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organizations, including professional military education (PME) schools in developing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curricula and educational materials for EO, EEO, and human relations education. </w:t>
      </w:r>
    </w:p>
    <w:p>
      <w:pPr>
        <w:autoSpaceDN w:val="0"/>
        <w:autoSpaceDE w:val="0"/>
        <w:widowControl/>
        <w:spacing w:line="288" w:lineRule="exact" w:before="280" w:after="188"/>
        <w:ind w:left="0" w:right="0" w:firstLine="19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5.2.1.1.4.  Disseminating educational training materials to assist EO/EEO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advisors and human relations instructors in remaining current in the EO/EEO subject area and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otherwise developing professionally.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728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4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following: </w:t>
            </w:r>
          </w:p>
        </w:tc>
        <w:tc>
          <w:tcPr>
            <w:tcW w:type="dxa" w:w="7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2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5.2.1.2.  Additional functions and activities of DEOMI shall include the </w:t>
            </w:r>
          </w:p>
        </w:tc>
      </w:tr>
    </w:tbl>
    <w:p>
      <w:pPr>
        <w:autoSpaceDN w:val="0"/>
        <w:autoSpaceDE w:val="0"/>
        <w:widowControl/>
        <w:spacing w:line="288" w:lineRule="exact" w:before="220" w:after="0"/>
        <w:ind w:left="0" w:right="576" w:firstLine="19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5.2.1.2.1.  Performing EO, EEO, and human relations research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Military Services, special research-related projects on request in support of the DEOC,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acting as a clearinghouse to monitor and disseminate research findings relavent to DoD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Coast Guard activities on EO, EEO, and human relations. </w:t>
      </w:r>
    </w:p>
    <w:p>
      <w:pPr>
        <w:autoSpaceDN w:val="0"/>
        <w:tabs>
          <w:tab w:pos="4620" w:val="left"/>
        </w:tabs>
        <w:autoSpaceDE w:val="0"/>
        <w:widowControl/>
        <w:spacing w:line="320" w:lineRule="exact" w:before="76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2, 06/08/2015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 </w:t>
      </w:r>
    </w:p>
    <w:p>
      <w:pPr>
        <w:sectPr>
          <w:pgSz w:w="12240" w:h="15840"/>
          <w:pgMar w:top="344" w:right="1360" w:bottom="352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DODD 1350.2, August 18, 1995 </w:t>
      </w:r>
    </w:p>
    <w:p>
      <w:pPr>
        <w:autoSpaceDN w:val="0"/>
        <w:autoSpaceDE w:val="0"/>
        <w:widowControl/>
        <w:spacing w:line="288" w:lineRule="exact" w:before="444" w:after="0"/>
        <w:ind w:left="0" w:right="0" w:firstLine="19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5.2.1.2.2.  Developing procedures for the dissemination of reference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resources, lesson plans, research papers, and demographic databases that support programs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outlined in this Directive through the use of existing computer-based electronic systems, such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electronic mail and establishment of a world wide web page on the internet and technologies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such as teleconferencing to support EO/EEO advisors and specialists throughout the Military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Services, and to link DoD human relations professionals, senior commanders, and Heads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Defense Agencies and DoD Field Activities worldwide.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19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5.2.1.2.3.  Supporting research on the EO/EEO climate and sexual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harassment in the Military Services and administering the Military Equal Opportunity Climate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Survey (MEOCS) program as a by-request service for commanders and organization heads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throughout the Department of Defense.  DEOMI is authorized to conduct, in coordination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Defense Manpower Data Center (DMDC), periodic random sample EO/EEO or human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relations surveys of the Services and relevant Service subgroups to determine the status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EO/EEO climate in the Department of Defense.  For other surveys, DEOMI shall coordinate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DMDC and the Services involved before conducting surveys and research involving their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members. </w:t>
      </w:r>
    </w:p>
    <w:p>
      <w:pPr>
        <w:autoSpaceDN w:val="0"/>
        <w:autoSpaceDE w:val="0"/>
        <w:widowControl/>
        <w:spacing w:line="288" w:lineRule="exact" w:before="280" w:after="0"/>
        <w:ind w:left="0" w:right="144" w:firstLine="19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5.2.1.2.4.  Serving in an advisory capacity to other Federal Departments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Agencies and to State and local governments and private sector organizations, as determined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DEOMI Commandant consistent with applicable law and regulations and after consultation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the ASD(FMP) through the DASD(EO).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5.2.2.  The DEOMI shall operate under the supervision, direction, and policy guidance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 ASD(FMP), through the DASD(EO).  It shall be located as a tenant on Patrick Air Force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Base, Florida, or another installation, as determined by the ASD(FMP).  While located as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tenant at Patrick Air Force Base, the DEOMI shall be supported administratively and logistically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the USD(P&amp;R) and the Secretary of the Air Force in his or her capacity as the DoD Executive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Agent for DEOMI as designated in DoD Directive 1020.02E (Reference (p)). </w:t>
      </w:r>
    </w:p>
    <w:p>
      <w:pPr>
        <w:autoSpaceDN w:val="0"/>
        <w:autoSpaceDE w:val="0"/>
        <w:widowControl/>
        <w:spacing w:line="288" w:lineRule="exact" w:before="280" w:after="0"/>
        <w:ind w:left="0" w:right="144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5.2.3.  The publications and research projects of DEOMI shall be reviewed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approved by an Editorial and Research Review Panel that shall be appointed by the ASD(FMP),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include representation from the Military Departments.  The panel shall approve all material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proposed for publication and distribution by DEOMI with the exception of curricula, periodic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newsletters and similar materials.  The Panel shall review and approve all new research projects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before initiation. </w:t>
      </w:r>
    </w:p>
    <w:p>
      <w:pPr>
        <w:autoSpaceDN w:val="0"/>
        <w:autoSpaceDE w:val="0"/>
        <w:widowControl/>
        <w:spacing w:line="288" w:lineRule="exact" w:before="280" w:after="0"/>
        <w:ind w:left="0" w:right="288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5.2.4.  The policy and procedures governing academic freedom and nonattribution 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DEOMI shall be consistent with those established at the National Defense University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determined by the DEOMI Commandant. </w:t>
      </w:r>
    </w:p>
    <w:p>
      <w:pPr>
        <w:autoSpaceDN w:val="0"/>
        <w:tabs>
          <w:tab w:pos="960" w:val="left"/>
        </w:tabs>
        <w:autoSpaceDE w:val="0"/>
        <w:widowControl/>
        <w:spacing w:line="288" w:lineRule="exact" w:before="28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5.2.5.  Personnel nominated or selected for assignment to DEOMI shall meet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following criteria: </w:t>
      </w:r>
    </w:p>
    <w:p>
      <w:pPr>
        <w:autoSpaceDN w:val="0"/>
        <w:tabs>
          <w:tab w:pos="4620" w:val="left"/>
        </w:tabs>
        <w:autoSpaceDE w:val="0"/>
        <w:widowControl/>
        <w:spacing w:line="320" w:lineRule="exact" w:before="102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2, 06/08/2015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 </w:t>
      </w:r>
    </w:p>
    <w:p>
      <w:pPr>
        <w:sectPr>
          <w:pgSz w:w="12240" w:h="15840"/>
          <w:pgMar w:top="344" w:right="1360" w:bottom="352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DODD 1350.2, August 18, 1995 </w:t>
      </w:r>
    </w:p>
    <w:p>
      <w:pPr>
        <w:autoSpaceDN w:val="0"/>
        <w:autoSpaceDE w:val="0"/>
        <w:widowControl/>
        <w:spacing w:line="288" w:lineRule="exact" w:before="444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5.2.5.1.  The Commandant shall be selected by the ASD(FMP).  That position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shall rotate among representatives nominated by the Departments of the Army, the Navy,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Air Force. </w:t>
      </w:r>
    </w:p>
    <w:p>
      <w:pPr>
        <w:autoSpaceDN w:val="0"/>
        <w:autoSpaceDE w:val="0"/>
        <w:widowControl/>
        <w:spacing w:line="288" w:lineRule="exact" w:before="280" w:after="188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5.2.5.2.  The ASD(FMP) shall establish criteria for assigning officers and enlisted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personnel from the Military Services, including personnel of the U.S. Coast Guard and Reserve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components, to faculty and staff positions at DEOMI.  The minimum criteria for instructional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staff assignments to DEOMI shall include the following: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72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4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(all). </w:t>
            </w:r>
          </w:p>
        </w:tc>
        <w:tc>
          <w:tcPr>
            <w:tcW w:type="dxa" w:w="7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7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5.2.5.2.1.  Successful completion of the DEOMI EO staff advisor course </w:t>
            </w:r>
          </w:p>
        </w:tc>
      </w:tr>
    </w:tbl>
    <w:p>
      <w:pPr>
        <w:autoSpaceDN w:val="0"/>
        <w:autoSpaceDE w:val="0"/>
        <w:widowControl/>
        <w:spacing w:line="320" w:lineRule="exact" w:before="188" w:after="186"/>
        <w:ind w:left="19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5.2.5.2.2.   Possession of an undergraduate degree (officer).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73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4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(all). </w:t>
            </w:r>
          </w:p>
        </w:tc>
        <w:tc>
          <w:tcPr>
            <w:tcW w:type="dxa" w:w="7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7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5.2.5.2.3.  Satisfactory completion of Service Instructor Training School </w:t>
            </w:r>
          </w:p>
        </w:tc>
      </w:tr>
    </w:tbl>
    <w:p>
      <w:pPr>
        <w:autoSpaceDN w:val="0"/>
        <w:autoSpaceDE w:val="0"/>
        <w:widowControl/>
        <w:spacing w:line="320" w:lineRule="exact" w:before="188" w:after="0"/>
        <w:ind w:left="19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5.2.5.2.4.  At least one successful tour as an EOA (enlisted). </w:t>
      </w:r>
    </w:p>
    <w:p>
      <w:pPr>
        <w:autoSpaceDN w:val="0"/>
        <w:tabs>
          <w:tab w:pos="1920" w:val="left"/>
        </w:tabs>
        <w:autoSpaceDE w:val="0"/>
        <w:widowControl/>
        <w:spacing w:line="288" w:lineRule="exact" w:before="28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5.2.5.2.5.  Possession of associate (2-year) degree or equivalent level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college credit or experience (enlisted). </w:t>
      </w:r>
    </w:p>
    <w:p>
      <w:pPr>
        <w:autoSpaceDN w:val="0"/>
        <w:tabs>
          <w:tab w:pos="1920" w:val="left"/>
        </w:tabs>
        <w:autoSpaceDE w:val="0"/>
        <w:widowControl/>
        <w:spacing w:line="288" w:lineRule="exact" w:before="28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5.2.5.2.6.  Individual and Service action, as necessary, to ensure a minimum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3 years service following assignment to DEOMI (all). </w:t>
      </w:r>
    </w:p>
    <w:p>
      <w:pPr>
        <w:autoSpaceDN w:val="0"/>
        <w:autoSpaceDE w:val="0"/>
        <w:widowControl/>
        <w:spacing w:line="320" w:lineRule="exact" w:before="248" w:after="0"/>
        <w:ind w:left="9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5.2.6.  The Commandant of DEOMI shall: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5.2.6.1.  Prepare and update annually a 5-year plan for the DEOMI and DEOMI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programs.  The plan shall include priorities and projections that reflect the needs of the users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DEOMI services based on DoD Component input.  The 5-year plan is subject to approval by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ASD(FMP). </w:t>
      </w:r>
    </w:p>
    <w:p>
      <w:pPr>
        <w:autoSpaceDN w:val="0"/>
        <w:autoSpaceDE w:val="0"/>
        <w:widowControl/>
        <w:spacing w:line="288" w:lineRule="exact" w:before="28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5.2.6.2.  Consult with the Military Services and the Chairman of the Joint Chiefs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Staff and their respective educational activities, as applicable, to obtain assistance on training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methods and technologies and curriculum development and to ensure that DEOMI training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responsive to the needs of its customers. </w:t>
      </w:r>
    </w:p>
    <w:p>
      <w:pPr>
        <w:autoSpaceDN w:val="0"/>
        <w:autoSpaceDE w:val="0"/>
        <w:widowControl/>
        <w:spacing w:line="288" w:lineRule="exact" w:before="28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5.2.6.3.  Conduct consultation and bench marking with organizations inside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outside of the Department of Defense, as applicable, to incorporate new technologies,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methodologies, and material to enhance the capabilities and products of DEOMI. </w:t>
      </w:r>
    </w:p>
    <w:p>
      <w:pPr>
        <w:autoSpaceDN w:val="0"/>
        <w:autoSpaceDE w:val="0"/>
        <w:widowControl/>
        <w:spacing w:line="288" w:lineRule="exact" w:before="28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5.2.6.4.  Produce EO/EEO course graduates who are able to effectively meet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Service requirements in the field with minimum on the job training and orientation in their new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position to include the ability to effectively apply EO/EEO facilitation skills in the field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environment. </w:t>
      </w:r>
    </w:p>
    <w:p>
      <w:pPr>
        <w:autoSpaceDN w:val="0"/>
        <w:tabs>
          <w:tab w:pos="4620" w:val="left"/>
        </w:tabs>
        <w:autoSpaceDE w:val="0"/>
        <w:widowControl/>
        <w:spacing w:line="320" w:lineRule="exact" w:before="4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2, 06/08/2015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 </w:t>
      </w:r>
    </w:p>
    <w:p>
      <w:pPr>
        <w:sectPr>
          <w:pgSz w:w="12240" w:h="15840"/>
          <w:pgMar w:top="344" w:right="1360" w:bottom="352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DODD 1350.2, August 18, 1995 </w:t>
      </w:r>
    </w:p>
    <w:p>
      <w:pPr>
        <w:autoSpaceDN w:val="0"/>
        <w:tabs>
          <w:tab w:pos="480" w:val="left"/>
          <w:tab w:pos="960" w:val="left"/>
        </w:tabs>
        <w:autoSpaceDE w:val="0"/>
        <w:widowControl/>
        <w:spacing w:line="568" w:lineRule="exact" w:before="732" w:after="0"/>
        <w:ind w:left="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RESPONSIBILITIES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6.1. 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Under Secretary of Defense for Personnel and Readiness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shall: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6.1.1.  Develop overall MEO policy. </w:t>
      </w:r>
    </w:p>
    <w:p>
      <w:pPr>
        <w:autoSpaceDN w:val="0"/>
        <w:autoSpaceDE w:val="0"/>
        <w:widowControl/>
        <w:spacing w:line="322" w:lineRule="exact" w:before="246" w:after="0"/>
        <w:ind w:left="9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6.1.2.  Monitor compliance with this Directive. </w:t>
      </w:r>
    </w:p>
    <w:p>
      <w:pPr>
        <w:autoSpaceDN w:val="0"/>
        <w:autoSpaceDE w:val="0"/>
        <w:widowControl/>
        <w:spacing w:line="320" w:lineRule="exact" w:before="248" w:after="0"/>
        <w:ind w:left="9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6.1.3.  Serve as the Vice-chair of the DEOC. </w:t>
      </w:r>
    </w:p>
    <w:p>
      <w:pPr>
        <w:autoSpaceDN w:val="0"/>
        <w:tabs>
          <w:tab w:pos="960" w:val="left"/>
          <w:tab w:pos="1440" w:val="left"/>
        </w:tabs>
        <w:autoSpaceDE w:val="0"/>
        <w:widowControl/>
        <w:spacing w:line="428" w:lineRule="exact" w:before="14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6.1.4.  Ensure that the ASD(FMP):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6.1.4.1.  Represents and advises him or her in MEO matters consistent with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Directive 5124.2 (reference (j)). </w:t>
      </w:r>
    </w:p>
    <w:p>
      <w:pPr>
        <w:autoSpaceDN w:val="0"/>
        <w:autoSpaceDE w:val="0"/>
        <w:widowControl/>
        <w:spacing w:line="320" w:lineRule="exact" w:before="248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6.1.4.2.  Serves as a member of the DEOC.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6.1.4.3.  Exercises authority and direction over the Office of the Deputy Assistant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Secretary of Defense for Equal Opportunity in developing DoD programs to ensure EO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military personnel in the total force. </w:t>
      </w:r>
    </w:p>
    <w:p>
      <w:pPr>
        <w:autoSpaceDN w:val="0"/>
        <w:tabs>
          <w:tab w:pos="1440" w:val="left"/>
        </w:tabs>
        <w:autoSpaceDE w:val="0"/>
        <w:widowControl/>
        <w:spacing w:line="288" w:lineRule="exact" w:before="280" w:after="188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6.1.4.4.  Develops, executes, and monitors the effectiveness of MEO policies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support of national security objectives.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72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4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Directive. </w:t>
            </w:r>
          </w:p>
        </w:tc>
        <w:tc>
          <w:tcPr>
            <w:tcW w:type="dxa" w:w="7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6.1.4.5.  Ensures that the DoD Components fulfill the requirements of this </w:t>
            </w:r>
          </w:p>
        </w:tc>
      </w:tr>
    </w:tbl>
    <w:p>
      <w:pPr>
        <w:autoSpaceDN w:val="0"/>
        <w:tabs>
          <w:tab w:pos="1440" w:val="left"/>
        </w:tabs>
        <w:autoSpaceDE w:val="0"/>
        <w:widowControl/>
        <w:spacing w:line="288" w:lineRule="exact" w:before="22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6.1.4.6.  Provides supervision, direction, and policy guidance to DEOMI through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DASD(EO) and selects the Commandant of DEOMI from Military Service nominations. </w:t>
      </w:r>
    </w:p>
    <w:p>
      <w:pPr>
        <w:autoSpaceDN w:val="0"/>
        <w:autoSpaceDE w:val="0"/>
        <w:widowControl/>
        <w:spacing w:line="288" w:lineRule="exact" w:before="280" w:after="0"/>
        <w:ind w:left="0" w:right="576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6.1.4.7.  Establishes reporting categories and monitors specific goals to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included in the affirmative action programs and annual MEO assessments of each Military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Service under DoD Instruction 1350.3 (reference (f)). </w:t>
      </w:r>
    </w:p>
    <w:p>
      <w:pPr>
        <w:autoSpaceDN w:val="0"/>
        <w:autoSpaceDE w:val="0"/>
        <w:widowControl/>
        <w:spacing w:line="288" w:lineRule="exact" w:before="28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6.1.4.8.  Reviews and refers to the appropriate Military Service all complaints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unlawful discrimination (to include sexual harassment) sent to the Secretary of Defense or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Secretary of Defense for Personnel and Readiness (USD(P&amp;R)).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6.1.4.9.  Ensures fair, impartial, and timely investigation, resolution, and follow-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up, to include feedback to complainants, of all formal complaints of discrimination arising under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Directive at all levels within the Department of Defense, consistent with 5 U.S.C. 552a, "The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Privacy Act of 1974" (reference (k)), and implementing DoD guidance. </w:t>
      </w:r>
    </w:p>
    <w:p>
      <w:pPr>
        <w:autoSpaceDN w:val="0"/>
        <w:tabs>
          <w:tab w:pos="4620" w:val="left"/>
        </w:tabs>
        <w:autoSpaceDE w:val="0"/>
        <w:widowControl/>
        <w:spacing w:line="320" w:lineRule="exact" w:before="8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2, 06/08/2015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 </w:t>
      </w:r>
    </w:p>
    <w:p>
      <w:pPr>
        <w:sectPr>
          <w:pgSz w:w="12240" w:h="15840"/>
          <w:pgMar w:top="344" w:right="1360" w:bottom="352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DODD 1350.2, August 18, 1995 </w:t>
      </w:r>
    </w:p>
    <w:p>
      <w:pPr>
        <w:autoSpaceDN w:val="0"/>
        <w:tabs>
          <w:tab w:pos="1440" w:val="left"/>
        </w:tabs>
        <w:autoSpaceDE w:val="0"/>
        <w:widowControl/>
        <w:spacing w:line="288" w:lineRule="exact" w:before="444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6.1.4.10.  Establishes procedures for recurring annual reviews of DEOMI services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a biennial review of DEOMI curricula. </w:t>
      </w:r>
    </w:p>
    <w:p>
      <w:pPr>
        <w:autoSpaceDN w:val="0"/>
        <w:tabs>
          <w:tab w:pos="480" w:val="left"/>
        </w:tabs>
        <w:autoSpaceDE w:val="0"/>
        <w:widowControl/>
        <w:spacing w:line="288" w:lineRule="exact" w:before="28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6.2. 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Secretaries of the Military Departments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are responsible for EO and for ensuring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compliance wi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th this Directive within their respective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Services and shall: </w:t>
      </w:r>
    </w:p>
    <w:p>
      <w:pPr>
        <w:autoSpaceDN w:val="0"/>
        <w:autoSpaceDE w:val="0"/>
        <w:widowControl/>
        <w:spacing w:line="288" w:lineRule="exact" w:before="280" w:after="0"/>
        <w:ind w:left="0" w:right="144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6.2.1.  Ensure that all DoD EO policies and programs are understood and executed 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levels of military command and that EO programs and protection extend to Service members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who serve in joint-duty positions. </w:t>
      </w:r>
    </w:p>
    <w:p>
      <w:pPr>
        <w:autoSpaceDN w:val="0"/>
        <w:autoSpaceDE w:val="0"/>
        <w:widowControl/>
        <w:spacing w:line="288" w:lineRule="exact" w:before="280" w:after="0"/>
        <w:ind w:left="0" w:right="288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6.2.2.  Require commanders to assess their organizational EO climate, preferably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 of their assumption of command, and schedule follow-up assessments periodically during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their command tenure.  Commanders shall be held accountable for the EO climates in their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commands.  See item E2.1.7., enclosure 2.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6.2.3.  Continuously review and update documents and eliminate practices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unlawfully discriminate against military personnel based on race, religion, color, sex, or national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origin.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6.2.4.  Develop policies to prevent unlawful discrimination and sexual harassment,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 that commanders prominently post and enforce them.  Personnel should be made aware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 policies and procedures for filing a complaint of reprisal under DoD Directive 7050.6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(reference (l)).  Violations of the policies set forth in this Directive may constitute violations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specific articles of the Uniform Code of Military Justice (UCMJ) (reference (m)).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6.2.5.  Establish and publish complaint procedures.  These procedures shall cover both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formal and informal means for resolving complaints and shall include timelines for resolution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(normally 60 days), feedback, and follow-up mechanisms, as well as examples of prohibited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reprisal actions and measures that can be taken to counter these actions.  Reserve component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timelines should take drilling periods into account.  To deal effectively with reprisals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Reserve components, follow-up on sexual harassment and discrimination cases in the National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Guard and Reserves should extend through a period of 1 year following conflict resolution. </w:t>
      </w:r>
    </w:p>
    <w:p>
      <w:pPr>
        <w:autoSpaceDN w:val="0"/>
        <w:autoSpaceDE w:val="0"/>
        <w:widowControl/>
        <w:spacing w:line="288" w:lineRule="exact" w:before="32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Ensure that all discrimination complaints are investigated in a fair, impartial, and prompt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manner, and that all reports of investigation of formal complaints are reviewed for legal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sufficiency.  Ensure that appropriate disciplinary and corrective actions are taken if unlawful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discrimination or reprisal is substantiated.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6.2.6.  Feed back information about both the status and outcome of the complaint; e.g.,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who is investigating, projected completion date, and whether the allegations were substantiated.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When requested, the complainant should be provided a copy of the investigating officer's final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report, redacted as necessary to comply with the Privacy Act of 1974 (reference (k)) and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applicable laws and regulations.  Information about specific adverse actions taken against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 is generally not disclosed unless such information is a matter of public record (e.g.,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court-martial proceedings) or when otherwise required to be released by statute. </w:t>
      </w:r>
    </w:p>
    <w:p>
      <w:pPr>
        <w:autoSpaceDN w:val="0"/>
        <w:tabs>
          <w:tab w:pos="4620" w:val="left"/>
        </w:tabs>
        <w:autoSpaceDE w:val="0"/>
        <w:widowControl/>
        <w:spacing w:line="320" w:lineRule="exact" w:before="7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2, 06/08/2015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 </w:t>
      </w:r>
    </w:p>
    <w:p>
      <w:pPr>
        <w:sectPr>
          <w:pgSz w:w="12240" w:h="15840"/>
          <w:pgMar w:top="344" w:right="1360" w:bottom="352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DODD 1350.2, August 18, 1995 </w:t>
      </w:r>
    </w:p>
    <w:p>
      <w:pPr>
        <w:autoSpaceDN w:val="0"/>
        <w:autoSpaceDE w:val="0"/>
        <w:widowControl/>
        <w:spacing w:line="288" w:lineRule="exact" w:before="444" w:after="0"/>
        <w:ind w:left="0" w:right="576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6.2.7.  Develop forms for the documentation of each step in the formal complaint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process, including pre-decision updates and post-decision follow-ups with the complainant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consistent with the Privacy Act of 1974 (reference (k)) and implementing DoD guidance. </w:t>
      </w:r>
    </w:p>
    <w:p>
      <w:pPr>
        <w:autoSpaceDN w:val="0"/>
        <w:autoSpaceDE w:val="0"/>
        <w:widowControl/>
        <w:spacing w:line="288" w:lineRule="exact" w:before="32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Complaint forms and reporting systems should clearly identify the duty status involved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Reserve component cases.  Service members should be encouraged to file complaints promptly,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normally within 60 days of the incident.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6.2.8.  Provide a central point of contact at the installation level or below, staffed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qualified and trained EO counselors, to receive formal complaints of unlawful discrimination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sexual harassment.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6.2.9.  Establish toll-free or local hot (or advice) lines that provide information on how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where to file complaints and what kinds of behaviors constitute unlawful discrimination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sexual harassment.  Personnel working these lines shall be fully trained to address National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Guard and Reserve component situations in addition to those on active duty.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6.2.10.  Establish criteria for the appeal of administrative findings of formal complaints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unlawful discrimination and sexual harassment.  The sole mechanism for appealing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disposition of an informal complaint shall be to file a formal complaint.  The first-level appeal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administrative finding on a formal complaint should be to an installation-level commander,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or, in the case of personnel not assigned to an installation (e.g., on ships), to the first commander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chain with general court-martial convening authority.  Subsequent and final appeal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procedures should be established within each Service at the level of the Secretary of the Military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Department.  The appeal procedure should not be an adversarial process, nor does it require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personal appearances or hearing rights.  The Secretary or other designated official will decide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appeal based on the written record and any written arguments submitted with the appeal. 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appeal authority may sustain or overrule the finding below or remand the matter for further fact-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finding. </w:t>
      </w:r>
    </w:p>
    <w:p>
      <w:pPr>
        <w:autoSpaceDN w:val="0"/>
        <w:tabs>
          <w:tab w:pos="1440" w:val="left"/>
        </w:tabs>
        <w:autoSpaceDE w:val="0"/>
        <w:widowControl/>
        <w:spacing w:line="288" w:lineRule="exact" w:before="28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6.2.10.1.  Both the complainant and the subject(s) of the complaint may appeal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administrative findings of discrimination or no discrimination.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6.2.10.2.  To avoid delaying or impeding the prompt and effective resolution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complaints, commanders are not required to withhold appropriate administrative action while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appeal is pending.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6.2.10.3.  This administrative appeal process is not applicable to findings rendered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pursuant to command action under the UCMJ (reference (m)) (i.e., nonjudicial punishment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court-martial).  When a commander initiates or has previously initiated action under reference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(m), that action shall take precedence over any ongoing or contemplated administrative actions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appeals.  In such circumstances, reference (m) appellate processes are the exclusive appellate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mechanisms available. </w:t>
      </w:r>
    </w:p>
    <w:p>
      <w:pPr>
        <w:autoSpaceDN w:val="0"/>
        <w:tabs>
          <w:tab w:pos="960" w:val="left"/>
        </w:tabs>
        <w:autoSpaceDE w:val="0"/>
        <w:widowControl/>
        <w:spacing w:line="288" w:lineRule="exact" w:before="28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6.2.11.  Ensure that victims' support programs provide information on services,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assistance in obtaining them.  The Services shall ensure that programs for counseling, </w:t>
      </w:r>
    </w:p>
    <w:p>
      <w:pPr>
        <w:autoSpaceDN w:val="0"/>
        <w:tabs>
          <w:tab w:pos="4560" w:val="left"/>
        </w:tabs>
        <w:autoSpaceDE w:val="0"/>
        <w:widowControl/>
        <w:spacing w:line="320" w:lineRule="exact" w:before="4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2, 06/08/2015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 </w:t>
      </w:r>
    </w:p>
    <w:p>
      <w:pPr>
        <w:sectPr>
          <w:pgSz w:w="12240" w:h="15840"/>
          <w:pgMar w:top="344" w:right="1360" w:bottom="352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DODD 1350.2, August 18, 1995 </w:t>
      </w:r>
    </w:p>
    <w:p>
      <w:pPr>
        <w:autoSpaceDN w:val="0"/>
        <w:autoSpaceDE w:val="0"/>
        <w:widowControl/>
        <w:spacing w:line="288" w:lineRule="exact" w:before="444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information, referral, and other assistance are made available to Service members who have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experienced unlawful discrimination or sexual harassment.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6.2.12.  Establish and fill sufficient full-time staff positions and allocate sufficient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resources to conduct all EO programs.  Qualifications and grades of personnel serving in EO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billets shall be specified.  EO staff personnel shall be selected for training at DEOMI by Service-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established criteria and placed upon assignment at a level that enables them to communicate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effectively the goals and objectives of the program and to obtain the understanding, support,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commitment, and involvement of the organization's leaders.  The professional development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training of EO staff personnel shall include continuing education and training to ensure mastery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competency in the EO field. </w:t>
      </w:r>
    </w:p>
    <w:p>
      <w:pPr>
        <w:autoSpaceDN w:val="0"/>
        <w:autoSpaceDE w:val="0"/>
        <w:widowControl/>
        <w:spacing w:line="288" w:lineRule="exact" w:before="280" w:after="0"/>
        <w:ind w:left="0" w:right="576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6.2.13.  Ensure that all personnel not assigned to EO billets, but having program-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associated responsibilities, such as inspectors general (IGs), chaplains, judge advocates,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investigating officers, and personnel working in victims' assistance and support programs,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receive such training as may be necessary for them to carry out their EO duties.  Service-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developed training plans for such personnel should be submitted to DEOMI for review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comment.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6.2.14.  Ensure that all military personnel, including command selectees and flag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general officers, receive adequate training in EO, human relations, and prevention of sexual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harassment on a recurring basis, and at all levels of PME.  Service-wide training programs, when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 conducted by DEOMI personnel, shall be submitted to DEOMI for prompt review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comment.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6.2.15.  Ensure that all rating and reviewing officials evaluate a member's compliance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DoD and Component directives prohibiting unlawful discrimination and sexual harassment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document serious or repeated deviations from such directives in performance reports. </w:t>
      </w:r>
    </w:p>
    <w:p>
      <w:pPr>
        <w:autoSpaceDN w:val="0"/>
        <w:autoSpaceDE w:val="0"/>
        <w:widowControl/>
        <w:spacing w:line="288" w:lineRule="exact" w:before="280" w:after="0"/>
        <w:ind w:left="0" w:right="144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6.2.16.  Ensure that Reserve component members' off-duty or non-duty behaviors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affect the military workplace are covered by the unlawful discrimination and sexual harassment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prevention programs, emphasizing the principle of "full-time values - part-time careers." 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example of off-duty or non-duty behavior that impacts on the workplace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quid pro quo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(something for something) sexual harassment.  See items E2.1.15.1. &amp; E2.1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.15.2., enclo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sure 2. </w:t>
      </w:r>
    </w:p>
    <w:p>
      <w:pPr>
        <w:autoSpaceDN w:val="0"/>
        <w:autoSpaceDE w:val="0"/>
        <w:widowControl/>
        <w:spacing w:line="288" w:lineRule="exact" w:before="280" w:after="0"/>
        <w:ind w:left="0" w:right="864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6.2.17.  Recognize the unique characteristics of the Reserve components when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establishing programs and procedures for processing unlawful discrimination and sexual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harassment involving members of the Reserve components, whether as complainants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respondents. </w:t>
      </w:r>
    </w:p>
    <w:p>
      <w:pPr>
        <w:autoSpaceDN w:val="0"/>
        <w:tabs>
          <w:tab w:pos="960" w:val="left"/>
        </w:tabs>
        <w:autoSpaceDE w:val="0"/>
        <w:widowControl/>
        <w:spacing w:line="288" w:lineRule="exact" w:before="28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6.2.18.  Develop management information and reporting systems to determine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progress for each AAP goal, consistent with DoD Instruction 1350.3 (reference (f)). </w:t>
      </w:r>
    </w:p>
    <w:p>
      <w:pPr>
        <w:autoSpaceDN w:val="0"/>
        <w:tabs>
          <w:tab w:pos="4560" w:val="left"/>
        </w:tabs>
        <w:autoSpaceDE w:val="0"/>
        <w:widowControl/>
        <w:spacing w:line="320" w:lineRule="exact" w:before="13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2, 06/08/2015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11 </w:t>
      </w:r>
    </w:p>
    <w:p>
      <w:pPr>
        <w:sectPr>
          <w:pgSz w:w="12240" w:h="15840"/>
          <w:pgMar w:top="344" w:right="1360" w:bottom="352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DODD 1350.2, August 18, 1995 </w:t>
      </w:r>
    </w:p>
    <w:p>
      <w:pPr>
        <w:autoSpaceDN w:val="0"/>
        <w:autoSpaceDE w:val="0"/>
        <w:widowControl/>
        <w:spacing w:line="288" w:lineRule="exact" w:before="444" w:after="0"/>
        <w:ind w:left="0" w:right="144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6.2.19.  Forward a fiscal year report to the USD(P&amp;R) outlining their progress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achieving the established MEO objectives of their AAPs.  This report shall be due each year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February 1, and is described further in reference (f). </w:t>
      </w:r>
    </w:p>
    <w:p>
      <w:pPr>
        <w:autoSpaceDN w:val="0"/>
        <w:autoSpaceDE w:val="0"/>
        <w:widowControl/>
        <w:spacing w:line="288" w:lineRule="exact" w:before="280" w:after="0"/>
        <w:ind w:left="0" w:right="144" w:firstLine="4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6.3. 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Commanders of the Combatant Commands and Directors of Defense Agencies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under OSD Pri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ncipal Staff Assistants and those that report directly to the Secretary or Deputy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Secretary of Defense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shall be responsible for EO within their respective areas of responsibilit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and ensure complian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ce with the policies set forth in this Directive.  Because such Agency heads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generally do not exercise career management or UCMJ authority (reference (m)) over assigned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military personnel, special consideration must be exercised in meeting DoD EO standards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assigned personnel.  At a minimum, they shall: </w:t>
      </w:r>
    </w:p>
    <w:p>
      <w:pPr>
        <w:autoSpaceDN w:val="0"/>
        <w:tabs>
          <w:tab w:pos="960" w:val="left"/>
        </w:tabs>
        <w:autoSpaceDE w:val="0"/>
        <w:widowControl/>
        <w:spacing w:line="288" w:lineRule="exact" w:before="28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6.3.1.  Ensure that all DoD EO policies and programs are understood and executed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throughout the organization, to include: </w:t>
      </w:r>
    </w:p>
    <w:p>
      <w:pPr>
        <w:autoSpaceDN w:val="0"/>
        <w:autoSpaceDE w:val="0"/>
        <w:widowControl/>
        <w:spacing w:line="288" w:lineRule="exact" w:before="28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6.3.1.1.  Establishing an EO program that complies with the guidelines of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Directive and reflects the standards, values, and principles of existing Service programs,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resources, and counseling services.  Commanders and Agency heads should be aware that some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Service members may only know of, or be comfortable using, their parent Service's complaint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  These individuals should not be denied the benefit of their parent Service's EO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counseling systems if necessary to ensure the DoD standards on complaint handling are met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each member. </w:t>
      </w:r>
    </w:p>
    <w:p>
      <w:pPr>
        <w:autoSpaceDN w:val="0"/>
        <w:tabs>
          <w:tab w:pos="1440" w:val="left"/>
        </w:tabs>
        <w:autoSpaceDE w:val="0"/>
        <w:widowControl/>
        <w:spacing w:line="288" w:lineRule="exact" w:before="28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6.3.1.2.  Appointing an assigned EO advisor who will initiate the administrative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processes and prepare initial reports for the commander's or director's review and disposition. </w:t>
      </w:r>
    </w:p>
    <w:p>
      <w:pPr>
        <w:autoSpaceDN w:val="0"/>
        <w:autoSpaceDE w:val="0"/>
        <w:widowControl/>
        <w:spacing w:line="288" w:lineRule="exact" w:before="34" w:after="0"/>
        <w:ind w:left="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Generally, these positions need not be full-time, but incumbents should receive DEOMI-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approved training that enables them to administer a responsive EO program. </w:t>
      </w:r>
    </w:p>
    <w:p>
      <w:pPr>
        <w:autoSpaceDN w:val="0"/>
        <w:autoSpaceDE w:val="0"/>
        <w:widowControl/>
        <w:spacing w:line="288" w:lineRule="exact" w:before="280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6.3.1.3.  Establishing and publishing procedures for appealing the findings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formal complaints of unlawful discrimination and sexual harassment that comply with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subparagraphs 6.2.4. through 6.2.11., above.  Appeal procedures should provide for referral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appropriate general courts martial convening authority.  Subsequent and final appeal procedures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should end at the level of the respondent's or complainant's Military Department Secretary. 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extent commanders and Agency heads rely on the installation host Service to provide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complaint processing, investigation support, and counseling or referral services, these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relationships should be formally established and published.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6.3.2.  Ensure that appropriate disciplinary and corrective actions are taken if unlawful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discrimination or reprisal is substantiated.  If the appropriate administrative or disciplinary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sanction is not within the supervising commander's or director's authority (e.g., nonjudicial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punishment, promotion removal actions, or administrative separation actions), refer the case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offender's installation host Service or Service command element for disposition and action. </w:t>
      </w:r>
    </w:p>
    <w:p>
      <w:pPr>
        <w:autoSpaceDN w:val="0"/>
        <w:tabs>
          <w:tab w:pos="480" w:val="left"/>
        </w:tabs>
        <w:autoSpaceDE w:val="0"/>
        <w:widowControl/>
        <w:spacing w:line="288" w:lineRule="exact" w:before="28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6.4. 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Secretaries of the Army and the Air Force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shall ensure that the Chief, National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Guard Bureau,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fulfills his or her responsibilities for EO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within his or her jurisdiction, fully </w:t>
      </w:r>
    </w:p>
    <w:p>
      <w:pPr>
        <w:autoSpaceDN w:val="0"/>
        <w:tabs>
          <w:tab w:pos="4560" w:val="left"/>
        </w:tabs>
        <w:autoSpaceDE w:val="0"/>
        <w:widowControl/>
        <w:spacing w:line="320" w:lineRule="exact" w:before="4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2, 06/08/2015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12 </w:t>
      </w:r>
    </w:p>
    <w:p>
      <w:pPr>
        <w:sectPr>
          <w:pgSz w:w="12240" w:h="15840"/>
          <w:pgMar w:top="344" w:right="1360" w:bottom="352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DODD 1350.2, August 18, 1995 </w:t>
      </w:r>
    </w:p>
    <w:p>
      <w:pPr>
        <w:autoSpaceDN w:val="0"/>
        <w:autoSpaceDE w:val="0"/>
        <w:widowControl/>
        <w:spacing w:line="288" w:lineRule="exact" w:before="444" w:after="0"/>
        <w:ind w:left="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consistent with the broader DoD objectives and 42 U.S.C. 2000d (reference (n)) and shall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establish discrimination and sexual harassment complaints procedures that include: </w:t>
      </w:r>
    </w:p>
    <w:p>
      <w:pPr>
        <w:autoSpaceDN w:val="0"/>
        <w:autoSpaceDE w:val="0"/>
        <w:widowControl/>
        <w:spacing w:line="322" w:lineRule="exact" w:before="246" w:after="0"/>
        <w:ind w:left="9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6.4.1.  All the provisions of subparagraphs 6.2.4. through 6.2.11., above. </w:t>
      </w:r>
    </w:p>
    <w:p>
      <w:pPr>
        <w:autoSpaceDN w:val="0"/>
        <w:autoSpaceDE w:val="0"/>
        <w:widowControl/>
        <w:spacing w:line="320" w:lineRule="exact" w:before="248" w:after="0"/>
        <w:ind w:left="9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6.4.2.  Both the Army and Air National Guard. </w:t>
      </w:r>
    </w:p>
    <w:p>
      <w:pPr>
        <w:autoSpaceDN w:val="0"/>
        <w:tabs>
          <w:tab w:pos="960" w:val="left"/>
        </w:tabs>
        <w:autoSpaceDE w:val="0"/>
        <w:widowControl/>
        <w:spacing w:line="288" w:lineRule="exact" w:before="28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6.4.3.  The provision that the National Guard Bureau maintain final review or decision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authority over discrimination complaints within its purview. </w:t>
      </w:r>
    </w:p>
    <w:p>
      <w:pPr>
        <w:autoSpaceDN w:val="0"/>
        <w:autoSpaceDE w:val="0"/>
        <w:widowControl/>
        <w:spacing w:line="320" w:lineRule="exact" w:before="5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INFORMATION REQUIREMENTS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information requirement identified in subparagraph 6.2.19., above, has been assigned Report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Control Symbol DD-P&amp;R(A)1760, in accordance with DoD 8910.1-M (reference (o)).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Reporting requirements are contained in enclosure 3 and further amplified in DoD Instruction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1350.3 (reference (f)). </w:t>
      </w:r>
    </w:p>
    <w:p>
      <w:pPr>
        <w:autoSpaceDN w:val="0"/>
        <w:tabs>
          <w:tab w:pos="4560" w:val="left"/>
        </w:tabs>
        <w:autoSpaceDE w:val="0"/>
        <w:widowControl/>
        <w:spacing w:line="320" w:lineRule="exact" w:before="85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2, 06/08/2015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13 </w:t>
      </w:r>
    </w:p>
    <w:p>
      <w:pPr>
        <w:sectPr>
          <w:pgSz w:w="12240" w:h="15840"/>
          <w:pgMar w:top="344" w:right="1360" w:bottom="352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DODD 1350.2, August 18, 1995 </w:t>
      </w:r>
    </w:p>
    <w:p>
      <w:pPr>
        <w:autoSpaceDN w:val="0"/>
        <w:autoSpaceDE w:val="0"/>
        <w:widowControl/>
        <w:spacing w:line="276" w:lineRule="exact" w:before="444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SUMMARY OF CHANGE 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The changes to this issuance are administrative and update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anizational titles and referenc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 for accuracy. </w:t>
      </w:r>
    </w:p>
    <w:p>
      <w:pPr>
        <w:autoSpaceDN w:val="0"/>
        <w:autoSpaceDE w:val="0"/>
        <w:widowControl/>
        <w:spacing w:line="320" w:lineRule="exact" w:before="81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EFFECTIVE DATA AND IMPLEMENTATION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88" w:lineRule="exact" w:before="280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Directive is effective immediately.  Forward one copy of implementing documents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Secretary of Defense for Personnel and Readiness within 90 days; forward one copy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changes to existing implementing documents within 60 days. </w:t>
      </w:r>
    </w:p>
    <w:p>
      <w:pPr>
        <w:autoSpaceDN w:val="0"/>
        <w:autoSpaceDE w:val="0"/>
        <w:widowControl/>
        <w:spacing w:line="240" w:lineRule="auto" w:before="266" w:after="0"/>
        <w:ind w:left="0" w:right="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524760" cy="1143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570" w:after="0"/>
        <w:ind w:left="240" w:right="5616" w:hanging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Enclosures - 3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E1.  References, continued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  Definitions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E3.  MEO Reporting Requirements </w:t>
      </w:r>
    </w:p>
    <w:p>
      <w:pPr>
        <w:autoSpaceDN w:val="0"/>
        <w:tabs>
          <w:tab w:pos="4560" w:val="left"/>
        </w:tabs>
        <w:autoSpaceDE w:val="0"/>
        <w:widowControl/>
        <w:spacing w:line="320" w:lineRule="exact" w:before="67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2, 06/08/2015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14 </w:t>
      </w:r>
    </w:p>
    <w:p>
      <w:pPr>
        <w:sectPr>
          <w:pgSz w:w="12240" w:h="15840"/>
          <w:pgMar w:top="344" w:right="1360" w:bottom="352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DODD 1350.2, August 18, 1995 </w:t>
      </w:r>
    </w:p>
    <w:p>
      <w:pPr>
        <w:autoSpaceDN w:val="0"/>
        <w:autoSpaceDE w:val="0"/>
        <w:widowControl/>
        <w:spacing w:line="320" w:lineRule="exact" w:before="40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E1.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ENCLOSURE 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2" w:lineRule="exact" w:before="2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REFERENCES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continued </w:t>
      </w:r>
    </w:p>
    <w:p>
      <w:pPr>
        <w:autoSpaceDN w:val="0"/>
        <w:tabs>
          <w:tab w:pos="476" w:val="left"/>
        </w:tabs>
        <w:autoSpaceDE w:val="0"/>
        <w:widowControl/>
        <w:spacing w:line="276" w:lineRule="exact" w:before="552" w:after="7224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(e)  Defense Equal Opportunity Council Task Force on Discrimination and Sexual Harassment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Report, May 1995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(f)  DoD Instruction 1350.3, "Affirmative Action Planning and Assessment Process," February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29, 1988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(g)  DoD Directive 5410.18, "Public Affairs Community Relations Policy," November 20, 2001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(h)  DoD Instruction 1100.16, "Equal Opportunity in Off-Base Housing," August 14, 1989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(i)  Section 1535 of title 31, United States Code, "The Economy Act,"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(j)  DoD Directive 5124.02, "Under Secretary of Defense for Personnel and Readiness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(USD(P&amp;R))," June 23, 2008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(k)  Section 552a of title 5, United States Code, "The Privacy Act of 1974"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(l)  DoD Directive 7050.06, "Military Whistleblower Protection," April 17, 2015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(m)  Chapter 47 of title 10, United States Code, "Uniform Code of Military Justice"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(n)  Section 2000d of title 42, United States Code, "Federally Assisted Programs"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(o)  DoD 8910.1-M, "DoD Procedures for Management of Information Requirements,"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November 1986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(p) DoD Directive 1020.02E, “Diversity Management and Equal Opportunity in the DoD,”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June 8, 2015, as amended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360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Change 2, 06/08/2015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4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44" w:right="1360" w:bottom="352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DODD 1350.2, August 18, 1995 </w:t>
      </w:r>
    </w:p>
    <w:p>
      <w:pPr>
        <w:autoSpaceDN w:val="0"/>
        <w:autoSpaceDE w:val="0"/>
        <w:widowControl/>
        <w:spacing w:line="320" w:lineRule="exact" w:before="40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ENCLOSURE 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2" w:lineRule="exact" w:before="2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DEFINITIONS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88" w:lineRule="exact" w:before="830" w:after="0"/>
        <w:ind w:left="0" w:right="144" w:firstLine="4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E2.1.1.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Affirmative Action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Methods used to achieve the objectives of the MEO program.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Processes, ac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tivities, and system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 designed to prevent, identify, and eliminate unlawful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discriminatory treatment as it affects the recruitment, training, assignment, utilization,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promotion, and retention of military personnel. </w:t>
      </w:r>
    </w:p>
    <w:p>
      <w:pPr>
        <w:autoSpaceDN w:val="0"/>
        <w:tabs>
          <w:tab w:pos="480" w:val="left"/>
        </w:tabs>
        <w:autoSpaceDE w:val="0"/>
        <w:widowControl/>
        <w:spacing w:line="288" w:lineRule="exact" w:before="28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E2.1.2.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Complaint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An allegation of unlawful discrimination based on race, color, national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origin, religio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n, or sex. </w:t>
      </w:r>
    </w:p>
    <w:p>
      <w:pPr>
        <w:autoSpaceDN w:val="0"/>
        <w:tabs>
          <w:tab w:pos="960" w:val="left"/>
        </w:tabs>
        <w:autoSpaceDE w:val="0"/>
        <w:widowControl/>
        <w:spacing w:line="288" w:lineRule="exact" w:before="280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E2.1.2.1.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Informal Complaint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Allegation of unlawful discrimination or sexual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harassment, made ei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ther orally or in wri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ting, that is not submitted as a formal complaint.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E2.1.2.2.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Formal Complaint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Allegation of unlawful discrimination or sexual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harassment that is su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bmitted in writing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to the authority designated for receipt of such complaints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Service implementing regulations. </w:t>
      </w:r>
    </w:p>
    <w:p>
      <w:pPr>
        <w:autoSpaceDN w:val="0"/>
        <w:tabs>
          <w:tab w:pos="480" w:val="left"/>
        </w:tabs>
        <w:autoSpaceDE w:val="0"/>
        <w:widowControl/>
        <w:spacing w:line="288" w:lineRule="exact" w:before="280" w:after="0"/>
        <w:ind w:left="0" w:right="129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E2.1.3.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Complainant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Service member who submits allegations of unlawful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discriminatio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 (as defined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 item E2.1.16., below).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4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E2.1.4.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Defense Equal Opportunity Council (DEOC)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 A senior executive-level decision-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making body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that provides advice and counsel to the Secre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tary and Deputy Secretary of Defense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 all DoD EO and/or EEO matters.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4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E2.1.5.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DoD Military Equal Opportunity (MEO) Program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DoD-wide military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program of 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 that is accomplished through efforts by the DoD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Components.  It provides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environment in which Service members are ensured an opportunity to rise to the highest level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responsibility possible in the military profession, dependent only on merit, fitness,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capability. </w:t>
      </w:r>
    </w:p>
    <w:p>
      <w:pPr>
        <w:autoSpaceDN w:val="0"/>
        <w:autoSpaceDE w:val="0"/>
        <w:widowControl/>
        <w:spacing w:line="288" w:lineRule="exact" w:before="280" w:after="0"/>
        <w:ind w:left="0" w:right="144" w:firstLine="4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E2.1.6.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Equal Opportunity (EO)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right of all persons to participate in, and benefit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from, progra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ms and activities for whi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 they are qualified.  These programs and activities shall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free from social, personal, or institutional barriers that prevent people from rising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highest level of responsibility possible.  Persons shall be evaluated on individual merit, fitness,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capability, regardless of race, color, sex, national origin, or religion. </w:t>
      </w:r>
    </w:p>
    <w:p>
      <w:pPr>
        <w:autoSpaceDN w:val="0"/>
        <w:autoSpaceDE w:val="0"/>
        <w:widowControl/>
        <w:spacing w:line="288" w:lineRule="exact" w:before="280" w:after="468"/>
        <w:ind w:left="0" w:right="0" w:firstLine="4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E2.1.7.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Equal Opportunity (EO) Climate Assessment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Determining the "health"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functioning 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ffectiveness of an organization by examining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such factors as morale, teamwork,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communication.  This is accomplished through some or all of the following: group and/or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 interviews, observations, surveys or questionnaires, and reviews of records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reports.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360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Change 2, 06/08/2015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4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44" w:right="1360" w:bottom="352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DODD 1350.2, August 18, 1995 </w:t>
      </w:r>
    </w:p>
    <w:p>
      <w:pPr>
        <w:autoSpaceDN w:val="0"/>
        <w:tabs>
          <w:tab w:pos="480" w:val="left"/>
        </w:tabs>
        <w:autoSpaceDE w:val="0"/>
        <w:widowControl/>
        <w:spacing w:line="288" w:lineRule="exact" w:before="444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E2.1.8.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Ethnic and Racial Categories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basic racial and ethnic categories for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reporting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defined as follows: </w:t>
      </w:r>
    </w:p>
    <w:p>
      <w:pPr>
        <w:autoSpaceDN w:val="0"/>
        <w:tabs>
          <w:tab w:pos="960" w:val="left"/>
        </w:tabs>
        <w:autoSpaceDE w:val="0"/>
        <w:widowControl/>
        <w:spacing w:line="288" w:lineRule="exact" w:before="28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E2.1.8.1.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American Indian or Alaskan Native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person having origins in the original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peoples of North Am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erica.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E2.1.8.2.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Asian or Pacific Islander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person having origins in any of the original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peoples of the Far 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ast, Southeast Asia, the 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ndian subcontinent, or the Pacific Islands.  This area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includes China, India, Japan, Korea, the Philippine Islands, and Samoa. </w:t>
      </w:r>
    </w:p>
    <w:p>
      <w:pPr>
        <w:autoSpaceDN w:val="0"/>
        <w:tabs>
          <w:tab w:pos="960" w:val="left"/>
        </w:tabs>
        <w:autoSpaceDE w:val="0"/>
        <w:widowControl/>
        <w:spacing w:line="288" w:lineRule="exact" w:before="28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E2.1.8.3.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Black (Not of Hispanic Origin)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person having origins in any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original peoples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Africa. </w:t>
      </w:r>
    </w:p>
    <w:p>
      <w:pPr>
        <w:autoSpaceDN w:val="0"/>
        <w:tabs>
          <w:tab w:pos="960" w:val="left"/>
        </w:tabs>
        <w:autoSpaceDE w:val="0"/>
        <w:widowControl/>
        <w:spacing w:line="288" w:lineRule="exact" w:before="28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E2.1.8.4.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Hispanic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person having origins in any of the original peoples of Mexico,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Puerto Rico, Cuba,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Central 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 South America, or of other Spanish cultures, regardless of race. </w:t>
      </w:r>
    </w:p>
    <w:p>
      <w:pPr>
        <w:autoSpaceDN w:val="0"/>
        <w:tabs>
          <w:tab w:pos="960" w:val="left"/>
        </w:tabs>
        <w:autoSpaceDE w:val="0"/>
        <w:widowControl/>
        <w:spacing w:line="288" w:lineRule="exact" w:before="28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E2.1.8.5.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White (Not of Hispanic Origin)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person having origins in any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original peoples of 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urope, North Africa, or the Mi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ddle East. </w:t>
      </w:r>
    </w:p>
    <w:p>
      <w:pPr>
        <w:autoSpaceDN w:val="0"/>
        <w:tabs>
          <w:tab w:pos="480" w:val="left"/>
        </w:tabs>
        <w:autoSpaceDE w:val="0"/>
        <w:widowControl/>
        <w:spacing w:line="288" w:lineRule="exact" w:before="28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E2.1.9.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Legal Sufficiency Review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review of an investigation into a formal complaint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unlawful disc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rimination or sexual haras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sment to determine whether: </w:t>
      </w:r>
    </w:p>
    <w:p>
      <w:pPr>
        <w:autoSpaceDN w:val="0"/>
        <w:tabs>
          <w:tab w:pos="960" w:val="left"/>
        </w:tabs>
        <w:autoSpaceDE w:val="0"/>
        <w:widowControl/>
        <w:spacing w:line="288" w:lineRule="exact" w:before="28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E2.1.9.1.  The investigation complies with all applicable legal and administrative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requirements; </w:t>
      </w:r>
    </w:p>
    <w:p>
      <w:pPr>
        <w:autoSpaceDN w:val="0"/>
        <w:autoSpaceDE w:val="0"/>
        <w:widowControl/>
        <w:spacing w:line="320" w:lineRule="exact" w:before="248" w:after="0"/>
        <w:ind w:left="9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thE2.1.9.2.  The investigation adequately addresses the matters complained of; </w:t>
      </w:r>
    </w:p>
    <w:p>
      <w:pPr>
        <w:autoSpaceDN w:val="0"/>
        <w:autoSpaceDE w:val="0"/>
        <w:widowControl/>
        <w:spacing w:line="320" w:lineRule="exact" w:before="248" w:after="0"/>
        <w:ind w:left="9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E2.1.9.3.  The evidence supports the findings of the investigating officer or board; </w:t>
      </w:r>
    </w:p>
    <w:p>
      <w:pPr>
        <w:autoSpaceDN w:val="0"/>
        <w:tabs>
          <w:tab w:pos="960" w:val="left"/>
        </w:tabs>
        <w:autoSpaceDE w:val="0"/>
        <w:widowControl/>
        <w:spacing w:line="288" w:lineRule="exact" w:before="28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E2.1.9.4.  The conclusions and recommendations of the investigating officer or board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are consistent with the findings; and, </w:t>
      </w:r>
    </w:p>
    <w:p>
      <w:pPr>
        <w:autoSpaceDN w:val="0"/>
        <w:autoSpaceDE w:val="0"/>
        <w:widowControl/>
        <w:spacing w:line="320" w:lineRule="exact" w:before="24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E2.1.9.5.  Any errors or irregularities exist, and, if so, their legal effect, if any. </w:t>
      </w:r>
    </w:p>
    <w:p>
      <w:pPr>
        <w:autoSpaceDN w:val="0"/>
        <w:tabs>
          <w:tab w:pos="480" w:val="left"/>
        </w:tabs>
        <w:autoSpaceDE w:val="0"/>
        <w:widowControl/>
        <w:spacing w:line="288" w:lineRule="exact" w:before="28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E2.1.10.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National Origin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An individual's or ancestor's place of origin.  Also applies to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person who ha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 the physical, 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ultural, or linguistic characteristics of a national group. </w:t>
      </w:r>
    </w:p>
    <w:p>
      <w:pPr>
        <w:autoSpaceDN w:val="0"/>
        <w:autoSpaceDE w:val="0"/>
        <w:widowControl/>
        <w:spacing w:line="288" w:lineRule="exact" w:before="280" w:after="732"/>
        <w:ind w:left="0" w:right="0" w:firstLine="4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E2.1.11.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Protected Communication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lawful communication to a Member of Congress,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IG, any memb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er of a DoD audit, inspecti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on, investigation or law enforcement organization, or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other person or organization (including any person or organization in the chain of command)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designated pursuant to regulations or other established administrative procedures to receive such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communications, to which a member of the Armed Forces makes a complaint or discloses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that he or she reasonably believes evidences a violation of law or regulation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(including those covering unlawful discrimination and sexual harassment), mismanagement, 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360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Change 2, 06/08/2015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4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44" w:right="1360" w:bottom="352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DODD 1350.2, August 18, 1995 </w:t>
      </w:r>
    </w:p>
    <w:p>
      <w:pPr>
        <w:autoSpaceDN w:val="0"/>
        <w:autoSpaceDE w:val="0"/>
        <w:widowControl/>
        <w:spacing w:line="288" w:lineRule="exact" w:before="444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gross waste of funds, an abuse of authority, or a substantial and specific danger to public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safety (see DoD Directive 7050.6, reference (l)).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4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E2.1.12.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Race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division of human beings identified by the possession of traits that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transmissible 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y de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scent and that are sufficient to characterize persons possessing these traits as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distinctive human genotype. </w:t>
      </w:r>
    </w:p>
    <w:p>
      <w:pPr>
        <w:autoSpaceDN w:val="0"/>
        <w:autoSpaceDE w:val="0"/>
        <w:widowControl/>
        <w:spacing w:line="288" w:lineRule="exact" w:before="280" w:after="0"/>
        <w:ind w:left="0" w:right="214" w:firstLine="4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E2.1.13.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Religion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personal set or institutionalized system of attitudes, moral or ethical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beliefs, and pr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actices 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 are held with the strength of traditional religious views, characterized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ardor and faith, and generally evidenced through specific religious observances. </w:t>
      </w:r>
    </w:p>
    <w:p>
      <w:pPr>
        <w:autoSpaceDN w:val="0"/>
        <w:autoSpaceDE w:val="0"/>
        <w:widowControl/>
        <w:spacing w:line="288" w:lineRule="exact" w:before="280" w:after="0"/>
        <w:ind w:left="0" w:right="576" w:firstLine="4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E2.1.14.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Reprisal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Taking or threatening to take an unfavorable personnel action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withholding or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threaten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ing to withhold a favorable personnel action, or any other act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retaliation, against a Military member for making or preparing a protected communication.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4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E2.1.15.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Sexual Harassment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form of sex discrimination that involves unwelcome sexual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advances, requ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ests for sexual favo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rs, and other verbal or physical conduct of a sexual nature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when: </w:t>
      </w:r>
    </w:p>
    <w:p>
      <w:pPr>
        <w:autoSpaceDN w:val="0"/>
        <w:tabs>
          <w:tab w:pos="960" w:val="left"/>
        </w:tabs>
        <w:autoSpaceDE w:val="0"/>
        <w:widowControl/>
        <w:spacing w:line="288" w:lineRule="exact" w:before="28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E2.1.15.1.  Submission to such conduct is made either explicitly or implicitly a term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condition of a person's job, pay, or career, or </w:t>
      </w:r>
    </w:p>
    <w:p>
      <w:pPr>
        <w:autoSpaceDN w:val="0"/>
        <w:tabs>
          <w:tab w:pos="960" w:val="left"/>
        </w:tabs>
        <w:autoSpaceDE w:val="0"/>
        <w:widowControl/>
        <w:spacing w:line="288" w:lineRule="exact" w:before="28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E2.1.15.2.  Submission to or rejection of such conduct by a person is used as a basis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career or employment decisions affecting that person, or </w:t>
      </w:r>
    </w:p>
    <w:p>
      <w:pPr>
        <w:autoSpaceDN w:val="0"/>
        <w:autoSpaceDE w:val="0"/>
        <w:widowControl/>
        <w:spacing w:line="288" w:lineRule="exact" w:before="280" w:after="0"/>
        <w:ind w:left="0" w:right="144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E2.1.15.3.  Such conduct has the purpose or effect of unreasonably interfering with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individual's work performance or creates an intimidating, hostile, or offensive working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environment. </w:t>
      </w:r>
    </w:p>
    <w:p>
      <w:pPr>
        <w:autoSpaceDN w:val="0"/>
        <w:autoSpaceDE w:val="0"/>
        <w:widowControl/>
        <w:spacing w:line="288" w:lineRule="exact" w:before="28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definition emphasizes that workplace conduct, to be actionable as "abusive work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environment" harassment, need not result in concrete psychological harm to the victim, but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rather need only be so severe or pervasive that a reasonable person would perceive,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victim does perceive, the work environment as hostile or offensive.  ("Workplace" is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expansive term for Military members and may include conduct on or off duty, 24 hours a day.)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person in a supervisory or command position who uses or condones any form of sexual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 to control, influence, or affect the career, pay, or job of a Military member or civilian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employee is engaging in sexual harassment.  Similarly, any Military member or civilian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employee who makes deliberate or repeated unwelcome verbal comments, gestures, or physical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contact of a sexual nature in the workplace is also engaging in sexual harassment. </w:t>
      </w:r>
    </w:p>
    <w:p>
      <w:pPr>
        <w:autoSpaceDN w:val="0"/>
        <w:tabs>
          <w:tab w:pos="480" w:val="left"/>
        </w:tabs>
        <w:autoSpaceDE w:val="0"/>
        <w:widowControl/>
        <w:spacing w:line="288" w:lineRule="exact" w:before="280" w:after="1268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E2.1.16.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Unlawful Discrimination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Includes discrimination on the basis of color, national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origin, race, 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ligion, or sex that is not 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therwise authorized by law or regulation.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360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Change 2, 06/08/2015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4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44" w:right="1360" w:bottom="352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DODD 1350.2, August 18, 1995 </w:t>
      </w:r>
    </w:p>
    <w:p>
      <w:pPr>
        <w:autoSpaceDN w:val="0"/>
        <w:autoSpaceDE w:val="0"/>
        <w:widowControl/>
        <w:spacing w:line="556" w:lineRule="exact" w:before="164" w:after="0"/>
        <w:ind w:left="2736" w:right="273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E3.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ENCLOSURE 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MEO REPORTING REQUIREMENTS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480" w:val="left"/>
          <w:tab w:pos="960" w:val="left"/>
        </w:tabs>
        <w:autoSpaceDE w:val="0"/>
        <w:widowControl/>
        <w:spacing w:line="358" w:lineRule="exact" w:before="76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E3.1.1.  Each DoD Component shall submit an annual MEO assessment for the period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ending September 30 to the USD(P&amp;R) no later than February 1 of the following year. 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report shall include the following information: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E3.1.1.1.  An executive summary, providing an overall assessment of each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Component's AAPs and EO Programs. </w:t>
      </w:r>
    </w:p>
    <w:p>
      <w:pPr>
        <w:autoSpaceDN w:val="0"/>
        <w:autoSpaceDE w:val="0"/>
        <w:widowControl/>
        <w:spacing w:line="288" w:lineRule="exact" w:before="280" w:after="0"/>
        <w:ind w:left="0" w:right="0" w:firstLine="9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E3.1.1.2.  An assessment of each affirmative action in the following 10 categories shall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made an enclosure to the report.  The assessment in each category should include quantitative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in the basic race and/or ethnic classifications for officers and enlisted personnel broken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down by sex. </w:t>
      </w:r>
    </w:p>
    <w:p>
      <w:pPr>
        <w:autoSpaceDN w:val="0"/>
        <w:autoSpaceDE w:val="0"/>
        <w:widowControl/>
        <w:spacing w:line="320" w:lineRule="exact" w:before="248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E3.1.1.2.1.  Recruiting and/or Accessions. </w:t>
      </w:r>
    </w:p>
    <w:p>
      <w:pPr>
        <w:autoSpaceDN w:val="0"/>
        <w:autoSpaceDE w:val="0"/>
        <w:widowControl/>
        <w:spacing w:line="320" w:lineRule="exact" w:before="248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E3.1.1.2.2.  Composition. </w:t>
      </w:r>
    </w:p>
    <w:p>
      <w:pPr>
        <w:autoSpaceDN w:val="0"/>
        <w:autoSpaceDE w:val="0"/>
        <w:widowControl/>
        <w:spacing w:line="322" w:lineRule="exact" w:before="24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E3.1.1.2.3.  Promotions. </w:t>
      </w:r>
    </w:p>
    <w:p>
      <w:pPr>
        <w:autoSpaceDN w:val="0"/>
        <w:autoSpaceDE w:val="0"/>
        <w:widowControl/>
        <w:spacing w:line="320" w:lineRule="exact" w:before="248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E3.1.1.2.4.  PME. </w:t>
      </w:r>
    </w:p>
    <w:p>
      <w:pPr>
        <w:autoSpaceDN w:val="0"/>
        <w:autoSpaceDE w:val="0"/>
        <w:widowControl/>
        <w:spacing w:line="320" w:lineRule="exact" w:before="248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E3.1.1.2.5.  Separations. </w:t>
      </w:r>
    </w:p>
    <w:p>
      <w:pPr>
        <w:autoSpaceDN w:val="0"/>
        <w:autoSpaceDE w:val="0"/>
        <w:widowControl/>
        <w:spacing w:line="322" w:lineRule="exact" w:before="24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E3.1.1.2.6.  Augmentation and/or Retention. </w:t>
      </w:r>
    </w:p>
    <w:p>
      <w:pPr>
        <w:autoSpaceDN w:val="0"/>
        <w:autoSpaceDE w:val="0"/>
        <w:widowControl/>
        <w:spacing w:line="320" w:lineRule="exact" w:before="248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E3.1.1.2.7.  Assignments. </w:t>
      </w:r>
    </w:p>
    <w:p>
      <w:pPr>
        <w:autoSpaceDN w:val="0"/>
        <w:autoSpaceDE w:val="0"/>
        <w:widowControl/>
        <w:spacing w:line="320" w:lineRule="exact" w:before="248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E3.1.1.2.8.  Discrimination and/or Sexual Harassment Complaints. </w:t>
      </w:r>
    </w:p>
    <w:p>
      <w:pPr>
        <w:autoSpaceDN w:val="0"/>
        <w:autoSpaceDE w:val="0"/>
        <w:widowControl/>
        <w:spacing w:line="322" w:lineRule="exact" w:before="24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E3.1.1.2.9.  Utilization of Skills. </w:t>
      </w:r>
    </w:p>
    <w:p>
      <w:pPr>
        <w:autoSpaceDN w:val="0"/>
        <w:autoSpaceDE w:val="0"/>
        <w:widowControl/>
        <w:spacing w:line="320" w:lineRule="exact" w:before="248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E3.1.1.2.10.  Discipline. </w:t>
      </w:r>
    </w:p>
    <w:p>
      <w:pPr>
        <w:autoSpaceDN w:val="0"/>
        <w:tabs>
          <w:tab w:pos="960" w:val="left"/>
        </w:tabs>
        <w:autoSpaceDE w:val="0"/>
        <w:widowControl/>
        <w:spacing w:line="288" w:lineRule="exact" w:before="280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E3.1.1.3.  Requirements are further explained in DoD Instruction 1350.3 (reference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(f)). </w:t>
      </w:r>
    </w:p>
    <w:p>
      <w:pPr>
        <w:autoSpaceDN w:val="0"/>
        <w:tabs>
          <w:tab w:pos="4560" w:val="left"/>
          <w:tab w:pos="7766" w:val="left"/>
        </w:tabs>
        <w:autoSpaceDE w:val="0"/>
        <w:widowControl/>
        <w:spacing w:line="320" w:lineRule="exact" w:before="20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2, 06/08/2015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ENCLOSURE 3 </w:t>
      </w:r>
    </w:p>
    <w:sectPr w:rsidR="00FC693F" w:rsidRPr="0006063C" w:rsidSect="00034616">
      <w:pgSz w:w="12240" w:h="15840"/>
      <w:pgMar w:top="344" w:right="1360" w:bottom="352" w:left="1440" w:header="720" w:footer="720" w:gutter="0"/>
      <w:cols w:space="720" w:num="1" w:equalWidth="0"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6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