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08759" cy="1508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59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060" w:val="left"/>
        </w:tabs>
        <w:autoSpaceDE w:val="0"/>
        <w:widowControl/>
        <w:spacing w:line="322" w:lineRule="auto" w:before="224" w:after="276"/>
        <w:ind w:left="239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IRECTIVE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 xml:space="preserve">5105.02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EPUTY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ECRETARY OF </w:t>
      </w:r>
      <w:r>
        <w:rPr>
          <w:rFonts w:ascii="TimesNewRomanPSMT" w:hAnsi="TimesNewRomanPSMT" w:eastAsia="TimesNewRomanPSMT"/>
          <w:b w:val="0"/>
          <w:i w:val="0"/>
          <w:color w:val="000000"/>
          <w:sz w:val="4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EFENSE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8"/>
        <w:gridCol w:w="5078"/>
      </w:tblGrid>
      <w:tr>
        <w:trPr>
          <w:trHeight w:hRule="exact" w:val="3598"/>
        </w:trPr>
        <w:tc>
          <w:tcPr>
            <w:tcW w:type="dxa" w:w="272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264" w:after="0"/>
              <w:ind w:left="2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Originating Component: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Effective: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Releasability:</w:t>
            </w:r>
          </w:p>
          <w:p>
            <w:pPr>
              <w:autoSpaceDN w:val="0"/>
              <w:autoSpaceDE w:val="0"/>
              <w:widowControl/>
              <w:spacing w:line="410" w:lineRule="auto" w:before="496" w:after="0"/>
              <w:ind w:left="28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Reissues and Cancels: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Approved by:</w:t>
            </w:r>
          </w:p>
        </w:tc>
        <w:tc>
          <w:tcPr>
            <w:tcW w:type="dxa" w:w="74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262" w:after="0"/>
              <w:ind w:left="18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Office of the Director of Administration and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February 11, 2021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Cleared for public release.  Available on the Directives Division Website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https://www.esd.whs.mil/DD/. </w:t>
            </w:r>
          </w:p>
          <w:p>
            <w:pPr>
              <w:autoSpaceDN w:val="0"/>
              <w:autoSpaceDE w:val="0"/>
              <w:widowControl/>
              <w:spacing w:line="406" w:lineRule="auto" w:before="232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DoD Directive 5105.02, “Deputy Secretary of Defense,” August 26, 2019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Lloyd J. Austin III, Secretary of Defense </w:t>
            </w:r>
          </w:p>
        </w:tc>
      </w:tr>
    </w:tbl>
    <w:p>
      <w:pPr>
        <w:autoSpaceDN w:val="0"/>
        <w:autoSpaceDE w:val="0"/>
        <w:widowControl/>
        <w:spacing w:line="259" w:lineRule="auto" w:before="242" w:after="0"/>
        <w:ind w:left="28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Purpose: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prescribes the responsibilities of the Deputy Secretary of Defense,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accordance with the authorities in Titles 5, 10, and 31 United States Code.</w:t>
      </w:r>
    </w:p>
    <w:p>
      <w:pPr>
        <w:sectPr>
          <w:pgSz w:w="12240" w:h="15840"/>
          <w:pgMar w:top="360" w:right="1032" w:bottom="1440" w:left="1052" w:header="720" w:footer="720" w:gutter="0"/>
          <w:cols w:space="720" w:num="1" w:equalWidth="0"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5105.02 February 11, 2021 </w:t>
      </w:r>
    </w:p>
    <w:p>
      <w:pPr>
        <w:autoSpaceDN w:val="0"/>
        <w:autoSpaceDE w:val="0"/>
        <w:widowControl/>
        <w:spacing w:line="288" w:lineRule="auto" w:before="400" w:after="0"/>
        <w:ind w:left="146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1: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G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ENERAL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I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SSUANCE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I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NFORMATION</w:t>
      </w:r>
    </w:p>
    <w:p>
      <w:pPr>
        <w:autoSpaceDN w:val="0"/>
        <w:autoSpaceDE w:val="0"/>
        <w:widowControl/>
        <w:spacing w:line="288" w:lineRule="auto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>APPLICABILITY.</w:t>
      </w:r>
    </w:p>
    <w:p>
      <w:pPr>
        <w:autoSpaceDN w:val="0"/>
        <w:autoSpaceDE w:val="0"/>
        <w:widowControl/>
        <w:spacing w:line="250" w:lineRule="auto" w:before="1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issuance applies to OSD, the Military Departments, the Office of the Chairman of the Joint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Chiefs of Staff and the Joint Staff, the Combatant Commands, the Office of Inspector General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Department of Defense, the Defense Agencies, the DoD Field Activities, and all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organizational entities within the DoD. </w:t>
      </w:r>
    </w:p>
    <w:p>
      <w:pPr>
        <w:autoSpaceDN w:val="0"/>
        <w:tabs>
          <w:tab w:pos="9240" w:val="left"/>
        </w:tabs>
        <w:autoSpaceDE w:val="0"/>
        <w:widowControl/>
        <w:spacing w:line="278" w:lineRule="auto" w:before="108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ENERAL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SSUANCE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5105.02 February 11, 2021 </w:t>
      </w:r>
    </w:p>
    <w:p>
      <w:pPr>
        <w:autoSpaceDN w:val="0"/>
        <w:autoSpaceDE w:val="0"/>
        <w:widowControl/>
        <w:spacing w:line="288" w:lineRule="auto" w:before="400" w:after="0"/>
        <w:ind w:left="0" w:right="2686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S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 xml:space="preserve">ECTION 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2:</w:t>
      </w: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ESPONSIBILITIES</w:t>
      </w:r>
    </w:p>
    <w:p>
      <w:pPr>
        <w:autoSpaceDN w:val="0"/>
        <w:autoSpaceDE w:val="0"/>
        <w:widowControl/>
        <w:spacing w:line="288" w:lineRule="auto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4"/>
        </w:rPr>
        <w:t xml:space="preserve">DEPUTY SECRETARY OF DEFENSE. </w:t>
      </w:r>
    </w:p>
    <w:p>
      <w:pPr>
        <w:autoSpaceDN w:val="0"/>
        <w:autoSpaceDE w:val="0"/>
        <w:widowControl/>
        <w:spacing w:line="281" w:lineRule="auto" w:before="4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Deputy Secretary of Defense: </w:t>
      </w:r>
    </w:p>
    <w:p>
      <w:pPr>
        <w:autoSpaceDN w:val="0"/>
        <w:autoSpaceDE w:val="0"/>
        <w:widowControl/>
        <w:spacing w:line="247" w:lineRule="auto" w:before="194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In accordance with the authorities contained in Titles 5, 10, and 31, United States Code,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except as expressly prohibited by law, Deputy Secretary of Defense Kathleen H. Hicks has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full power and authority to act for the Secretary of Defense and to exercise the powers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Secretary of Defense upon any and all matters concerning which the Secretary of Defense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authorized to act pursuant to law.  Included, without limitation, in these authorities is serving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Chief Operating Officer of the Department of Defense, who will: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94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Ensure Department-wide capability and resources across all functions to carry out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plan of the DoD in support of national security objectives.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94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Serve as the accountable official for DoD management and performance, pursuant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1123 of Title 31, United States Code.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94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Develop and maintain a strategic plan or equivalent, pursuant to Section 306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Title 5, United States Code. </w:t>
      </w:r>
    </w:p>
    <w:p>
      <w:pPr>
        <w:autoSpaceDN w:val="0"/>
        <w:autoSpaceDE w:val="0"/>
        <w:widowControl/>
        <w:spacing w:line="254" w:lineRule="auto" w:before="194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The all-inclusive authority reflected in Paragraph 2.a., may not be further delegated in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entirety; however, the Deputy Secretary of Defense is authorized, except where otherwise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restricted, to make specific written delegations.</w:t>
      </w:r>
    </w:p>
    <w:p>
      <w:pPr>
        <w:autoSpaceDN w:val="0"/>
        <w:autoSpaceDE w:val="0"/>
        <w:widowControl/>
        <w:spacing w:line="278" w:lineRule="auto" w:before="61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>ESPONSIBILITIES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101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5105.02 February 11, 2021 </w:t>
      </w:r>
    </w:p>
    <w:p>
      <w:pPr>
        <w:autoSpaceDN w:val="0"/>
        <w:autoSpaceDE w:val="0"/>
        <w:widowControl/>
        <w:spacing w:line="288" w:lineRule="auto" w:before="400" w:after="0"/>
        <w:ind w:left="0" w:right="3866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32"/>
        </w:rPr>
        <w:t>R</w:t>
      </w:r>
      <w:r>
        <w:rPr>
          <w:rFonts w:ascii="TimesNewRomanPS" w:hAnsi="TimesNewRomanPS" w:eastAsia="TimesNewRomanPS"/>
          <w:b/>
          <w:i w:val="0"/>
          <w:color w:val="365F91"/>
          <w:sz w:val="26"/>
        </w:rPr>
        <w:t>EFERENCES</w:t>
      </w:r>
    </w:p>
    <w:p>
      <w:pPr>
        <w:autoSpaceDN w:val="0"/>
        <w:autoSpaceDE w:val="0"/>
        <w:widowControl/>
        <w:spacing w:line="288" w:lineRule="auto" w:before="166" w:after="0"/>
        <w:ind w:left="0" w:right="66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10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31 </w:t>
      </w:r>
    </w:p>
    <w:p>
      <w:pPr>
        <w:autoSpaceDN w:val="0"/>
        <w:tabs>
          <w:tab w:pos="9240" w:val="left"/>
        </w:tabs>
        <w:autoSpaceDE w:val="0"/>
        <w:widowControl/>
        <w:spacing w:line="278" w:lineRule="auto" w:before="118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EFERENCES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</w:p>
    <w:sectPr w:rsidR="00FC693F" w:rsidRPr="0006063C" w:rsidSect="00034616">
      <w:pgSz w:w="12240" w:h="15840"/>
      <w:pgMar w:top="356" w:right="1360" w:bottom="356" w:left="1440" w:header="720" w:footer="720" w:gutter="0"/>
      <w:cols w:space="720" w:num="1" w:equalWidth="0">
        <w:col w:w="9440" w:space="0"/>
        <w:col w:w="9440" w:space="0"/>
        <w:col w:w="9440" w:space="0"/>
        <w:col w:w="101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