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2"/>
        <w:ind w:left="0" w:right="0"/>
      </w:pPr>
    </w:p>
    <w:p>
      <w:pPr>
        <w:autoSpaceDN w:val="0"/>
        <w:tabs>
          <w:tab w:pos="3086" w:val="left"/>
          <w:tab w:pos="3588" w:val="left"/>
        </w:tabs>
        <w:autoSpaceDE w:val="0"/>
        <w:widowControl/>
        <w:spacing w:line="240" w:lineRule="auto" w:before="2016" w:after="0"/>
        <w:ind w:left="0" w:right="2592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80160" cy="1280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44"/>
        </w:rPr>
        <w:t xml:space="preserve">INSTRUCTION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44"/>
        </w:rPr>
        <w:t xml:space="preserve">Department of Defense </w:t>
      </w:r>
    </w:p>
    <w:p>
      <w:pPr>
        <w:autoSpaceDN w:val="0"/>
        <w:autoSpaceDE w:val="0"/>
        <w:widowControl/>
        <w:spacing w:line="270" w:lineRule="exact" w:before="66" w:after="0"/>
        <w:ind w:left="5184" w:right="2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NUMBER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8910.01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May 19, 2014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Incorporating Change 1, Effective July 8, 2020</w:t>
      </w:r>
    </w:p>
    <w:p>
      <w:pPr>
        <w:autoSpaceDN w:val="0"/>
        <w:autoSpaceDE w:val="0"/>
        <w:widowControl/>
        <w:spacing w:line="240" w:lineRule="auto" w:before="0" w:after="0"/>
        <w:ind w:left="5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18200" cy="88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9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CIO </w:t>
      </w:r>
    </w:p>
    <w:p>
      <w:pPr>
        <w:autoSpaceDN w:val="0"/>
        <w:autoSpaceDE w:val="0"/>
        <w:widowControl/>
        <w:spacing w:line="320" w:lineRule="exact" w:before="232" w:after="0"/>
        <w:ind w:left="4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SUBJECT:  Information Collection and Reporting </w:t>
      </w:r>
    </w:p>
    <w:p>
      <w:pPr>
        <w:autoSpaceDN w:val="0"/>
        <w:autoSpaceDE w:val="0"/>
        <w:widowControl/>
        <w:spacing w:line="320" w:lineRule="exact" w:before="222" w:after="0"/>
        <w:ind w:left="4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References:  See Enclosure 1 </w:t>
      </w:r>
    </w:p>
    <w:p>
      <w:pPr>
        <w:autoSpaceDN w:val="0"/>
        <w:autoSpaceDE w:val="0"/>
        <w:widowControl/>
        <w:spacing w:line="322" w:lineRule="exact" w:before="500" w:after="0"/>
        <w:ind w:left="4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PURPOSE.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This instruction: </w:t>
      </w:r>
    </w:p>
    <w:p>
      <w:pPr>
        <w:autoSpaceDN w:val="0"/>
        <w:tabs>
          <w:tab w:pos="820" w:val="left"/>
        </w:tabs>
        <w:autoSpaceDE w:val="0"/>
        <w:widowControl/>
        <w:spacing w:line="276" w:lineRule="exact" w:before="276" w:after="0"/>
        <w:ind w:left="46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Reissues DoD Instruction (DoDI) 8910.01 (Reference (a)) in accordance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authority in DoD Directive (DoDD) 5144.02 (Reference (b)). </w:t>
      </w:r>
    </w:p>
    <w:p>
      <w:pPr>
        <w:autoSpaceDN w:val="0"/>
        <w:autoSpaceDE w:val="0"/>
        <w:widowControl/>
        <w:spacing w:line="276" w:lineRule="exact" w:before="276" w:after="0"/>
        <w:ind w:left="460" w:right="576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Establishes and reissues policies and assigns responsibilities for the collection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and the control of the paperwork burden consistent with chapter 35 of Title 44,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United States Code (U.S.C.) (Reference (c)). </w:t>
      </w:r>
    </w:p>
    <w:p>
      <w:pPr>
        <w:autoSpaceDN w:val="0"/>
        <w:autoSpaceDE w:val="0"/>
        <w:widowControl/>
        <w:spacing w:line="322" w:lineRule="exact" w:before="506" w:after="0"/>
        <w:ind w:left="4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APPLICABILITY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This instruction: </w:t>
      </w:r>
    </w:p>
    <w:p>
      <w:pPr>
        <w:autoSpaceDN w:val="0"/>
        <w:autoSpaceDE w:val="0"/>
        <w:widowControl/>
        <w:spacing w:line="322" w:lineRule="exact" w:before="230" w:after="0"/>
        <w:ind w:left="8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Applies to: </w:t>
      </w:r>
    </w:p>
    <w:p>
      <w:pPr>
        <w:autoSpaceDN w:val="0"/>
        <w:autoSpaceDE w:val="0"/>
        <w:widowControl/>
        <w:spacing w:line="276" w:lineRule="exact" w:before="276" w:after="0"/>
        <w:ind w:left="46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OSD, the Military Departments, the Office of the Chairman of the Joint Chiefs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Staff and the Joint Staff, the Combatant Commands, the Office of the Inspector General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 of Defense, the Defense Agencies, the DoD Field Activities, and all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organizational entities within the DoD (referred to collectively in this instruction as the “DoD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Components”). </w:t>
      </w:r>
    </w:p>
    <w:p>
      <w:pPr>
        <w:autoSpaceDN w:val="0"/>
        <w:tabs>
          <w:tab w:pos="1180" w:val="left"/>
        </w:tabs>
        <w:autoSpaceDE w:val="0"/>
        <w:widowControl/>
        <w:spacing w:line="276" w:lineRule="exact" w:before="276" w:after="0"/>
        <w:ind w:left="46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Information collected from sources external to the Federal Government, as well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internally in the DoD. </w:t>
      </w:r>
    </w:p>
    <w:p>
      <w:pPr>
        <w:autoSpaceDN w:val="0"/>
        <w:autoSpaceDE w:val="0"/>
        <w:widowControl/>
        <w:spacing w:line="276" w:lineRule="exact" w:before="276" w:after="0"/>
        <w:ind w:left="46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The collection of information to satisfy statutory and interagency requirements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those in support of all management functions, unless excluded in DoD Manual (DoDM) 8910.01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(Reference (d)). </w:t>
      </w:r>
    </w:p>
    <w:p>
      <w:pPr>
        <w:autoSpaceDN w:val="0"/>
        <w:autoSpaceDE w:val="0"/>
        <w:widowControl/>
        <w:spacing w:line="276" w:lineRule="exact" w:before="276" w:after="0"/>
        <w:ind w:left="460" w:right="288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Does not apply to information collections where DoD is a respondent to Congress.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Assistant Secretary of Defense for Legislative Affairs manages the approval and licensing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processes for information collection requirements in which DoD responds to a request by </w:t>
      </w:r>
    </w:p>
    <w:p>
      <w:pPr>
        <w:sectPr>
          <w:pgSz w:w="12240" w:h="15840"/>
          <w:pgMar w:top="542" w:right="1360" w:bottom="740" w:left="980" w:header="720" w:footer="720" w:gutter="0"/>
          <w:cols w:space="720" w:num="1" w:equalWidth="0">
            <w:col w:w="99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64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DoDI 8910.01, May 19, 2014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Congress.  Policy, procedures, and guidance for information collections requested by Congress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can be found in DoDI 5545.02 (Reference (e)).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Does not address approval processes for information collections (audits, assessments,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investigations, etc.) made pursuant to Appendix 3 of Title 5, United States Code, also known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“Inspector General Act of 1978” (Reference (f)).  Policy, procedures, and guidance for these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audits, assessments, investigations, etc., can be found in DoDD 5106.01 (Reference (g)). </w:t>
      </w:r>
    </w:p>
    <w:p>
      <w:pPr>
        <w:autoSpaceDN w:val="0"/>
        <w:autoSpaceDE w:val="0"/>
        <w:widowControl/>
        <w:spacing w:line="320" w:lineRule="exact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POLICY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It is DoD policy that: </w:t>
      </w:r>
    </w:p>
    <w:p>
      <w:pPr>
        <w:autoSpaceDN w:val="0"/>
        <w:autoSpaceDE w:val="0"/>
        <w:widowControl/>
        <w:spacing w:line="276" w:lineRule="exact" w:before="276" w:after="0"/>
        <w:ind w:left="0" w:right="576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Prior to collecting information, users requiring the information must ensure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to be collected is not duplicative of information already available.  When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is not already available, users must ensure that: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Other methods (e.g., statistical sampling) that will minimize the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collection burden cannot be used.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The information collection request is essential to the mission of the requesting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organization and the cost of the collection is worth the benefit derived from it.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Information collections must be designed to meet only essential needs and be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infrequent as feasible, with reasonable due dates.  The number of copies to be prepared must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held to a minimum.  One-time information collections may not be imposed when the need for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recurring information collection is indicated. </w:t>
      </w:r>
    </w:p>
    <w:p>
      <w:pPr>
        <w:autoSpaceDN w:val="0"/>
        <w:autoSpaceDE w:val="0"/>
        <w:widowControl/>
        <w:spacing w:line="276" w:lineRule="exact" w:before="276" w:after="0"/>
        <w:ind w:left="0" w:right="57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Information collected from the public as defined in Reference (d), OSD and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Components, and other federal agencies must be minimized, accounted for, and controlled.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Part 1320 of Title 5, Code of Federal Regulations (Reference (h)) directs that public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collections be submitted to the Office of Management and Budget (OMB)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approval and assigned an OMB control number, and that an annual information collection budget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burden hours be developed and submitted to the OMB.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Information collections that are within the requesting OSD or DoD Component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approved and assigned a Component information collection control symbol.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DoD information collections, where information across OSD or DoD Components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collected, must be approved and licensed with a DoD internal information collection report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control symbol (RCS) prior to the collection of such information, in accordance with Reference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An interagency information collection requirement must be processed in accordance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Reference (d). </w:t>
      </w:r>
    </w:p>
    <w:p>
      <w:pPr>
        <w:autoSpaceDN w:val="0"/>
        <w:tabs>
          <w:tab w:pos="4620" w:val="left"/>
        </w:tabs>
        <w:autoSpaceDE w:val="0"/>
        <w:widowControl/>
        <w:spacing w:line="320" w:lineRule="exact" w:before="121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1, 07/08/2020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356" w:right="1376" w:bottom="356" w:left="1440" w:header="720" w:footer="720" w:gutter="0"/>
          <w:cols w:space="720" w:num="1" w:equalWidth="0">
            <w:col w:w="9424" w:space="0"/>
            <w:col w:w="99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54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DoDI 8910.01, May 19, 2014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44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The OSD and DoD Components must not respond to information collections that have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been properly approved and licensed with an information collections control symbol. </w:t>
      </w:r>
    </w:p>
    <w:p>
      <w:pPr>
        <w:autoSpaceDN w:val="0"/>
        <w:autoSpaceDE w:val="0"/>
        <w:widowControl/>
        <w:spacing w:line="276" w:lineRule="exact" w:before="276" w:after="0"/>
        <w:ind w:left="0" w:right="446" w:firstLine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Information collections that require special handling, such as classified and controlled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unclassified information, must be protected from unauthorized disclosure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5200.01 (Reference (i)).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 Collections of information that contain personal information on individuals require special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handling in accordance with DoDI 5400.11 (Reference (j)) and DoD 5400.11-R (Reference (k)). </w:t>
      </w:r>
    </w:p>
    <w:p>
      <w:pPr>
        <w:autoSpaceDN w:val="0"/>
        <w:autoSpaceDE w:val="0"/>
        <w:widowControl/>
        <w:spacing w:line="276" w:lineRule="exact" w:before="4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information included in a proposed collection of information must be accessible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only as prescribed by DoDD 5400.07 (Reference (l)).  To ensure personal information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electronic form is only acquired and maintained when necessary, and that the supporting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technology that is being developed and used protects and preserves the privacy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members of the public, a privacy impact assessment of information collections must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conducted in accordance with DoDI 5400.16 (Reference (m)). </w:t>
      </w:r>
    </w:p>
    <w:p>
      <w:pPr>
        <w:autoSpaceDN w:val="0"/>
        <w:autoSpaceDE w:val="0"/>
        <w:widowControl/>
        <w:spacing w:line="276" w:lineRule="exact" w:before="276" w:after="0"/>
        <w:ind w:left="0" w:right="288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  When an information collection has been approved and licensed with an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collection control symbol, and the information is collected, it must be made visible, available,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usable only to authorized individuals. </w:t>
      </w:r>
    </w:p>
    <w:p>
      <w:pPr>
        <w:autoSpaceDN w:val="0"/>
        <w:autoSpaceDE w:val="0"/>
        <w:widowControl/>
        <w:spacing w:line="320" w:lineRule="exact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RESPONSIBILITIES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See Enclosure 2. </w:t>
      </w:r>
    </w:p>
    <w:p>
      <w:pPr>
        <w:autoSpaceDN w:val="0"/>
        <w:autoSpaceDE w:val="0"/>
        <w:widowControl/>
        <w:spacing w:line="262" w:lineRule="exact" w:before="580" w:after="0"/>
        <w:ind w:left="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RELEASABILITY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Cleared for public release.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This instruction is available on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ectives Division 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ebsite at https://www.esd.whs.mil/DD/. </w:t>
      </w:r>
    </w:p>
    <w:p>
      <w:pPr>
        <w:autoSpaceDN w:val="0"/>
        <w:autoSpaceDE w:val="0"/>
        <w:widowControl/>
        <w:spacing w:line="276" w:lineRule="exact" w:before="552" w:after="0"/>
        <w:ind w:left="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SUMMARY OF CHANGE 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change to this issuance updates references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anizational titles and removes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expiration language in accordance with current Chief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Management Officer of the Department of Defense direction. </w:t>
      </w:r>
    </w:p>
    <w:p>
      <w:pPr>
        <w:autoSpaceDN w:val="0"/>
        <w:autoSpaceDE w:val="0"/>
        <w:widowControl/>
        <w:spacing w:line="320" w:lineRule="exact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EFFECTIVE DATE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This instruction is effective May 19, 2014. </w:t>
      </w:r>
    </w:p>
    <w:p>
      <w:pPr>
        <w:autoSpaceDN w:val="0"/>
        <w:autoSpaceDE w:val="0"/>
        <w:widowControl/>
        <w:spacing w:line="240" w:lineRule="auto" w:before="546" w:after="0"/>
        <w:ind w:left="0" w:right="18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90419" cy="5626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0419" cy="562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468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David L. De Vries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Acting DoD Chief Information Officer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76" w:after="0"/>
        <w:ind w:left="0" w:right="70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Enclosures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 References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 Responsibilities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Glossary </w:t>
      </w:r>
    </w:p>
    <w:p>
      <w:pPr>
        <w:autoSpaceDN w:val="0"/>
        <w:tabs>
          <w:tab w:pos="4620" w:val="left"/>
        </w:tabs>
        <w:autoSpaceDE w:val="0"/>
        <w:widowControl/>
        <w:spacing w:line="320" w:lineRule="exact" w:before="6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1, 07/08/2020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 </w:t>
      </w:r>
    </w:p>
    <w:p>
      <w:pPr>
        <w:sectPr>
          <w:pgSz w:w="12240" w:h="15840"/>
          <w:pgMar w:top="356" w:right="1386" w:bottom="356" w:left="1440" w:header="720" w:footer="720" w:gutter="0"/>
          <w:cols w:space="720" w:num="1" w:equalWidth="0">
            <w:col w:w="9414" w:space="0"/>
            <w:col w:w="9424" w:space="0"/>
            <w:col w:w="99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8910.01, May 19, 2014 </w:t>
      </w:r>
    </w:p>
    <w:p>
      <w:pPr>
        <w:autoSpaceDN w:val="0"/>
        <w:autoSpaceDE w:val="0"/>
        <w:widowControl/>
        <w:spacing w:line="320" w:lineRule="exact" w:before="40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TABLE OF CONTENTS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50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ENCLOSURE 1:  REFERENCES ...................................................................................................5 </w:t>
      </w:r>
    </w:p>
    <w:p>
      <w:pPr>
        <w:autoSpaceDN w:val="0"/>
        <w:autoSpaceDE w:val="0"/>
        <w:widowControl/>
        <w:spacing w:line="320" w:lineRule="exact" w:before="2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ENCLOSURE 2:  RESPONSIBILITIES .........................................................................................6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CHIEF INFORMATION OFFICER (DOD CIO) ............................................................6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SECRETARY OF DEFENSE FOR PERSONNEL AND READINESS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(USD(P&amp;R)) ........................................................................................................................6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WHS .....................................................................................................................6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OSD AND DoD COMPONENT HEADS .................................................................................7 </w:t>
      </w:r>
    </w:p>
    <w:p>
      <w:pPr>
        <w:autoSpaceDN w:val="0"/>
        <w:autoSpaceDE w:val="0"/>
        <w:widowControl/>
        <w:spacing w:line="320" w:lineRule="exact" w:before="2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GLOSSARY ..................................................................................................................................10 </w:t>
      </w:r>
    </w:p>
    <w:p>
      <w:pPr>
        <w:autoSpaceDN w:val="0"/>
        <w:autoSpaceDE w:val="0"/>
        <w:widowControl/>
        <w:spacing w:line="276" w:lineRule="exact" w:before="276" w:after="8608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 I:  ABBREVIATIONS AND ACRONYMS ................................................................10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 II:  DEFINITIONS ........................................................................................................10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6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07/08/2020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CONTENTS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14" w:space="0"/>
            <w:col w:w="9424" w:space="0"/>
            <w:col w:w="99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DoDI 8910.01, May 19, 2014</w:t>
      </w:r>
    </w:p>
    <w:p>
      <w:pPr>
        <w:autoSpaceDN w:val="0"/>
        <w:autoSpaceDE w:val="0"/>
        <w:widowControl/>
        <w:spacing w:line="320" w:lineRule="exact" w:before="40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ENCLOSURE 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REFERENCES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518" w:val="left"/>
          <w:tab w:pos="540" w:val="left"/>
        </w:tabs>
        <w:autoSpaceDE w:val="0"/>
        <w:widowControl/>
        <w:spacing w:line="276" w:lineRule="exact" w:before="552" w:after="0"/>
        <w:ind w:left="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DoD Instruction 8910.01, “Information Collection and Reporting,” March 6, 2007, 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amended (hereby cancelled)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DoD Directive 5144.02, “DoD Chief Information Officer (DoD CIO),” April 22, 2013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Chapter 35 of Title 44, United States Code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DoD Manual 8910.01, “DoD Information Collections Manual,” June 30, 2014, as amended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DoD Instruction 5545.02, “DoD Policy for Congressional Authorization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Appropriations Reporting Requirements,” December 19, 2008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Appendix 3 of Title 5, United States Code, “Inspector General Act of 1978”, as amended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(g) DoD Directive 5106.01, “Inspector General of the Department of Defense (IG DoD),”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April 20, 2012,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(h) Part 1320 of Title 5, Code of Federal Regulations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5200.01, “DoD Information Security Program and Protection of Sensitive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Compartmented Information (SCI),” April 21, 2016,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(j)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5400.11, “DoD Privacy and Civil Liberties Programs,” January 29, 2019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(k) DoD 5400.11-R, “Department Of Defense Privacy Program,” May 14, 2007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(l)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5400.07, “DoD Freedom of Information Act (FOIA) Program,” April 5,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(m) DoD Instruction 5400.16, “DoD Privacy Impact Assessment (PIA) Guidance,”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July 14, 2015,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(n) DoD Instruction 5025.01, “DoD Issuances Program,” August 1, 2016, as amended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(o) DoD Instruction 1100.13, “DoD Surveys,” January 15, 2015,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(p) Office of Management and Budget (OMB) Memorandum M-13-13, “Open Data Policy—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Managing Information as an Asset,” May 9, 2013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(q) Secretary of Defense Memorandum, “Track Four Efficiency Initiatives Decisions,” March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14, 2011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(r)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3216.02, “Protection of Human Subjects and Adherence to Ethical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Standards in DoD-Conducted and -Supported Research,” April 15, 2020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(s) DoD Instruction 5015.02, “DoD Records Management Program,” February 24, 2015, 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Manual 8400.01, “Accessibility Of Information And Communications Technology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(ICT),” November 14, 2017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(u) DoD Instruction 8170.01, “Online Information Management and Electronic Messaging,”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January 2, 2019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(v) DoD Instruction 8500.01, “Cybersecurity,” March 14, 2014,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(w) DoD Instruction 8510.01, “Risk Management Framework (RMF) for DoD Information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Technology (IT),” March 12, 2014,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(x) DoD Instruction 7750.07, “DoD Forms Management Program,” October 10, 2014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(y) DoD Manual 7750.08, “DoD Forms Management Program (FMP) Procedures,”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February 25, 2020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(z) DoD Instruction 1000.30, “Reduction of Social Security Number (SSN) Use Within DoD,”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August 1, 2012, as amended </w:t>
      </w:r>
    </w:p>
    <w:p>
      <w:pPr>
        <w:autoSpaceDN w:val="0"/>
        <w:tabs>
          <w:tab w:pos="4620" w:val="left"/>
          <w:tab w:pos="7046" w:val="left"/>
        </w:tabs>
        <w:autoSpaceDE w:val="0"/>
        <w:widowControl/>
        <w:spacing w:line="320" w:lineRule="exact" w:before="6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1, 07/08/2020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ENCLOSURE 1 </w:t>
      </w:r>
    </w:p>
    <w:p>
      <w:pPr>
        <w:sectPr>
          <w:pgSz w:w="12240" w:h="15840"/>
          <w:pgMar w:top="356" w:right="1420" w:bottom="356" w:left="1440" w:header="720" w:footer="720" w:gutter="0"/>
          <w:cols w:space="720" w:num="1" w:equalWidth="0">
            <w:col w:w="9380" w:space="0"/>
            <w:col w:w="9440" w:space="0"/>
            <w:col w:w="9414" w:space="0"/>
            <w:col w:w="9424" w:space="0"/>
            <w:col w:w="99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DoDI 8910.01, May 19, 2014</w:t>
      </w:r>
    </w:p>
    <w:p>
      <w:pPr>
        <w:autoSpaceDN w:val="0"/>
        <w:autoSpaceDE w:val="0"/>
        <w:widowControl/>
        <w:spacing w:line="320" w:lineRule="exact" w:before="40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ENCLOSURE 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RESPONSIBILITIES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55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DoD CHIEF INFORMATION OFFICER (DoD CIO)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Pursuant to Reference (b),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O: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Develops and establishes DoD policy for OSD and DoD internal, interagency, and public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collection activities.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76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Establishes goals, consistent with critical mission needs, to reduce the number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frequency of DoD internal and public information collections. </w:t>
      </w:r>
    </w:p>
    <w:p>
      <w:pPr>
        <w:autoSpaceDN w:val="0"/>
        <w:autoSpaceDE w:val="0"/>
        <w:widowControl/>
        <w:spacing w:line="320" w:lineRule="exact" w:before="2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Oversees the accomplishment of DoD information collection reduction goals. </w:t>
      </w:r>
    </w:p>
    <w:p>
      <w:pPr>
        <w:autoSpaceDN w:val="0"/>
        <w:autoSpaceDE w:val="0"/>
        <w:widowControl/>
        <w:spacing w:line="320" w:lineRule="exact" w:before="2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Approves the DoD information collection budget and monitors its execution. </w:t>
      </w:r>
    </w:p>
    <w:p>
      <w:pPr>
        <w:autoSpaceDN w:val="0"/>
        <w:autoSpaceDE w:val="0"/>
        <w:widowControl/>
        <w:spacing w:line="276" w:lineRule="exact" w:before="55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UNDER SECRETARY OF DEFENSE FOR PERSONNEL AND READINESS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(U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SD(P&amp;R))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.  In accordance with procedures prescribed in DoDI 1100.13 (Referen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ce (o))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this instructio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n, the USD(P&amp;R):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Provides mandatory coordination, including recommending approval or disapproval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Washington Headquarters Services (WHS), on all surveys defined as DoD internal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information collections, and in accordance with Reference (o).  If USD(P&amp;R)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coordination results in a recommended disapproval, the disapproved survey instrument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methodology cannot be used to collect information in any licensed DoD internal or public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collections.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Assesses all surveys for compliance with applicable laws, regulations, and policies before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final approval.  For DoD internal information collections, the DoD Internal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Collections Officer (IICO), grants final approval and assigns an RCS to the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collection in accordance with Reference (d).  For public information collections, OMB is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final approval authority and assigns an OMB control number to the information collection. </w:t>
      </w:r>
    </w:p>
    <w:p>
      <w:pPr>
        <w:autoSpaceDN w:val="0"/>
        <w:autoSpaceDE w:val="0"/>
        <w:widowControl/>
        <w:spacing w:line="276" w:lineRule="exact" w:before="552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DIRECTOR, WHS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Under the authority, direction and control of the Chief Management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icer of the Departm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 of Defense, the Director, WHS: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76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Maintains Reference (d) consistent with this instruction, and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Reference (n). </w:t>
      </w:r>
    </w:p>
    <w:p>
      <w:pPr>
        <w:autoSpaceDN w:val="0"/>
        <w:autoSpaceDE w:val="0"/>
        <w:widowControl/>
        <w:spacing w:line="320" w:lineRule="exact" w:before="232" w:after="88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Establishes a DoD information collection control activity to: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7"/>
        <w:gridCol w:w="3127"/>
        <w:gridCol w:w="3127"/>
      </w:tblGrid>
      <w:tr>
        <w:trPr>
          <w:trHeight w:hRule="exact" w:val="36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07/08/2020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420" w:bottom="492" w:left="1440" w:header="720" w:footer="720" w:gutter="0"/>
          <w:cols w:space="720" w:num="1" w:equalWidth="0">
            <w:col w:w="9380" w:space="0"/>
            <w:col w:w="9380" w:space="0"/>
            <w:col w:w="9440" w:space="0"/>
            <w:col w:w="9414" w:space="0"/>
            <w:col w:w="9424" w:space="0"/>
            <w:col w:w="99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DoDI 8910.01, May 19, 2014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Maintain an index of approved DoD public information collections and DoD internal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collections located at http://www.reginfo.gov/public/do/PRAMain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http://www.dtic.mil/whs/directives/corres/intinfocollections/iic_home.html, respectively.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Serve as the DoD clearance office and the office of record for DoD public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collections, in accordance with References (c) and (h), and develops and coordinates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DoD information collection budget.  Established under these offices, the DoD Public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Collections Officer (PICO) processes, and may certify, DoD public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collections.  The DoD Clearance Officer processes and certifies DoD public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collections, and approves emergency processing requests to OMB for public collections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coordination with the Office of the DoD CIO.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Serve as the office of record and approval and disapproval authority for DoD internal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collections, in accordance with guidance in References (d) and this instruction. </w:t>
      </w:r>
    </w:p>
    <w:p>
      <w:pPr>
        <w:autoSpaceDN w:val="0"/>
        <w:autoSpaceDE w:val="0"/>
        <w:widowControl/>
        <w:spacing w:line="276" w:lineRule="exact" w:before="4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Established under this office, the DoD IICO approves DoD internal information collections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submitted by the OSD and DoD Components and assigns information collection report control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symbols. </w:t>
      </w:r>
    </w:p>
    <w:p>
      <w:pPr>
        <w:autoSpaceDN w:val="0"/>
        <w:autoSpaceDE w:val="0"/>
        <w:widowControl/>
        <w:spacing w:line="320" w:lineRule="exact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OSD AND DoD COMPONENT HEADS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OSD and DoD Component heads: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Respond only to those information collections that have an active DoD internal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collection report control symbol, are not considered DoD internal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collections in accordance with Reference (d), are tracked as congressional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collections in accordance with Reference (e), or are assigned OMB control numbers for public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collections.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76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Collect information consistent with the requirements in OMB Memorandum M-13-13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(Reference (p)).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Design new information collection so that the information collected or created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supports interoperability between information systems and dissemination of information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public, as appropriate, without the need to manipulate or reprocess the information.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Use machine-readable and open data formats, data standards, and common core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extensible metadata for all new information creation and collection efforts.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Apply open licenses to information as it is collected or created so that if data is made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there are no restrictions on copying, publishing, distributing, transmitting, adapting,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otherwise using the information for non-commercial or for commercial purposes. </w:t>
      </w:r>
    </w:p>
    <w:p>
      <w:pPr>
        <w:autoSpaceDN w:val="0"/>
        <w:autoSpaceDE w:val="0"/>
        <w:widowControl/>
        <w:spacing w:line="276" w:lineRule="exact" w:before="276" w:after="880"/>
        <w:ind w:left="0" w:right="576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Ensure that users justify new information collections and that the information is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already available from other sources.  To reduce costs and burden, ensure that data is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duplicated or unnecessarily generated.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32"/>
        <w:gridCol w:w="3132"/>
        <w:gridCol w:w="3132"/>
      </w:tblGrid>
      <w:tr>
        <w:trPr>
          <w:trHeight w:hRule="exact" w:val="36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07/08/2020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404" w:bottom="492" w:left="1440" w:header="720" w:footer="720" w:gutter="0"/>
          <w:cols w:space="720" w:num="1" w:equalWidth="0">
            <w:col w:w="9396" w:space="0"/>
            <w:col w:w="9380" w:space="0"/>
            <w:col w:w="9380" w:space="0"/>
            <w:col w:w="9440" w:space="0"/>
            <w:col w:w="9414" w:space="0"/>
            <w:col w:w="9424" w:space="0"/>
            <w:col w:w="99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DoDI 8910.01, May 19, 2014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Evaluate and screen each data element in an information collection against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in existing information collections to determine whether such existing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can satisfy the requirement. </w:t>
      </w:r>
    </w:p>
    <w:p>
      <w:pPr>
        <w:autoSpaceDN w:val="0"/>
        <w:autoSpaceDE w:val="0"/>
        <w:widowControl/>
        <w:spacing w:line="276" w:lineRule="exact" w:before="276" w:after="0"/>
        <w:ind w:left="0" w:right="386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Subject each new or revised information collection to a cost analysis by using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Cost Guidance Portal located at https://www.cape.osd.mil/CostGuidance, in accordance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Secretary of Defense Memorandum (Reference (q)).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Determine whether information collected is releasable from the OSD or DoD Component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other federal agencies, consistent with section 3510 of Reference (c).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Establish an information collections control activity under the OSD or DoD Components’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CIO or elsewhere in the organization.  An OSD or DoD Component Information Management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Control Officer (IMCO) will be appointed in accordance with Reference (d) and positioned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this activity.  The OSD or DoD Component IMCO: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100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Serves as the OSD or DoD Component’s principal point of contact on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collections programs.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Ensures information collections requiring the collection of personally identifiable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(PII) are reviewed in accordance with Reference (j).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Ensures electronic collection of PII is conducted in accordance with Reference (m).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Ensures information collections that include research involving human subjects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reviewed in accordance with the requirements of DoDI 3216.02 (Reference (r)).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(5)  Ensures appropriate lifecycle management of records created during the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collection effort; collected information must be maintained, used, preserved, and disposed of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DoDI 5015.02 (Reference (s)).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(6)  Ensures information is collected and provided in formats and methods that ensure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accessibility in accordance with DoDM 8400.01 (Reference (t)).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(7)  Provides for the efficient and effective management, control, and safeguarding,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collected information.  Requests for information, including information collected via a computer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 or an electronic format, must be appropriately safeguarded during transmission, storage,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processing in accordance with Reference (m), DoDI 8170.01 (Reference (u)), DoDI 8500.2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(Reference (v)), and DoDI 8510.01 (Reference (w)).  Information collections that require special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handling such as classified and control unclassified information must be protected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unauthorized disclosure in accordance with Reference (i). </w:t>
      </w:r>
    </w:p>
    <w:p>
      <w:pPr>
        <w:autoSpaceDN w:val="0"/>
        <w:autoSpaceDE w:val="0"/>
        <w:widowControl/>
        <w:spacing w:line="276" w:lineRule="exact" w:before="276" w:after="604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(8)  Ensures information collected that should be controlled as a DoD form is reviewed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the requirements in DoDI 7750.07 (Reference (x)) and DoDM 7750.08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(Reference (y)).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34"/>
        <w:gridCol w:w="3134"/>
        <w:gridCol w:w="3134"/>
      </w:tblGrid>
      <w:tr>
        <w:trPr>
          <w:trHeight w:hRule="exact" w:val="36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07/08/2020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98" w:bottom="492" w:left="1440" w:header="720" w:footer="720" w:gutter="0"/>
          <w:cols w:space="720" w:num="1" w:equalWidth="0">
            <w:col w:w="9402" w:space="0"/>
            <w:col w:w="9396" w:space="0"/>
            <w:col w:w="9380" w:space="0"/>
            <w:col w:w="9380" w:space="0"/>
            <w:col w:w="9440" w:space="0"/>
            <w:col w:w="9414" w:space="0"/>
            <w:col w:w="9424" w:space="0"/>
            <w:col w:w="99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76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DoDI 8910.01, May 19, 2014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46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(9)  Ensures the collection of social security numbers is justified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1000.30 (Reference (z)). </w:t>
      </w:r>
    </w:p>
    <w:p>
      <w:pPr>
        <w:autoSpaceDN w:val="0"/>
        <w:autoSpaceDE w:val="0"/>
        <w:widowControl/>
        <w:spacing w:line="276" w:lineRule="exact" w:before="276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(10)  Licenses OSD or DoD Component internal information collections by assigning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 internal information collection symbols, where applicable.  Cancels OSD or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 internal information collections that are no longer required.  Ensures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control symbols assigned by a higher level must not be assigned a different OSD or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 information control symbol by a lower level organization.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(11)  Notifies the office requesting the information that approval and the assignment of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control symbol must be obtained before the information can be collected,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notifies the DoD IICO when unlicensed or expired DoD internal information collections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encountered.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(12)  Submits requests for public information collections to the DoD PICO in the WHS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Management Division and DoD internal and interagency information collections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DoD IICO in the WHS Directives Division, in accordance with Reference (d).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(13)  Maintains an up-to-date index of the OSD or DoD Component’s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collections, and if necessary, provides copies of those records to the DoD IICO.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76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 Establishes goals, as appropriate, consistent with critical mission needs, for reduction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number or frequency of their internally prescribed information collections. </w:t>
      </w:r>
    </w:p>
    <w:p>
      <w:pPr>
        <w:autoSpaceDN w:val="0"/>
        <w:autoSpaceDE w:val="0"/>
        <w:widowControl/>
        <w:spacing w:line="276" w:lineRule="exact" w:before="276" w:after="5572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  Ensures that the OSD or DoD Component assesses its information collections at least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every 3 years to ensure they are still necessary.  When feasible, actions must be taken to cancel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unnecessary information collections or to modify the information collection to reduce burden.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5"/>
        <w:gridCol w:w="3145"/>
        <w:gridCol w:w="3145"/>
      </w:tblGrid>
      <w:tr>
        <w:trPr>
          <w:trHeight w:hRule="exact" w:val="36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07/08/2020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4" w:bottom="492" w:left="1440" w:header="720" w:footer="720" w:gutter="0"/>
          <w:cols w:space="720" w:num="1" w:equalWidth="0">
            <w:col w:w="9436" w:space="0"/>
            <w:col w:w="9402" w:space="0"/>
            <w:col w:w="9396" w:space="0"/>
            <w:col w:w="9380" w:space="0"/>
            <w:col w:w="9380" w:space="0"/>
            <w:col w:w="9440" w:space="0"/>
            <w:col w:w="9414" w:space="0"/>
            <w:col w:w="9424" w:space="0"/>
            <w:col w:w="99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DoDI 8910.01, May 19, 2014</w:t>
      </w:r>
    </w:p>
    <w:p>
      <w:pPr>
        <w:autoSpaceDN w:val="0"/>
        <w:autoSpaceDE w:val="0"/>
        <w:widowControl/>
        <w:spacing w:line="516" w:lineRule="exact" w:before="206" w:after="508"/>
        <w:ind w:left="2160" w:right="216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GLOSSARY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PART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ABBREVIATIONS AND ACRONYMS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540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DoD CIO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DoDD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DoDI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DoDM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IICO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IMCO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OMB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PICO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PII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RCS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U.S.C.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USD(P&amp;R)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WHS 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548" w:right="316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DoD Chief Information Officer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DoD directive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DoD instruction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DoD manual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548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Internal Information Collections Officer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Management Control Officer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5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Office of Management and Budget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548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 Information Collections Officer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personally identifiable information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5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Report Control Symbol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54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United States Code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 Secretary of Defense for Personnel and Readiness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5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Washington Headquarters Services 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320" w:lineRule="exact" w:before="68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PART 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DEFINITIONS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These terms and their definitions are for the purposes of this instruction. </w:t>
      </w:r>
    </w:p>
    <w:p>
      <w:pPr>
        <w:autoSpaceDN w:val="0"/>
        <w:tabs>
          <w:tab w:pos="360" w:val="left"/>
        </w:tabs>
        <w:autoSpaceDE w:val="0"/>
        <w:widowControl/>
        <w:spacing w:line="414" w:lineRule="exact" w:before="1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burden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total time, effort, or financial resources expended by persons to generate, maintain,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retain,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disclose or provide information to or for a federal agency, including: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Reviewing instructions. </w:t>
      </w:r>
    </w:p>
    <w:p>
      <w:pPr>
        <w:autoSpaceDN w:val="0"/>
        <w:autoSpaceDE w:val="0"/>
        <w:widowControl/>
        <w:spacing w:line="276" w:lineRule="exact" w:before="276" w:after="0"/>
        <w:ind w:left="0" w:right="256" w:firstLine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Developing, acquiring, installing, and utilizing technology and systems for the purposes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collecting, validating, and verifying information; processing and maintaining information;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disclosing and providing information.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76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Adjusting the existing ways to comply with any previously applicable instructions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requirements. </w:t>
      </w:r>
    </w:p>
    <w:p>
      <w:pPr>
        <w:autoSpaceDN w:val="0"/>
        <w:autoSpaceDE w:val="0"/>
        <w:widowControl/>
        <w:spacing w:line="320" w:lineRule="exact" w:before="2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Training personnel to be able to respond to a collection of information. </w:t>
      </w:r>
    </w:p>
    <w:p>
      <w:pPr>
        <w:autoSpaceDN w:val="0"/>
        <w:autoSpaceDE w:val="0"/>
        <w:widowControl/>
        <w:spacing w:line="320" w:lineRule="exact" w:before="232" w:after="556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Searching data sources.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7"/>
        <w:gridCol w:w="3127"/>
        <w:gridCol w:w="3127"/>
      </w:tblGrid>
      <w:tr>
        <w:trPr>
          <w:trHeight w:hRule="exact" w:val="3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07/08/2020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GLOSSARY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420" w:bottom="356" w:left="1440" w:header="720" w:footer="720" w:gutter="0"/>
          <w:cols w:space="720" w:num="1" w:equalWidth="0">
            <w:col w:w="9380" w:space="0"/>
            <w:col w:w="9436" w:space="0"/>
            <w:col w:w="9402" w:space="0"/>
            <w:col w:w="9396" w:space="0"/>
            <w:col w:w="9380" w:space="0"/>
            <w:col w:w="9380" w:space="0"/>
            <w:col w:w="9440" w:space="0"/>
            <w:col w:w="9414" w:space="0"/>
            <w:col w:w="9424" w:space="0"/>
            <w:col w:w="99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78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DoDI 8910.01, May 19, 2014</w:t>
      </w:r>
    </w:p>
    <w:p>
      <w:pPr>
        <w:autoSpaceDN w:val="0"/>
        <w:autoSpaceDE w:val="0"/>
        <w:widowControl/>
        <w:spacing w:line="320" w:lineRule="exact" w:before="67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Completing and reviewing the collection of information. </w:t>
      </w:r>
    </w:p>
    <w:p>
      <w:pPr>
        <w:autoSpaceDN w:val="0"/>
        <w:autoSpaceDE w:val="0"/>
        <w:widowControl/>
        <w:spacing w:line="320" w:lineRule="exact" w:before="2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Transmitting, or otherwise disclosing, the information.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collection of information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Obtaining or causing to be obtained, soliciting, or requiring of facts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opinions regardless of fo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rm or format used.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DoD internal information collection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collection of information from two or more OSD or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Components that require approval 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 the DoD Internal Information Collections Officer, who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resides in WHS.  Examples of these would be if a survey draws subjects from two or more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Military Services or if a survey draws subjects from a Military Service and another OSD or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Component. </w:t>
      </w:r>
    </w:p>
    <w:p>
      <w:pPr>
        <w:autoSpaceDN w:val="0"/>
        <w:autoSpaceDE w:val="0"/>
        <w:widowControl/>
        <w:spacing w:line="276" w:lineRule="exact" w:before="276" w:after="0"/>
        <w:ind w:left="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DoD public information collection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collection of information whereby information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collected by the DoD from the pub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lic.  The PICO processes all DoD public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collections for OMB approval.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information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Any communication or representation of knowledge such as facts, data, or opinions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in any medi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um or form, including textual, numeric, graphic, cartographic, narrative,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audiovisual forms. </w:t>
      </w:r>
    </w:p>
    <w:p>
      <w:pPr>
        <w:autoSpaceDN w:val="0"/>
        <w:autoSpaceDE w:val="0"/>
        <w:widowControl/>
        <w:spacing w:line="276" w:lineRule="exact" w:before="276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information collection budget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An annual comprehensive budget of burden hours for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collections of information fro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 the public to be conducted or sponsored by a federal agency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succeeding 12 months.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interagency information collection.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Any requirement that involves collecting information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or providing information to a feder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 agency from one or more other federal agencies.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OSD or DoD Component internal information collection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Information requirements that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internal to a particular OSD or DoD Component and app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roved by that Component.  Examples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USD(P&amp;R) internal information collections. Under Secretary of Defense for Acquisition,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Technology and Logistics internal, Army internal, Air Force internal, Navy internal, etc. </w:t>
      </w:r>
    </w:p>
    <w:p>
      <w:pPr>
        <w:autoSpaceDN w:val="0"/>
        <w:autoSpaceDE w:val="0"/>
        <w:widowControl/>
        <w:spacing w:line="320" w:lineRule="exact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privacy impact assessment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analysis of how information is handled: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76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ensure handling conforms to applicable legal, regulatory, and policy requirements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regarding privacy.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7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determine the risks and effects of collecting, maintaining, and disseminating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identifiable form in an electronic information system.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76" w:after="1156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examine and evaluate protections and alternative processes for handling information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mitigate potential privacy risks.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6"/>
        <w:gridCol w:w="3146"/>
        <w:gridCol w:w="3146"/>
      </w:tblGrid>
      <w:tr>
        <w:trPr>
          <w:trHeight w:hRule="exact" w:val="3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07/08/2020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GLOSSARY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2" w:bottom="356" w:left="1440" w:header="720" w:footer="720" w:gutter="0"/>
          <w:cols w:space="720" w:num="1" w:equalWidth="0">
            <w:col w:w="9438" w:space="0"/>
            <w:col w:w="9380" w:space="0"/>
            <w:col w:w="9436" w:space="0"/>
            <w:col w:w="9402" w:space="0"/>
            <w:col w:w="9396" w:space="0"/>
            <w:col w:w="9380" w:space="0"/>
            <w:col w:w="9380" w:space="0"/>
            <w:col w:w="9440" w:space="0"/>
            <w:col w:w="9414" w:space="0"/>
            <w:col w:w="9424" w:space="0"/>
            <w:col w:w="99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DoDI 8910.01, May 19, 2014</w:t>
      </w:r>
    </w:p>
    <w:p>
      <w:pPr>
        <w:autoSpaceDN w:val="0"/>
        <w:autoSpaceDE w:val="0"/>
        <w:widowControl/>
        <w:spacing w:line="276" w:lineRule="exact" w:before="446" w:after="1192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surveys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 Systematic data collections, using personal or telephonic interviews, or self-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adminis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tered questionnaires, in paper or digital format, from a sample or census of 10 or more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persons as individuals or representatives of agencies that elicit attitudes, opinions, behavior,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related demographic, social, and economic data to identical questions that are to be used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statistical compilations for research or policy assessment purposes.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7"/>
        <w:gridCol w:w="3127"/>
        <w:gridCol w:w="3127"/>
      </w:tblGrid>
      <w:tr>
        <w:trPr>
          <w:trHeight w:hRule="exact" w:val="3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07/08/2020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GLOSSARY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56" w:right="1420" w:bottom="356" w:left="1440" w:header="720" w:footer="720" w:gutter="0"/>
      <w:cols w:space="720" w:num="1" w:equalWidth="0">
        <w:col w:w="9380" w:space="0"/>
        <w:col w:w="9438" w:space="0"/>
        <w:col w:w="9380" w:space="0"/>
        <w:col w:w="9436" w:space="0"/>
        <w:col w:w="9402" w:space="0"/>
        <w:col w:w="9396" w:space="0"/>
        <w:col w:w="9380" w:space="0"/>
        <w:col w:w="9380" w:space="0"/>
        <w:col w:w="9440" w:space="0"/>
        <w:col w:w="9414" w:space="0"/>
        <w:col w:w="9424" w:space="0"/>
        <w:col w:w="9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www.google.com/url?sa=t&amp;rct=j&amp;q=&amp;esrc=s&amp;frm=1&amp;source=web&amp;cd=1&amp;cad=rja&amp;ved=0CDIQFjAA&amp;url=http%3A%2F%2Fwww.whs.mil%2F&amp;ei=5xJSUfyTIMXf0gHd1ICoAQ&amp;usg=AFQjCNGfKQIKqvvqnGuVRNZ7fmKKy-syFQ&amp;sig2=Ww8GdlPxlJ2Iheon-UFDUA&amp;bvm=bv.44342787,d.d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