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6124"/>
        <w:gridCol w:w="1090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General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provided as part of the replication package or deposited at a trusted repository.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Primary data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This includes unmodified original data collected through surveys or experiments.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Documented modifications to anonymize or protect privacy are permissible.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Y/N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Secondary 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Whenever usage terms permit, raw secondary data are included.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secondary data cannot be published as part of a replication package or in an openly accessible trusted data repository, the rest of the policy still applies.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 used for analysis (analysis data) are provided as part of the replication package.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any format compatible with commonly used statistical package or software. 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open, non-proprietary formats. 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meaningful name or description (label) is available for every variable in the provided datasets. 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Codebooks or similar metadata describe the allowed values and their meaning for each variable. 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It is acceptable to reference publicly available documentation for these items.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Y/N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Code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transformation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create any final and analysis data sets from raw data.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Analysis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run the final models.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formats compatible with commonly used statistical package or software. 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Should unusual or costly software be required, notify the responsible Editor. 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main script running all the code in proper order is included.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computer code for experiment or survey collection mechanisms.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Supporting materials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Instruments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survey instruments or experiment instructions.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original instructions and details on subject selection in the replication package.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Exhibits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standard, non-proprietary format into the replication package. 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Documentation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Citation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source data used in the paper, following journal guidelines.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software packages used, following journal guidelines.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Dependencies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 xml:space="preserve">The replication package includes a README that contains data availability statements, instructions on obtaining data, and on executing code.</w:t>
            </w:r>
            <w:bookmarkEnd w:id="0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 xml:space="preserve">If certain data are not provided as part of the replication package, include description sufficient to access all data at their original source location.</w:t>
            </w:r>
            <w:bookmarkEnd w:id="1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 xml:space="preserve">Provide a data availability statement covering the source data.</w:t>
            </w:r>
            <w:bookmarkEnd w:id="2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detailed information on how, where, and under what conditions an independent researcher can access the original source data, as well as author-generated derivative data, and must be explicit and accurate about any restrictions, requirements, payments, and processing delays. </w:t>
            </w:r>
            <w:bookmarkEnd w:id="3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information to assure the reader that the data are available for a sufficiently long period of time.</w:t>
            </w:r>
            <w:bookmarkEnd w:id="4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 xml:space="preserve">List all software packages, libraries, toolboxes that you use with instructions on how to install them.</w:t>
            </w:r>
            <w:bookmarkEnd w:id="5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 xml:space="preserve">Describe the hardware and operating system on which the code was last run.</w:t>
            </w:r>
            <w:bookmarkEnd w:id="6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 xml:space="preserve">Explain if your code requires special hardware or runs for a particularly long time.</w:t>
            </w:r>
            <w:bookmarkEnd w:id="7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Guidance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Provide description sufficient to allow all programs to be run.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List all the data sets used with their bibliographic citation, referring to their specific file names if included.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If a script creates multiple exhibits, point to the exact line number.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The README document should list the title and authors of the replication package, its preparation date, and clear reference to the journal article to which it belongs.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Follow the schema provided by the Social Science Data Editors template README (https://social-science-data-editors.github.io/template_README/)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Common formats are txt, PDF, and Markdown. The README file should not require proprietary software to view.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Deposits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Location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Data and programs are archived by the authors in the repositories deemed acceptable by the journal.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  <w:t xml:space="preserve">Journal policy may </w:t>
      </w:r>
      <w:r>
        <w:rPr>
          <w:b/>
          <w:bCs/>
        </w:rPr>
        <w:t>Require</w:t>
      </w:r>
      <w:r>
        <w:rPr/>
        <w:t xml:space="preserve"> (R) or </w:t>
      </w:r>
      <w:r>
        <w:rPr>
          <w:b/>
          <w:bCs/>
        </w:rPr>
        <w:t>Suggest</w:t>
      </w:r>
      <w:r>
        <w:rPr/>
        <w:t xml:space="preserve"> (S) the rule to be followed. A solution may be accepted </w:t>
      </w:r>
      <w:r>
        <w:rPr>
          <w:b/>
          <w:bCs/>
        </w:rPr>
        <w:t>Yes</w:t>
      </w:r>
      <w:r>
        <w:rPr/>
        <w:t xml:space="preserve"> (Y) or </w:t>
      </w:r>
      <w:r>
        <w:rPr>
          <w:b/>
          <w:bCs/>
        </w:rPr>
        <w:t>No</w:t>
      </w:r>
      <w:r>
        <w:rPr/>
        <w:t xml:space="preserve"> (N).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170" cy="194945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680" cy="1944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7pt;height:15.2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8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170" cy="19494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680" cy="1944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7pt;height:15.2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LibreOffice/7.2.3.2$MacOSX_X86_64 LibreOffice_project/d166454616c1632304285822f9c83ce2e660fd92</Application>
  <AppVersion>15.0000</AppVersion>
  <Pages>4</Pages>
  <Words>378</Words>
  <Characters>1686</Characters>
  <CharactersWithSpaces>1924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2021-11-29T19:56:10Z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