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260"/>
        <w:gridCol w:w="841"/>
        <w:gridCol w:w="7355"/>
      </w:tblGrid>
      <w:tr>
        <w:trPr>
          <w:trHeight w:val="118" w:hRule="atLeast"/>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b/>
                <w:bCs/>
                <w:color w:val="E4211F"/>
                <w:sz w:val="20"/>
                <w:szCs w:val="20"/>
              </w:rPr>
              <w:t>Data</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Primary data</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1</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Primary data collected by the researchers is made publicly accessible.</w:t>
            </w:r>
          </w:p>
        </w:tc>
      </w:tr>
      <w:tr>
        <w:trPr/>
        <w:tc>
          <w:tcPr>
            <w:tcW w:w="2260"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Secondary data</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2</w:t>
            </w:r>
            <w:r>
              <w:rPr>
                <w:rFonts w:eastAsia="Lato" w:cs="Lato" w:ascii="Lato" w:hAnsi="Lato"/>
                <w:sz w:val="20"/>
                <w:szCs w:val="20"/>
              </w:rPr>
              <w:t>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Legal terms permitting, raw secondary data is made publicly accessible.</w:t>
            </w:r>
          </w:p>
        </w:tc>
      </w:tr>
      <w:tr>
        <w:trPr/>
        <w:tc>
          <w:tcPr>
            <w:tcW w:w="2260"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2</w:t>
            </w:r>
            <w:r>
              <w:rPr>
                <w:rFonts w:eastAsia="Lato" w:cs="Lato" w:ascii="Lato" w:hAnsi="Lato"/>
                <w:sz w:val="20"/>
                <w:szCs w:val="20"/>
              </w:rPr>
              <w:t>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secondary data cannot be published, the rest of the policy still applies.</w:t>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Data extracts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3</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Data extracts used for analysis (analysis data) are provided as part of the replication package.</w:t>
            </w:r>
          </w:p>
        </w:tc>
      </w:tr>
      <w:tr>
        <w:trPr/>
        <w:tc>
          <w:tcPr>
            <w:tcW w:w="2260"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Format</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4</w:t>
            </w:r>
            <w:r>
              <w:rPr>
                <w:rFonts w:eastAsia="Lato" w:cs="Lato" w:ascii="Lato" w:hAnsi="Lato"/>
                <w:sz w:val="20"/>
                <w:szCs w:val="20"/>
              </w:rPr>
              <w:t>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The data files are provided in a commonly used format.</w:t>
            </w:r>
          </w:p>
        </w:tc>
      </w:tr>
      <w:tr>
        <w:trPr/>
        <w:tc>
          <w:tcPr>
            <w:tcW w:w="2260"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4</w:t>
            </w:r>
            <w:r>
              <w:rPr>
                <w:rFonts w:eastAsia="Lato" w:cs="Lato" w:ascii="Lato" w:hAnsi="Lato"/>
                <w:sz w:val="20"/>
                <w:szCs w:val="20"/>
              </w:rPr>
              <w:t>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Description of variables and their allowed values are made publicly accessible.</w:t>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Code</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Data transformation</w:t>
            </w:r>
          </w:p>
        </w:tc>
        <w:tc>
          <w:tcPr>
            <w:tcW w:w="841"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5</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Legal terms permitting, programs used to create any final and analysis data sets from raw data are included.</w:t>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Analysis</w:t>
            </w:r>
          </w:p>
        </w:tc>
        <w:tc>
          <w:tcPr>
            <w:tcW w:w="841"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6</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Programs used to run the final models are included.</w:t>
            </w:r>
          </w:p>
        </w:tc>
      </w:tr>
      <w:tr>
        <w:trPr/>
        <w:tc>
          <w:tcPr>
            <w:tcW w:w="2260"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Format</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7</w:t>
            </w:r>
            <w:r>
              <w:rPr>
                <w:rFonts w:eastAsia="Lato" w:cs="Lato" w:ascii="Lato" w:hAnsi="Lato"/>
                <w:sz w:val="20"/>
                <w:szCs w:val="20"/>
              </w:rPr>
              <w:t>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 xml:space="preserve">The programs are provided in a commonly used format. </w:t>
            </w:r>
          </w:p>
        </w:tc>
      </w:tr>
      <w:tr>
        <w:trPr/>
        <w:tc>
          <w:tcPr>
            <w:tcW w:w="2260"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7</w:t>
            </w:r>
            <w:r>
              <w:rPr>
                <w:rFonts w:eastAsia="Lato" w:cs="Lato" w:ascii="Lato" w:hAnsi="Lato"/>
                <w:sz w:val="20"/>
                <w:szCs w:val="20"/>
              </w:rPr>
              <w:t>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collecting original data through surveys or experiments, computer code for experiment is included.</w:t>
            </w:r>
          </w:p>
        </w:tc>
      </w:tr>
      <w:tr>
        <w:trPr>
          <w:trHeight w:val="28" w:hRule="atLeast"/>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Supporting materials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r>
      <w:tr>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Instruments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8</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collecting original data through surveys or experiments, survey instruments or experiment instructions as well as  details on subject selection are included.</w:t>
            </w:r>
          </w:p>
        </w:tc>
      </w:tr>
      <w:tr>
        <w:trPr>
          <w:trHeight w:val="82" w:hRule="atLeast"/>
        </w:trPr>
        <w:tc>
          <w:tcPr>
            <w:tcW w:w="226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Exhibits</w:t>
            </w:r>
          </w:p>
        </w:tc>
        <w:tc>
          <w:tcPr>
            <w:tcW w:w="841"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9</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All the output of the analysis are included in the replication package in a commonly used format.</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Other</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10</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necessary, details are shared about ethical approval and pre-registration of the research.</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Calibri" w:cs=""/>
                <w:b/>
                <w:b/>
                <w:bCs/>
                <w:sz w:val="20"/>
                <w:szCs w:val="20"/>
              </w:rPr>
            </w:pPr>
            <w:r>
              <w:rPr>
                <w:rFonts w:eastAsia="Calibri" w:cs="" w:ascii="Lato" w:hAnsi="Lato"/>
                <w:b/>
                <w:bCs/>
                <w:color w:val="E4211F"/>
                <w:kern w:val="0"/>
                <w:sz w:val="20"/>
                <w:szCs w:val="20"/>
                <w:lang w:val="en-US" w:eastAsia="en-US" w:bidi="ar-SA"/>
              </w:rPr>
              <w:t>Documentation</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Citation</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11a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All source data used in the paper are cited, following journal guidelines.</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11b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If journal guidelines require, all software packages used in the paper are cited.</w:t>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t>Dependencies</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w:t>
            </w:r>
            <w:bookmarkStart w:id="0" w:name="__DdeLink__3485_284481982813"/>
            <w:r>
              <w:rPr>
                <w:rFonts w:ascii="Lato" w:hAnsi="Lato"/>
                <w:sz w:val="20"/>
                <w:szCs w:val="20"/>
              </w:rPr>
              <w:t xml:space="preserve"> Data Availability Statement is provided with detailed information on how, where, and under what conditions an independent researcher can access the original primary and secondary data, as well as author-generated data extracts.</w:t>
            </w:r>
            <w:bookmarkEnd w:id="0"/>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w:t>
            </w:r>
            <w:bookmarkStart w:id="1" w:name="__DdeLink__3485_284481982815"/>
            <w:r>
              <w:rPr>
                <w:rFonts w:ascii="Lato" w:hAnsi="Lato"/>
                <w:sz w:val="20"/>
                <w:szCs w:val="20"/>
              </w:rPr>
              <w:t>ll used software packages, libraries, toolboxes are listed with instructions on how to install them.</w:t>
            </w:r>
            <w:bookmarkEnd w:id="1"/>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12d</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w:t>
            </w:r>
            <w:bookmarkStart w:id="2" w:name="__DdeLink__3485_284481982816"/>
            <w:r>
              <w:rPr>
                <w:rFonts w:ascii="Lato" w:hAnsi="Lato"/>
                <w:sz w:val="20"/>
                <w:szCs w:val="20"/>
              </w:rPr>
              <w:t>he hardware and operating system on which the code was last run</w:t>
            </w:r>
            <w:bookmarkEnd w:id="2"/>
            <w:r>
              <w:rPr>
                <w:rFonts w:ascii="Lato" w:hAnsi="Lato"/>
                <w:sz w:val="20"/>
                <w:szCs w:val="20"/>
              </w:rPr>
              <w:t xml:space="preserve"> are described.</w:t>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Guidance</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 README document is included listing all dependencies and explaining how to reproduce the research results.</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w:t>
            </w:r>
            <w:r>
              <w:rPr>
                <w:rFonts w:ascii="Lato" w:hAnsi="Lato"/>
                <w:sz w:val="20"/>
                <w:szCs w:val="20"/>
              </w:rPr>
              <w:t>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The provided description is sufficient to allow all programs to be run.</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w:t>
            </w:r>
            <w:r>
              <w:rPr>
                <w:rFonts w:ascii="Lato" w:hAnsi="Lato"/>
                <w:sz w:val="20"/>
                <w:szCs w:val="20"/>
              </w:rPr>
              <w:t>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All data sets used are listed with their bibliographic citation, referring to their specific file names if included.</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w:t>
            </w:r>
            <w:r>
              <w:rPr>
                <w:rFonts w:ascii="Lato" w:hAnsi="Lato"/>
                <w:sz w:val="20"/>
                <w:szCs w:val="20"/>
              </w:rPr>
              <w:t>d</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 xml:space="preserve">All exhibits are listed, referring to the scripts producing each. </w:t>
            </w:r>
          </w:p>
        </w:tc>
      </w:tr>
      <w:tr>
        <w:trPr>
          <w:trHeight w:val="82" w:hRule="atLeast"/>
        </w:trPr>
        <w:tc>
          <w:tcPr>
            <w:tcW w:w="2260"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Format</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The README document lists the title and authors of the replication package, its preparation date, and clear reference to the journal article to which it belongs.</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 xml:space="preserve">The schema provided by the Social Science Data Editors </w:t>
            </w:r>
            <w:hyperlink r:id="rId2">
              <w:r>
                <w:rPr>
                  <w:rStyle w:val="InternetLink"/>
                  <w:rFonts w:ascii="Lato" w:hAnsi="Lato"/>
                  <w:sz w:val="20"/>
                  <w:szCs w:val="20"/>
                </w:rPr>
                <w:t>template README</w:t>
              </w:r>
            </w:hyperlink>
            <w:r>
              <w:rPr>
                <w:rFonts w:ascii="Lato" w:hAnsi="Lato"/>
                <w:sz w:val="20"/>
                <w:szCs w:val="20"/>
              </w:rPr>
              <w:t xml:space="preserve"> is followed.</w:t>
            </w:r>
          </w:p>
        </w:tc>
      </w:tr>
      <w:tr>
        <w:trPr>
          <w:trHeight w:val="82" w:hRule="atLeast"/>
        </w:trPr>
        <w:tc>
          <w:tcPr>
            <w:tcW w:w="2260"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Common formats are txt, PDF, and Markdown. The README file does not require proprietary software to view.</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Calibri" w:cs=""/>
                <w:b/>
                <w:b/>
                <w:bCs/>
                <w:sz w:val="20"/>
                <w:szCs w:val="20"/>
              </w:rPr>
            </w:pPr>
            <w:r>
              <w:rPr>
                <w:rFonts w:eastAsia="Calibri" w:cs="" w:ascii="Lato" w:hAnsi="Lato"/>
                <w:b/>
                <w:bCs/>
                <w:color w:val="E4211F"/>
                <w:kern w:val="0"/>
                <w:sz w:val="20"/>
                <w:szCs w:val="20"/>
                <w:lang w:val="en-US" w:eastAsia="en-US" w:bidi="ar-SA"/>
              </w:rPr>
              <w:t>Sharing</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Location</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15</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Data and programs are archived by the authors in the repositories deemed acceptable by the journal.</w:t>
            </w:r>
          </w:p>
        </w:tc>
      </w:tr>
      <w:tr>
        <w:trPr>
          <w:trHeight w:val="82" w:hRule="atLeast"/>
        </w:trPr>
        <w:tc>
          <w:tcPr>
            <w:tcW w:w="226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License</w:t>
            </w:r>
          </w:p>
        </w:tc>
        <w:tc>
          <w:tcPr>
            <w:tcW w:w="841"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16</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 license specifies the terms of use of code and data in the replication package. The license allows for replication by researchers unconnected to the original parties, to the extent allowed by other agreements and the law.</w:t>
            </w:r>
          </w:p>
        </w:tc>
      </w:tr>
    </w:tbl>
    <w:p>
      <w:pPr>
        <w:pStyle w:val="Normal"/>
        <w:rPr>
          <w:rFonts w:ascii="Lato" w:hAnsi="Lato"/>
        </w:rPr>
      </w:pPr>
      <w:r>
        <w:rPr/>
      </w:r>
    </w:p>
    <w:sectPr>
      <w:headerReference w:type="default" r:id="rId3"/>
      <w:headerReference w:type="first" r:id="rId4"/>
      <w:footerReference w:type="default" r:id="rId5"/>
      <w:footerReference w:type="first" r:id="rId6"/>
      <w:type w:val="nextPage"/>
      <w:pgSz w:w="11906" w:h="16838"/>
      <w:pgMar w:left="720" w:right="720" w:gutter="0" w:header="720" w:top="1440" w:footer="144" w:bottom="202"/>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6350" distL="6350" distR="6350" simplePos="0" locked="0" layoutInCell="0" allowOverlap="1" relativeHeight="2">
              <wp:simplePos x="0" y="0"/>
              <wp:positionH relativeFrom="column">
                <wp:posOffset>-459740</wp:posOffset>
              </wp:positionH>
              <wp:positionV relativeFrom="paragraph">
                <wp:posOffset>129540</wp:posOffset>
              </wp:positionV>
              <wp:extent cx="7586980" cy="198755"/>
              <wp:effectExtent l="0" t="0" r="0" b="0"/>
              <wp:wrapNone/>
              <wp:docPr id="2" name="Rectangle 2"/>
              <a:graphic xmlns:a="http://schemas.openxmlformats.org/drawingml/2006/main">
                <a:graphicData uri="http://schemas.microsoft.com/office/word/2010/wordprocessingShape">
                  <wps:wsp>
                    <wps:cNvSpPr/>
                    <wps:spPr>
                      <a:xfrm>
                        <a:off x="0" y="0"/>
                        <a:ext cx="7586280" cy="19800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3pt;height:15.55pt;mso-wrap-style:none;v-text-anchor:middle">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left="216" w:hanging="0"/>
      <w:jc w:val="left"/>
      <w:rPr>
        <w:rFonts w:ascii="Lato" w:hAnsi="Lato"/>
        <w:color w:val="FFFFFF"/>
        <w:sz w:val="18"/>
        <w:szCs w:val="18"/>
      </w:rPr>
    </w:pPr>
    <w:r>
      <w:rPr>
        <w:rFonts w:ascii="Lato" w:hAnsi="Lato"/>
        <w:color w:val="FFFFFF"/>
        <w:sz w:val="18"/>
        <w:szCs w:val="18"/>
      </w:rPr>
      <w:t>v1.0</w:t>
      <w:tab/>
      <w:tab/>
      <w:t>November 29, 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6350" distL="6350" distR="6350" simplePos="0" locked="0" layoutInCell="0" allowOverlap="1" relativeHeight="4">
              <wp:simplePos x="0" y="0"/>
              <wp:positionH relativeFrom="column">
                <wp:posOffset>-459740</wp:posOffset>
              </wp:positionH>
              <wp:positionV relativeFrom="paragraph">
                <wp:posOffset>129540</wp:posOffset>
              </wp:positionV>
              <wp:extent cx="7586980" cy="198755"/>
              <wp:effectExtent l="0" t="0" r="0" b="0"/>
              <wp:wrapNone/>
              <wp:docPr id="3" name="Rectangle 3"/>
              <a:graphic xmlns:a="http://schemas.openxmlformats.org/drawingml/2006/main">
                <a:graphicData uri="http://schemas.microsoft.com/office/word/2010/wordprocessingShape">
                  <wps:wsp>
                    <wps:cNvSpPr/>
                    <wps:spPr>
                      <a:xfrm>
                        <a:off x="0" y="0"/>
                        <a:ext cx="7586280" cy="19800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3pt;height:15.55pt;mso-wrap-style:none;v-text-anchor:middle">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left="216" w:hanging="0"/>
      <w:jc w:val="left"/>
      <w:rPr>
        <w:rFonts w:ascii="Lato" w:hAnsi="Lato"/>
        <w:color w:val="FFFFFF"/>
        <w:sz w:val="18"/>
        <w:szCs w:val="18"/>
      </w:rPr>
    </w:pPr>
    <w:r>
      <w:rPr>
        <w:rFonts w:ascii="Lato" w:hAnsi="Lato"/>
        <w:color w:val="FFFFFF"/>
        <w:sz w:val="18"/>
        <w:szCs w:val="18"/>
      </w:rPr>
      <w:t>v1.0</w:t>
      <w:tab/>
      <w:tab/>
      <w:t>November 29, 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eastAsia="Calibri" w:cs=""/>
        <w:b/>
        <w:b/>
        <w:bCs/>
        <w:color w:val="auto"/>
        <w:sz w:val="12"/>
        <w:szCs w:val="12"/>
      </w:rPr>
    </w:pPr>
    <w:r>
      <w:rPr>
        <w:rFonts w:eastAsia="Calibri" w:cs=""/>
        <w:b/>
        <w:bCs/>
        <w:color w:val="auto"/>
        <w:sz w:val="12"/>
        <w:szCs w:val="1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Lato" w:hAnsi="Lato" w:eastAsia="Lato" w:cs="Lato"/>
        <w:b/>
        <w:b/>
        <w:bCs/>
        <w:color w:val="FF0000"/>
        <w:sz w:val="32"/>
        <w:szCs w:val="32"/>
      </w:rPr>
    </w:pPr>
    <w:r>
      <w:drawing>
        <wp:anchor behindDoc="1" distT="0" distB="0" distL="0" distR="0" simplePos="0" locked="0" layoutInCell="0" allowOverlap="1" relativeHeight="3">
          <wp:simplePos x="0" y="0"/>
          <wp:positionH relativeFrom="column">
            <wp:align>left</wp:align>
          </wp:positionH>
          <wp:positionV relativeFrom="paragraph">
            <wp:posOffset>635</wp:posOffset>
          </wp:positionV>
          <wp:extent cx="1828800" cy="731520"/>
          <wp:effectExtent l="0" t="0" r="0" b="0"/>
          <wp:wrapNone/>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
                  <a:stretch>
                    <a:fillRect/>
                  </a:stretch>
                </pic:blipFill>
                <pic:spPr bwMode="auto">
                  <a:xfrm>
                    <a:off x="0" y="0"/>
                    <a:ext cx="1828800" cy="731520"/>
                  </a:xfrm>
                  <a:prstGeom prst="rect">
                    <a:avLst/>
                  </a:prstGeom>
                </pic:spPr>
              </pic:pic>
            </a:graphicData>
          </a:graphic>
        </wp:anchor>
      </w:drawing>
    </w:r>
    <w:r>
      <w:rPr>
        <w:rFonts w:eastAsia="Lato" w:cs="Lato" w:ascii="Lato" w:hAnsi="Lato"/>
        <w:b/>
        <w:bCs/>
        <w:color w:val="FF0000"/>
        <w:sz w:val="32"/>
        <w:szCs w:val="32"/>
      </w:rPr>
      <w:t>Reproducible Research Standard v1.0</w:t>
    </w:r>
  </w:p>
  <w:p>
    <w:pPr>
      <w:pStyle w:val="Header"/>
      <w:ind w:left="216" w:hanging="0"/>
      <w:jc w:val="right"/>
      <w:rPr>
        <w:rFonts w:ascii="Lato" w:hAnsi="Lato" w:eastAsia="Calibri" w:cs=""/>
        <w:b/>
        <w:b/>
        <w:bCs/>
        <w:color w:val="auto"/>
        <w:sz w:val="22"/>
        <w:szCs w:val="22"/>
      </w:rPr>
    </w:pPr>
    <w:r>
      <w:rPr>
        <w:rFonts w:eastAsia="Calibri" w:cs="" w:ascii="Lato" w:hAnsi="Lato"/>
        <w:b/>
        <w:bCs/>
        <w:color w:val="auto"/>
        <w:sz w:val="22"/>
        <w:szCs w:val="22"/>
      </w:rPr>
    </w:r>
  </w:p>
  <w:p>
    <w:pPr>
      <w:pStyle w:val="Header"/>
      <w:ind w:left="216" w:hanging="0"/>
      <w:jc w:val="right"/>
      <w:rPr>
        <w:rFonts w:ascii="Lato" w:hAnsi="Lato" w:eastAsia="Calibri" w:cs=""/>
        <w:b/>
        <w:b/>
        <w:bCs/>
        <w:color w:val="auto"/>
        <w:sz w:val="22"/>
        <w:szCs w:val="22"/>
      </w:rPr>
    </w:pPr>
    <w:r>
      <w:rPr>
        <w:rFonts w:eastAsia="Calibri" w:cs="" w:ascii="Lato" w:hAnsi="Lato"/>
        <w:b/>
        <w:bCs/>
        <w:color w:val="auto"/>
        <w:sz w:val="22"/>
        <w:szCs w:val="22"/>
      </w:rPr>
      <w:br/>
    </w:r>
    <w:r>
      <w:rPr>
        <w:rFonts w:eastAsia="Calibri" w:cs="" w:ascii="Lato" w:hAnsi="Lato"/>
        <w:b w:val="false"/>
        <w:bCs w:val="false"/>
        <w:i/>
        <w:iCs/>
        <w:color w:val="auto"/>
        <w:sz w:val="22"/>
        <w:szCs w:val="22"/>
      </w:rPr>
      <w:t>See journal policy for how these rules are implemented.</w:t>
    </w:r>
  </w:p>
  <w:p>
    <w:pPr>
      <w:pStyle w:val="Header"/>
      <w:jc w:val="right"/>
      <w:rPr>
        <w:rFonts w:ascii="Calibri" w:hAnsi="Calibri" w:eastAsia="Calibri" w:cs=""/>
        <w:b/>
        <w:b/>
        <w:bCs/>
        <w:color w:val="auto"/>
        <w:sz w:val="22"/>
        <w:szCs w:val="22"/>
      </w:rPr>
    </w:pPr>
    <w:r>
      <w:rPr>
        <w:rFonts w:eastAsia="Calibri" w:cs=""/>
        <w:b/>
        <w:bCs/>
        <w:color w:val="auto"/>
        <w:sz w:val="22"/>
        <w:szCs w:val="22"/>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ind w:left="216" w:hanging="216"/>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6855d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55d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science-data-editors.github.io/template_READM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Application>LibreOffice/7.2.3.2$MacOSX_X86_64 LibreOffice_project/d166454616c1632304285822f9c83ce2e660fd92</Application>
  <AppVersion>15.0000</AppVersion>
  <Pages>2</Pages>
  <Words>500</Words>
  <Characters>2687</Characters>
  <CharactersWithSpaces>3112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2021-11-13T07:04:00Z</dcterms:created>
  <dc:creator>reaz</dc:creator>
  <dc:description/>
  <dc:language>en-US</dc:language>
  <cp:lastModifiedBy/>
  <cp:lastPrinted>2021-11-13T09:55:00Z</cp:lastPrinted>
  <dcterms:modified xsi:type="dcterms:W3CDTF">2022-01-07T16:26:35Z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