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801"/>
        <w:gridCol w:w="7034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General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are </w:t>
            </w:r>
            <w:r>
              <w:rPr>
                <w:rFonts w:eastAsia="Lato" w:cs="Lato" w:ascii="Lato" w:hAnsi="Lato"/>
                <w:sz w:val="20"/>
                <w:szCs w:val="20"/>
              </w:rPr>
              <w:t>made publicly accessible.</w:t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This includes original data collected through surveys or experiments.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Whenever usage terms permit, raw secondary data are included.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secondary data cannot be published, the rest of the policy still applies.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 used for analysis (analysis data) are provided as part of the replication package.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</w:t>
            </w:r>
            <w:r>
              <w:rPr>
                <w:rFonts w:eastAsia="Lato" w:cs="Lato" w:ascii="Lato" w:hAnsi="Lato"/>
                <w:sz w:val="20"/>
                <w:szCs w:val="20"/>
              </w:rPr>
              <w:t>a commonly used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format</w:t>
            </w:r>
            <w:r>
              <w:rPr>
                <w:rFonts w:eastAsia="Lato" w:cs="Lato" w:ascii="Lato" w:hAnsi="Lato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  <w:r>
              <w:rPr>
                <w:rFonts w:eastAsia="Lato" w:cs="Lato" w:ascii="Lato" w:hAnsi="Lato"/>
                <w:sz w:val="20"/>
                <w:szCs w:val="20"/>
              </w:rPr>
              <w:t>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Description of variables and their allowed values is made publicly accessible.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Include programs used to create any final and analysis data sets from raw data.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Include programs used to run the final models.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a commonly used 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format. 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  <w:r>
              <w:rPr>
                <w:rFonts w:eastAsia="Lato" w:cs="Lato" w:ascii="Lato" w:hAnsi="Lato"/>
                <w:sz w:val="20"/>
                <w:szCs w:val="20"/>
              </w:rPr>
              <w:t>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include computer code for experiment or survey collection mechanisms.</w:t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include survey instruments or experiment instructions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as well as  details on subject selection.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703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Save all the output of the analysis in a </w:t>
            </w:r>
            <w:r>
              <w:rPr>
                <w:rFonts w:eastAsia="Lato" w:cs="Lato" w:ascii="Lato" w:hAnsi="Lato"/>
                <w:sz w:val="20"/>
                <w:szCs w:val="20"/>
              </w:rPr>
              <w:t>commonly used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format into the replication package. 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Documentation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Citation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Cite all source data used in the paper, following journal guidelines.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Cite all software packages used, following journal guidelines.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>The replication package includes a README</w:t>
            </w:r>
            <w:r>
              <w:rPr>
                <w:rFonts w:ascii="Lato" w:hAnsi="Lato"/>
                <w:sz w:val="20"/>
                <w:szCs w:val="20"/>
              </w:rPr>
              <w:t xml:space="preserve"> document</w:t>
            </w:r>
            <w:r>
              <w:rPr>
                <w:rFonts w:ascii="Lato" w:hAnsi="Lato"/>
                <w:sz w:val="20"/>
                <w:szCs w:val="20"/>
              </w:rPr>
              <w:t xml:space="preserve"> that contains </w:t>
            </w:r>
            <w:r>
              <w:rPr>
                <w:rFonts w:ascii="Lato" w:hAnsi="Lato"/>
                <w:sz w:val="20"/>
                <w:szCs w:val="20"/>
              </w:rPr>
              <w:t>D</w:t>
            </w:r>
            <w:r>
              <w:rPr>
                <w:rFonts w:ascii="Lato" w:hAnsi="Lato"/>
                <w:sz w:val="20"/>
                <w:szCs w:val="20"/>
              </w:rPr>
              <w:t xml:space="preserve">ata </w:t>
            </w:r>
            <w:r>
              <w:rPr>
                <w:rFonts w:ascii="Lato" w:hAnsi="Lato"/>
                <w:sz w:val="20"/>
                <w:szCs w:val="20"/>
              </w:rPr>
              <w:t>A</w:t>
            </w:r>
            <w:r>
              <w:rPr>
                <w:rFonts w:ascii="Lato" w:hAnsi="Lato"/>
                <w:sz w:val="20"/>
                <w:szCs w:val="20"/>
              </w:rPr>
              <w:t xml:space="preserve">vailability </w:t>
            </w:r>
            <w:r>
              <w:rPr>
                <w:rFonts w:ascii="Lato" w:hAnsi="Lato"/>
                <w:sz w:val="20"/>
                <w:szCs w:val="20"/>
              </w:rPr>
              <w:t>S</w:t>
            </w:r>
            <w:r>
              <w:rPr>
                <w:rFonts w:ascii="Lato" w:hAnsi="Lato"/>
                <w:sz w:val="20"/>
                <w:szCs w:val="20"/>
              </w:rPr>
              <w:t>tatements, instructions on obtaining data, and on executing code.</w:t>
            </w:r>
            <w:bookmarkEnd w:id="0"/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Provide</w:t>
            </w:r>
            <w:r>
              <w:rPr>
                <w:rFonts w:ascii="Lato" w:hAnsi="Lato"/>
                <w:sz w:val="20"/>
                <w:szCs w:val="20"/>
              </w:rPr>
              <w:t xml:space="preserve"> a</w:t>
            </w:r>
            <w:bookmarkStart w:id="1" w:name="__DdeLink__3485_284481982813"/>
            <w:r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D</w:t>
            </w:r>
            <w:r>
              <w:rPr>
                <w:rFonts w:ascii="Lato" w:hAnsi="Lato"/>
                <w:sz w:val="20"/>
                <w:szCs w:val="20"/>
              </w:rPr>
              <w:t xml:space="preserve">ata </w:t>
            </w:r>
            <w:r>
              <w:rPr>
                <w:rFonts w:ascii="Lato" w:hAnsi="Lato"/>
                <w:sz w:val="20"/>
                <w:szCs w:val="20"/>
              </w:rPr>
              <w:t>A</w:t>
            </w:r>
            <w:r>
              <w:rPr>
                <w:rFonts w:ascii="Lato" w:hAnsi="Lato"/>
                <w:sz w:val="20"/>
                <w:szCs w:val="20"/>
              </w:rPr>
              <w:t xml:space="preserve">vailability </w:t>
            </w:r>
            <w:r>
              <w:rPr>
                <w:rFonts w:ascii="Lato" w:hAnsi="Lato"/>
                <w:sz w:val="20"/>
                <w:szCs w:val="20"/>
              </w:rPr>
              <w:t>S</w:t>
            </w:r>
            <w:r>
              <w:rPr>
                <w:rFonts w:ascii="Lato" w:hAnsi="Lato"/>
                <w:sz w:val="20"/>
                <w:szCs w:val="20"/>
              </w:rPr>
              <w:t xml:space="preserve">tatement </w:t>
            </w:r>
            <w:r>
              <w:rPr>
                <w:rFonts w:ascii="Lato" w:hAnsi="Lato"/>
                <w:sz w:val="20"/>
                <w:szCs w:val="20"/>
              </w:rPr>
              <w:t>with</w:t>
            </w:r>
            <w:r>
              <w:rPr>
                <w:rFonts w:ascii="Lato" w:hAnsi="Lato"/>
                <w:sz w:val="20"/>
                <w:szCs w:val="20"/>
              </w:rPr>
              <w:t xml:space="preserve"> detailed information on how, where, and under what conditions an independent researcher can access the original source data, as well as author-generated derivative data</w:t>
            </w:r>
            <w:r>
              <w:rPr>
                <w:rFonts w:ascii="Lato" w:hAnsi="Lato"/>
                <w:sz w:val="20"/>
                <w:szCs w:val="20"/>
              </w:rPr>
              <w:t>.</w:t>
            </w:r>
            <w:bookmarkEnd w:id="1"/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5"/>
            <w:r>
              <w:rPr>
                <w:rFonts w:ascii="Lato" w:hAnsi="Lato"/>
                <w:sz w:val="20"/>
                <w:szCs w:val="20"/>
              </w:rPr>
              <w:t>List all software packages, libraries, toolboxes that you use with instructions on how to install them.</w:t>
            </w:r>
            <w:bookmarkEnd w:id="2"/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d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6"/>
            <w:r>
              <w:rPr>
                <w:rFonts w:ascii="Lato" w:hAnsi="Lato"/>
                <w:sz w:val="20"/>
                <w:szCs w:val="20"/>
              </w:rPr>
              <w:t>Describe the hardware and operating system on which the code was last run.</w:t>
            </w:r>
            <w:bookmarkEnd w:id="3"/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Provide description sufficient to allow all programs to be run.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List all the data sets used with their bibliographic citation, referring to their specific file names if included.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Create a list of exhibits and state which one is produced by which script. 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README document should list the title and authors of the replication package, its preparation date, and clear reference to the journal article to which it belongs.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Follow the schema provided by the Social Science Data Editors template README (https://social-science-data-editors.github.io/template_README/)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Common formats are txt, PDF, and Markdown. The README file should not require proprietary software to view.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Deposits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80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703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 and programs are archived by the authors in the repositories deemed acceptable by the journal.</w:t>
            </w:r>
          </w:p>
        </w:tc>
      </w:tr>
    </w:tbl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720" w:top="1440" w:footer="144" w:bottom="202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auto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4440" cy="196215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760" cy="1954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1pt;height:15.3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5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4440" cy="196215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760" cy="1954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1pt;height:15.3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ind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</w:r>
  </w:p>
  <w:p>
    <w:pPr>
      <w:pStyle w:val="Header"/>
      <w:ind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  <w:br/>
    </w:r>
    <w:r>
      <w:rPr>
        <w:rFonts w:eastAsia="Calibri" w:cs="" w:ascii="Lato" w:hAnsi="Lato"/>
        <w:b w:val="false"/>
        <w:bCs w:val="false"/>
        <w:i/>
        <w:iCs/>
        <w:color w:val="auto"/>
        <w:sz w:val="22"/>
        <w:szCs w:val="22"/>
      </w:rPr>
      <w:t>See journal policy for how these rules are implemented.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LibreOffice/7.2.3.2$MacOSX_X86_64 LibreOffice_project/d166454616c1632304285822f9c83ce2e660fd92</Application>
  <AppVersion>15.0000</AppVersion>
  <Pages>2</Pages>
  <Words>449</Words>
  <Characters>2503</Characters>
  <CharactersWithSpaces>2881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2021-12-02T16:31:08Z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