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78" w:rsidRPr="00E079AC" w:rsidRDefault="00673B78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</w:t>
      </w:r>
      <w:r w:rsidR="0065054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“r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eadme</w:t>
      </w:r>
      <w:r w:rsidR="0065054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” document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="0065054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illustrates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data used and all the steps </w:t>
      </w:r>
      <w:r w:rsidR="0065054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that are necessary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to replicate the main resul</w:t>
      </w:r>
      <w:r w:rsidR="00494E20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ts in the paper “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Intergenerational mobility in the very long run: Florence 1427-2011</w:t>
      </w:r>
      <w:r w:rsidR="00494E20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” </w:t>
      </w:r>
      <w:r w:rsidR="0065054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(included the appendix) </w:t>
      </w:r>
      <w:r w:rsidR="00494E20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by Guglielmo Barone and Sauro Mocetti</w:t>
      </w:r>
      <w:r w:rsidR="0065054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:rsidR="00494E20" w:rsidRDefault="00494E20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A2511" w:rsidRPr="00E079AC" w:rsidRDefault="00DA2511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162EB4" w:rsidRPr="00E079AC" w:rsidRDefault="00162EB4" w:rsidP="00A40EF1">
      <w:pPr>
        <w:spacing w:after="0" w:line="264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E079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Data Availability and Provenance Statements</w:t>
      </w:r>
    </w:p>
    <w:p w:rsidR="00494E20" w:rsidRPr="00E079AC" w:rsidRDefault="00494E20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494E20" w:rsidRPr="00E079AC" w:rsidRDefault="00494E20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 the following, we describe the data used </w:t>
      </w:r>
      <w:r w:rsidR="00474C86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for the results </w:t>
      </w:r>
      <w:r w:rsidR="00451A1E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reported in the Tables and Figures </w:t>
      </w:r>
      <w:r w:rsidR="00474C86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of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paper and, for each of them, a “Data Availability Statements”. </w:t>
      </w:r>
      <w:r w:rsidR="00451A1E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Further </w:t>
      </w:r>
      <w:r w:rsidR="00BC046D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details about the data are included in the online appendix of the article.</w:t>
      </w:r>
    </w:p>
    <w:p w:rsidR="00A40EF1" w:rsidRPr="00E079AC" w:rsidRDefault="00A40EF1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A40EF1" w:rsidRPr="00E079AC" w:rsidRDefault="00BC046D" w:rsidP="00A40EF1">
      <w:pPr>
        <w:pStyle w:val="Paragrafoelenco"/>
        <w:numPr>
          <w:ilvl w:val="0"/>
          <w:numId w:val="6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079AC">
        <w:rPr>
          <w:rFonts w:ascii="Times New Roman" w:hAnsi="Times New Roman" w:cs="Times New Roman"/>
          <w:b/>
          <w:sz w:val="24"/>
          <w:szCs w:val="24"/>
          <w:lang w:val="en-US"/>
        </w:rPr>
        <w:t>1427 Census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for the city of Florence, including information on the socioeconomic status of the pseudo-ancestors. </w:t>
      </w:r>
      <w:r w:rsidR="00650547" w:rsidRPr="00E079AC">
        <w:rPr>
          <w:rFonts w:ascii="Times New Roman" w:hAnsi="Times New Roman" w:cs="Times New Roman"/>
          <w:sz w:val="24"/>
          <w:szCs w:val="24"/>
          <w:lang w:val="en-US"/>
        </w:rPr>
        <w:t>Data can be downloaded</w:t>
      </w:r>
      <w:r w:rsidR="00451A1E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(through an SQL interface)</w:t>
      </w:r>
      <w:r w:rsidR="00DA7074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hyperlink r:id="rId8" w:history="1">
        <w:r w:rsidR="00DA7074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http://cds.library.brown.edu/projects/catasto/newsearch/sqlform.php</w:t>
        </w:r>
      </w:hyperlink>
      <w:r w:rsidR="00650547" w:rsidRPr="00E079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A2D53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A1E" w:rsidRPr="00E079AC">
        <w:rPr>
          <w:rFonts w:ascii="Times New Roman" w:hAnsi="Times New Roman" w:cs="Times New Roman"/>
          <w:sz w:val="24"/>
          <w:szCs w:val="24"/>
          <w:lang w:val="en-US"/>
        </w:rPr>
        <w:t>More i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nformation </w:t>
      </w:r>
      <w:r w:rsidR="00451A1E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on the data </w:t>
      </w:r>
      <w:proofErr w:type="gramStart"/>
      <w:r w:rsidRPr="00E079AC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proofErr w:type="gramEnd"/>
      <w:r w:rsidR="00DA7074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hyperlink r:id="rId9" w:history="1">
        <w:r w:rsidR="00DA7074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http://cds.library.brown.edu/projects/catasto/overview.html</w:t>
        </w:r>
      </w:hyperlink>
      <w:r w:rsidR="00451A1E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and, in</w:t>
      </w:r>
      <w:r w:rsidR="00650547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particular,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the list of the variables and their informational content can be found</w:t>
      </w:r>
      <w:r w:rsidR="00DA7074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hyperlink r:id="rId10" w:history="1">
        <w:r w:rsidR="00DA7074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http://cds.library.brown.edu/projects/catasto/newsearch/catasto_codebook.html</w:t>
        </w:r>
      </w:hyperlink>
      <w:r w:rsidRPr="00E079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1A1E" w:rsidRPr="00E079AC">
        <w:rPr>
          <w:rStyle w:val="Rimandonotaapidipagina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547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We enriched the 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>1427 Census with estimates of the earnings</w:t>
      </w:r>
      <w:r w:rsidR="00650547" w:rsidRPr="00E079AC">
        <w:rPr>
          <w:rFonts w:ascii="Times New Roman" w:hAnsi="Times New Roman" w:cs="Times New Roman"/>
          <w:sz w:val="24"/>
          <w:szCs w:val="24"/>
          <w:lang w:val="en-US"/>
        </w:rPr>
        <w:t>, which are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attributed to the household head</w:t>
      </w:r>
      <w:r w:rsidR="00A40EF1" w:rsidRPr="00E079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079AC">
        <w:rPr>
          <w:rFonts w:ascii="Times New Roman" w:hAnsi="Times New Roman" w:cs="Times New Roman"/>
          <w:sz w:val="24"/>
          <w:szCs w:val="24"/>
          <w:lang w:val="en-US"/>
        </w:rPr>
        <w:t>on the basis of</w:t>
      </w:r>
      <w:proofErr w:type="gramEnd"/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the occupations and the associated skill group. These estimates</w:t>
      </w:r>
      <w:r w:rsidR="000A2D53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A2D53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have been produced and 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kindly </w:t>
      </w:r>
      <w:r w:rsidR="000A2D53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shared 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by Peter </w:t>
      </w:r>
      <w:proofErr w:type="spellStart"/>
      <w:r w:rsidRPr="00E079AC">
        <w:rPr>
          <w:rFonts w:ascii="Times New Roman" w:hAnsi="Times New Roman" w:cs="Times New Roman"/>
          <w:sz w:val="24"/>
          <w:szCs w:val="24"/>
          <w:lang w:val="en-US"/>
        </w:rPr>
        <w:t>Lindert</w:t>
      </w:r>
      <w:proofErr w:type="spellEnd"/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(University of Davis)</w:t>
      </w:r>
      <w:proofErr w:type="gramEnd"/>
      <w:r w:rsidR="00C62550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. To gain access to the data please contact Peter </w:t>
      </w:r>
      <w:proofErr w:type="spellStart"/>
      <w:r w:rsidR="00C62550" w:rsidRPr="00E079AC">
        <w:rPr>
          <w:rFonts w:ascii="Times New Roman" w:hAnsi="Times New Roman" w:cs="Times New Roman"/>
          <w:sz w:val="24"/>
          <w:szCs w:val="24"/>
          <w:lang w:val="en-US"/>
        </w:rPr>
        <w:t>Lindert</w:t>
      </w:r>
      <w:proofErr w:type="spellEnd"/>
      <w:r w:rsidR="00650547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1CC6" w:rsidRPr="00E079A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1" w:history="1">
        <w:r w:rsidR="006B1CC6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phlindert@ucdavis.edu</w:t>
        </w:r>
      </w:hyperlink>
      <w:r w:rsidR="006B1CC6" w:rsidRPr="00E079A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2D53" w:rsidRPr="00E079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0EF1" w:rsidRPr="00E079AC" w:rsidRDefault="00A40EF1" w:rsidP="00A40EF1">
      <w:pPr>
        <w:pStyle w:val="Paragrafoelenco"/>
        <w:spacing w:after="0" w:line="264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3128B4" w:rsidRPr="00E079AC" w:rsidRDefault="00A40EF1" w:rsidP="003128B4">
      <w:pPr>
        <w:pStyle w:val="Paragrafoelenco"/>
        <w:numPr>
          <w:ilvl w:val="0"/>
          <w:numId w:val="6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BC046D" w:rsidRPr="00E079AC">
        <w:rPr>
          <w:rFonts w:ascii="Times New Roman" w:hAnsi="Times New Roman" w:cs="Times New Roman"/>
          <w:b/>
          <w:sz w:val="24"/>
          <w:szCs w:val="24"/>
          <w:lang w:val="en-US"/>
        </w:rPr>
        <w:t>2011 tax records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for the city of Florence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, including information on various items of incomes and the main demographic characteristics (age and gender). The income items </w:t>
      </w:r>
      <w:r w:rsidR="00BB0501" w:rsidRPr="00E079AC">
        <w:rPr>
          <w:rFonts w:ascii="Times New Roman" w:hAnsi="Times New Roman" w:cs="Times New Roman"/>
          <w:sz w:val="24"/>
          <w:szCs w:val="24"/>
          <w:lang w:val="en-US"/>
        </w:rPr>
        <w:t>reported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include salaries and pensions, self-employment income, real estate income, and other smaller income items</w:t>
      </w:r>
      <w:r w:rsidR="004761A5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at the surname level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. We define as earnings the total income net of real estate income, </w:t>
      </w:r>
      <w:r w:rsidR="004761A5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while real wealth </w:t>
      </w:r>
      <w:proofErr w:type="gramStart"/>
      <w:r w:rsidR="004761A5" w:rsidRPr="00E079AC">
        <w:rPr>
          <w:rFonts w:ascii="Times New Roman" w:hAnsi="Times New Roman" w:cs="Times New Roman"/>
          <w:sz w:val="24"/>
          <w:szCs w:val="24"/>
          <w:lang w:val="en-US"/>
        </w:rPr>
        <w:t>has been estimated</w:t>
      </w:r>
      <w:proofErr w:type="gramEnd"/>
      <w:r w:rsidR="004761A5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from real estate income.</w:t>
      </w:r>
      <w:r w:rsidR="00E079AC">
        <w:rPr>
          <w:rStyle w:val="Rimandonotaapidipagina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4761A5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For confidentiality reasons, the data </w:t>
      </w:r>
      <w:proofErr w:type="gramStart"/>
      <w:r w:rsidRPr="00E079AC">
        <w:rPr>
          <w:rFonts w:ascii="Times New Roman" w:hAnsi="Times New Roman" w:cs="Times New Roman"/>
          <w:sz w:val="24"/>
          <w:szCs w:val="24"/>
          <w:lang w:val="en-US"/>
        </w:rPr>
        <w:t>are collapsed</w:t>
      </w:r>
      <w:proofErr w:type="gramEnd"/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at the surname (instead of individual) level and only surname with at least five occurrences </w:t>
      </w:r>
      <w:r w:rsidR="0008578A" w:rsidRPr="00E079AC">
        <w:rPr>
          <w:rFonts w:ascii="Times New Roman" w:hAnsi="Times New Roman" w:cs="Times New Roman"/>
          <w:sz w:val="24"/>
          <w:szCs w:val="24"/>
          <w:lang w:val="en-US"/>
        </w:rPr>
        <w:t>are made available.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23A" w:rsidRPr="00E079AC">
        <w:rPr>
          <w:rFonts w:ascii="Times New Roman" w:hAnsi="Times New Roman" w:cs="Times New Roman"/>
          <w:sz w:val="24"/>
          <w:szCs w:val="24"/>
          <w:lang w:val="en-US"/>
        </w:rPr>
        <w:t>To access the da</w:t>
      </w:r>
      <w:r w:rsidR="00BB0501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ta please contact the </w:t>
      </w:r>
      <w:r w:rsidR="00DA7074" w:rsidRPr="00E079AC">
        <w:rPr>
          <w:rFonts w:ascii="Times New Roman" w:hAnsi="Times New Roman" w:cs="Times New Roman"/>
          <w:sz w:val="24"/>
          <w:szCs w:val="24"/>
          <w:lang w:val="en-US"/>
        </w:rPr>
        <w:t>statistical office of the municipality of Florence</w:t>
      </w:r>
      <w:r w:rsidR="00DA7074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</w:t>
      </w:r>
      <w:hyperlink r:id="rId12" w:history="1">
        <w:r w:rsidR="00DA7074" w:rsidRPr="00E079AC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val="en-US" w:eastAsia="it-IT"/>
          </w:rPr>
          <w:t>https://www.comune.fi.it/statistica?language_content_entity=it</w:t>
        </w:r>
      </w:hyperlink>
      <w:r w:rsidR="00DA7074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).</w:t>
      </w:r>
    </w:p>
    <w:p w:rsidR="003128B4" w:rsidRPr="00E079AC" w:rsidRDefault="003128B4" w:rsidP="003128B4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3128B4" w:rsidRPr="00E079AC" w:rsidRDefault="0008578A" w:rsidP="003128B4">
      <w:pPr>
        <w:pStyle w:val="Paragrafoelenco"/>
        <w:numPr>
          <w:ilvl w:val="0"/>
          <w:numId w:val="6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Data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BC046D" w:rsidRPr="00E079AC">
        <w:rPr>
          <w:rFonts w:ascii="Times New Roman" w:hAnsi="Times New Roman" w:cs="Times New Roman"/>
          <w:b/>
          <w:sz w:val="24"/>
          <w:szCs w:val="24"/>
          <w:lang w:val="en-US"/>
        </w:rPr>
        <w:t>surnames’ frequency of taxpayers by Italian provinces in 2005</w:t>
      </w:r>
      <w:r w:rsidR="0093625B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have been kindly shared by Giovanna </w:t>
      </w:r>
      <w:proofErr w:type="spellStart"/>
      <w:r w:rsidR="0093625B" w:rsidRPr="00E079AC">
        <w:rPr>
          <w:rFonts w:ascii="Times New Roman" w:hAnsi="Times New Roman" w:cs="Times New Roman"/>
          <w:sz w:val="24"/>
          <w:szCs w:val="24"/>
          <w:lang w:val="en-US"/>
        </w:rPr>
        <w:t>Labartino</w:t>
      </w:r>
      <w:proofErr w:type="spellEnd"/>
      <w:r w:rsidR="0093625B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and has also been used by Pellizzari et al. (2011). </w:t>
      </w:r>
      <w:r w:rsidR="0093625B" w:rsidRPr="00E079AC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93625B" w:rsidRPr="00E079AC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93625B" w:rsidRPr="00E079AC">
        <w:rPr>
          <w:rFonts w:ascii="Times New Roman" w:hAnsi="Times New Roman" w:cs="Times New Roman"/>
          <w:sz w:val="24"/>
          <w:szCs w:val="24"/>
        </w:rPr>
        <w:t xml:space="preserve"> the </w:t>
      </w:r>
      <w:r w:rsidR="0093625B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data</w:t>
      </w:r>
      <w:r w:rsidR="00DA707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="0093625B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93625B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please</w:t>
      </w:r>
      <w:proofErr w:type="spellEnd"/>
      <w:r w:rsidR="0093625B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93625B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contact</w:t>
      </w:r>
      <w:proofErr w:type="spellEnd"/>
      <w:r w:rsidR="003128B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Giovanna </w:t>
      </w:r>
      <w:proofErr w:type="spellStart"/>
      <w:r w:rsidR="003128B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Labartino</w:t>
      </w:r>
      <w:proofErr w:type="spellEnd"/>
      <w:r w:rsidR="003128B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hyperlink r:id="rId13" w:history="1">
        <w:r w:rsidR="003128B4" w:rsidRPr="00E079AC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g.labartino@confindustria.it</w:t>
        </w:r>
      </w:hyperlink>
      <w:r w:rsidR="003128B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) or Michele Pellizzari (</w:t>
      </w:r>
      <w:hyperlink r:id="rId14" w:history="1">
        <w:r w:rsidR="003128B4" w:rsidRPr="00E079AC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michele.pellizzari@unige.ch</w:t>
        </w:r>
      </w:hyperlink>
      <w:r w:rsidR="003128B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="00DA7074" w:rsidRPr="00E079A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93625B" w:rsidRPr="00E079AC" w:rsidRDefault="0093625B" w:rsidP="003128B4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8578A" w:rsidRPr="00E079AC" w:rsidRDefault="0008578A" w:rsidP="00F56C9A">
      <w:pPr>
        <w:pStyle w:val="Paragrafoelenco"/>
        <w:numPr>
          <w:ilvl w:val="0"/>
          <w:numId w:val="6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Data on </w:t>
      </w:r>
      <w:r w:rsidR="00BC046D" w:rsidRPr="00E079AC">
        <w:rPr>
          <w:rFonts w:ascii="Times New Roman" w:hAnsi="Times New Roman" w:cs="Times New Roman"/>
          <w:b/>
          <w:sz w:val="24"/>
          <w:szCs w:val="24"/>
          <w:lang w:val="en-US"/>
        </w:rPr>
        <w:t>surnames’ frequency of residents in the municipality of Florence in 201</w:t>
      </w:r>
      <w:r w:rsidR="00C9600B" w:rsidRPr="00E079AC">
        <w:rPr>
          <w:rFonts w:ascii="Times New Roman" w:hAnsi="Times New Roman" w:cs="Times New Roman"/>
          <w:b/>
          <w:sz w:val="24"/>
          <w:szCs w:val="24"/>
          <w:lang w:val="en-US"/>
        </w:rPr>
        <w:t>0s</w:t>
      </w:r>
      <w:r w:rsidR="00C9600B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are available on the website of the statistical office of the municipality of Florence </w:t>
      </w:r>
      <w:r w:rsidR="00E079A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5" w:history="1">
        <w:r w:rsidR="00E079AC" w:rsidRPr="00C51145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val="en-US" w:eastAsia="it-IT"/>
          </w:rPr>
          <w:t>https://opendata.comune.fi.it/?testo=cognomi&amp;q=metarepo%2Fdataset_results</w:t>
        </w:r>
      </w:hyperlink>
      <w:r w:rsid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</w:t>
      </w:r>
    </w:p>
    <w:p w:rsidR="00F56C9A" w:rsidRPr="00E079AC" w:rsidRDefault="00F56C9A" w:rsidP="00F56C9A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C416BB" w:rsidRPr="00E079AC" w:rsidRDefault="00F56C9A" w:rsidP="00C416BB">
      <w:pPr>
        <w:pStyle w:val="Paragrafoelenco"/>
        <w:numPr>
          <w:ilvl w:val="0"/>
          <w:numId w:val="6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Data on the number of </w:t>
      </w:r>
      <w:r w:rsidR="00844485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individuals with certain surnames and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employed in certain elite occupations </w:t>
      </w:r>
      <w:r w:rsidR="00844485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are collected through several data sources. </w:t>
      </w:r>
      <w:proofErr w:type="gramStart"/>
      <w:r w:rsidR="00844485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Namely, </w:t>
      </w:r>
      <w:r w:rsidR="00684158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(i) </w:t>
      </w:r>
      <w:r w:rsidR="00844485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individuals 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of the liberal professions are drawn from the archives of the provincial professional organizations: see </w:t>
      </w:r>
      <w:hyperlink r:id="rId16" w:history="1">
        <w:r w:rsidR="004B534A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http://www.consiglionazionaleforense.it/site/home.html</w:t>
        </w:r>
      </w:hyperlink>
      <w:r w:rsidR="004B534A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for lawyers, </w:t>
      </w:r>
      <w:hyperlink r:id="rId17" w:history="1">
        <w:r w:rsidR="004B534A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http://www.ordine-medici-firenze.it/</w:t>
        </w:r>
      </w:hyperlink>
      <w:r w:rsidR="004B534A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for medical doctors and </w:t>
      </w:r>
      <w:hyperlink r:id="rId18" w:history="1">
        <w:r w:rsidR="004B534A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http://www.ordinefarmacisti.fi.it/</w:t>
        </w:r>
      </w:hyperlink>
      <w:r w:rsidR="004B534A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>for pharmacists</w:t>
      </w:r>
      <w:r w:rsidR="00684158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; (ii) individuals belonging to the governing bodies of the banks </w:t>
      </w:r>
      <w:r w:rsidR="000C4B6E" w:rsidRPr="00E079AC">
        <w:rPr>
          <w:rFonts w:ascii="Times New Roman" w:hAnsi="Times New Roman" w:cs="Times New Roman"/>
          <w:sz w:val="24"/>
          <w:szCs w:val="24"/>
          <w:lang w:val="en-US"/>
        </w:rPr>
        <w:t>are drawn from the OR.SO (</w:t>
      </w:r>
      <w:proofErr w:type="spellStart"/>
      <w:r w:rsidR="000C4B6E" w:rsidRPr="00E079AC">
        <w:rPr>
          <w:rFonts w:ascii="Times New Roman" w:hAnsi="Times New Roman" w:cs="Times New Roman"/>
          <w:i/>
          <w:sz w:val="24"/>
          <w:szCs w:val="24"/>
          <w:lang w:val="en-US"/>
        </w:rPr>
        <w:t>Organi</w:t>
      </w:r>
      <w:proofErr w:type="spellEnd"/>
      <w:r w:rsidR="000C4B6E" w:rsidRPr="00E079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C4B6E" w:rsidRPr="00E079AC">
        <w:rPr>
          <w:rFonts w:ascii="Times New Roman" w:hAnsi="Times New Roman" w:cs="Times New Roman"/>
          <w:i/>
          <w:sz w:val="24"/>
          <w:szCs w:val="24"/>
          <w:lang w:val="en-US"/>
        </w:rPr>
        <w:t>Sociali</w:t>
      </w:r>
      <w:proofErr w:type="spellEnd"/>
      <w:r w:rsidR="000C4B6E" w:rsidRPr="00E079AC">
        <w:rPr>
          <w:rFonts w:ascii="Times New Roman" w:hAnsi="Times New Roman" w:cs="Times New Roman"/>
          <w:sz w:val="24"/>
          <w:szCs w:val="24"/>
          <w:lang w:val="en-US"/>
        </w:rPr>
        <w:t>) archive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>, managed by the Bank of Italy</w:t>
      </w:r>
      <w:r w:rsidR="000C4B6E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; please contact the authors to have information on how to access the data; (iii) goldsmiths </w:t>
      </w:r>
      <w:r w:rsidR="00BC046D" w:rsidRPr="00E079AC">
        <w:rPr>
          <w:rFonts w:ascii="Times New Roman" w:hAnsi="Times New Roman" w:cs="Times New Roman"/>
          <w:sz w:val="24"/>
          <w:szCs w:val="24"/>
          <w:lang w:val="en-US"/>
        </w:rPr>
        <w:t>are drawn from the National Business Register database</w:t>
      </w:r>
      <w:r w:rsidR="004B534A" w:rsidRPr="00E079A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C4B6E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34A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C4B6E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 w:rsidR="000C4B6E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data please follow the instruction on the website of the proprietary data</w:t>
      </w:r>
      <w:r w:rsidR="004B534A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at</w:t>
      </w:r>
      <w:r w:rsidR="000C4B6E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hyperlink r:id="rId19" w:history="1">
        <w:r w:rsidR="000C4B6E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https://www.infocamere.it/en/accesso-alle-banche-dati</w:t>
        </w:r>
      </w:hyperlink>
      <w:r w:rsidR="000C4B6E" w:rsidRPr="00E079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16BB" w:rsidRPr="00E079AC" w:rsidRDefault="00C416BB" w:rsidP="00C416BB">
      <w:pPr>
        <w:pStyle w:val="Paragrafoelenco"/>
        <w:spacing w:after="0" w:line="264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C416BB" w:rsidRPr="00E079AC" w:rsidRDefault="00BC046D" w:rsidP="00C416BB">
      <w:pPr>
        <w:pStyle w:val="Paragrafoelenco"/>
        <w:numPr>
          <w:ilvl w:val="0"/>
          <w:numId w:val="6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079AC">
        <w:rPr>
          <w:rFonts w:ascii="Times New Roman" w:hAnsi="Times New Roman" w:cs="Times New Roman"/>
          <w:b/>
          <w:sz w:val="24"/>
          <w:szCs w:val="24"/>
          <w:lang w:val="en-US"/>
        </w:rPr>
        <w:t>Survey of Household Income and Wealth</w:t>
      </w:r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is managed by the Bank of Italy and collects information on income and wealth of Italian households. More information on the survey </w:t>
      </w:r>
      <w:proofErr w:type="gramStart"/>
      <w:r w:rsidRPr="00E079AC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proofErr w:type="gramEnd"/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3B1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hyperlink r:id="rId20" w:history="1">
        <w:r w:rsidR="00CF13B1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https://www.bancaditalia.it/statistiche/tematiche/indagini-famiglie-imprese/bilanci-famiglie/index.html?com.dotmarketing.htmlpage.language=1</w:t>
        </w:r>
      </w:hyperlink>
      <w:r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. As Bank of Italy employees, we have privileged access to confidential records on the province of residence and of birth of each interviewee. </w:t>
      </w:r>
      <w:r w:rsidR="00C416BB" w:rsidRPr="00E079AC">
        <w:rPr>
          <w:rFonts w:ascii="Times New Roman" w:hAnsi="Times New Roman" w:cs="Times New Roman"/>
          <w:sz w:val="24"/>
          <w:szCs w:val="24"/>
          <w:lang w:val="en-US"/>
        </w:rPr>
        <w:t xml:space="preserve">To have access to the same data please contact </w:t>
      </w:r>
      <w:hyperlink r:id="rId21" w:history="1">
        <w:r w:rsidR="00C416BB" w:rsidRPr="00E079A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statistiche@bancaditalia.it</w:t>
        </w:r>
      </w:hyperlink>
      <w:r w:rsidR="00CF13B1" w:rsidRPr="00E079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046D" w:rsidRPr="00E079AC" w:rsidRDefault="00BC046D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B40AA1" w:rsidRPr="00E079AC" w:rsidRDefault="00494E20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replication of most of our results need the access to confidential microdata that we cannot provide as part of the replication archive. </w:t>
      </w:r>
      <w:r w:rsidR="00B40AA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Information on how to gain access to each data sources are mentioned above. The authors will assist with any reasonable replication attempts for two years following publication. </w:t>
      </w:r>
    </w:p>
    <w:p w:rsidR="00B40AA1" w:rsidRPr="00E079AC" w:rsidRDefault="00B40AA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494E20" w:rsidRPr="00E079AC" w:rsidRDefault="00B40AA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</w:t>
      </w:r>
      <w:r w:rsidR="00494E20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 the following, we report a description of the data obtained from the </w:t>
      </w:r>
      <w:r w:rsidR="00BC046D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association (and anonymization) of the </w:t>
      </w:r>
      <w:r w:rsidR="00494E20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original data sources mentioned above.</w:t>
      </w:r>
    </w:p>
    <w:p w:rsidR="00BC046D" w:rsidRDefault="00BC046D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A2511" w:rsidRDefault="00DA2511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A2511" w:rsidRPr="00E079AC" w:rsidRDefault="00DA2511" w:rsidP="00A40EF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A2511" w:rsidRDefault="00DA251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br w:type="page"/>
      </w:r>
    </w:p>
    <w:p w:rsidR="00162EB4" w:rsidRPr="00E079AC" w:rsidRDefault="00162EB4" w:rsidP="00A40EF1">
      <w:pPr>
        <w:spacing w:after="0" w:line="264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E079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lastRenderedPageBreak/>
        <w:t>Dataset list</w:t>
      </w:r>
      <w:r w:rsidR="00B40AA1" w:rsidRPr="00E079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 xml:space="preserve"> of the replication package </w:t>
      </w:r>
    </w:p>
    <w:p w:rsidR="00B40AA1" w:rsidRPr="00E079AC" w:rsidRDefault="00B40AA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B40AA1" w:rsidRPr="00E079AC" w:rsidRDefault="00B40AA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 terms of </w:t>
      </w:r>
      <w:r w:rsidRPr="00E079AC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software requirements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all the elaborations </w:t>
      </w:r>
      <w:proofErr w:type="gramStart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are performed</w:t>
      </w:r>
      <w:proofErr w:type="gramEnd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with Stata 1</w:t>
      </w:r>
      <w:r w:rsid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6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:rsidR="00B40AA1" w:rsidRPr="00E079AC" w:rsidRDefault="00B40AA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F04D2C" w:rsidRPr="00E079AC" w:rsidRDefault="00B40AA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replication package includes 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five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datasets (in dta format) and 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one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do file that allows </w:t>
      </w:r>
      <w:proofErr w:type="gramStart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to replicate</w:t>
      </w:r>
      <w:proofErr w:type="gramEnd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most of the tables and the figures contained in the paper. </w:t>
      </w:r>
      <w:r w:rsidR="00F04D2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 the following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</w:t>
      </w:r>
      <w:r w:rsidR="00F04D2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we report more details.</w:t>
      </w:r>
    </w:p>
    <w:p w:rsidR="00F04D2C" w:rsidRPr="00E079AC" w:rsidRDefault="00F04D2C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F04D2C" w:rsidRPr="00E079AC" w:rsidRDefault="00B06A4F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Pr="00E079AC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datasets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are obtained as a combination of the original data sources described above and, for confidentiality reasons, surnames have been anonymized. </w:t>
      </w:r>
      <w:r w:rsidR="00DA251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All the datasets included variable with labels describing their content and meaning.</w:t>
      </w:r>
    </w:p>
    <w:p w:rsidR="00F04D2C" w:rsidRPr="00E079AC" w:rsidRDefault="00F04D2C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6340"/>
      </w:tblGrid>
      <w:tr w:rsidR="00F04D2C" w:rsidRPr="00E079AC" w:rsidTr="003E738A">
        <w:tc>
          <w:tcPr>
            <w:tcW w:w="1838" w:type="dxa"/>
            <w:tcBorders>
              <w:bottom w:val="single" w:sz="4" w:space="0" w:color="auto"/>
            </w:tcBorders>
          </w:tcPr>
          <w:p w:rsidR="00F10BA0" w:rsidRPr="00E079AC" w:rsidRDefault="00F04D2C" w:rsidP="00F04D2C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  <w:t>Name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:rsidR="00F04D2C" w:rsidRPr="00E079AC" w:rsidRDefault="00F04D2C" w:rsidP="00651C67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  <w:t>Description of the dataset</w:t>
            </w:r>
          </w:p>
        </w:tc>
      </w:tr>
      <w:tr w:rsidR="00F04D2C" w:rsidRPr="00E079AC" w:rsidTr="003E738A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850A3A" w:rsidP="00E5437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restud_1427_micro.dta</w:t>
            </w:r>
          </w:p>
        </w:tc>
        <w:tc>
          <w:tcPr>
            <w:tcW w:w="7790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474C86" w:rsidP="00474C8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This dataset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contains information on incomes at the individual level for household heads surveyed in the 1427 Census.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The dataset is obtained from the data source (1).</w:t>
            </w:r>
          </w:p>
        </w:tc>
      </w:tr>
      <w:tr w:rsidR="00F04D2C" w:rsidRPr="005E6198" w:rsidTr="003E738A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474C86" w:rsidP="00E5437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restud_1427.dta</w:t>
            </w:r>
          </w:p>
        </w:tc>
        <w:tc>
          <w:tcPr>
            <w:tcW w:w="7790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474C86" w:rsidP="00474C8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This dataset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contains main socioeconomic variables (e.g. earnings,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wealth, main occupation, etc.)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at the surname level for all surnames included in the 1427 Census 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and the same information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for the subset of these surnames that can be matched with the 2011 tax records.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The dataset is obtained from a combination of data sources (1) and (2).</w:t>
            </w:r>
          </w:p>
        </w:tc>
      </w:tr>
      <w:tr w:rsidR="00F04D2C" w:rsidRPr="005E6198" w:rsidTr="003E738A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474C86" w:rsidP="00E5437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restud_2011.dta</w:t>
            </w:r>
          </w:p>
        </w:tc>
        <w:tc>
          <w:tcPr>
            <w:tcW w:w="7790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474C86" w:rsidP="00F10BA0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This dataset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contains main socioeconomic variables (e.g. earnings, wealth, etc.) aggregated at the surname level for all surnames included both in the 1427 Census and in the 2011 tax records. </w:t>
            </w:r>
            <w:r w:rsidR="00F10BA0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The dataset is obtained from a combination of data sources (1), (2) and (3).</w:t>
            </w:r>
          </w:p>
        </w:tc>
      </w:tr>
      <w:tr w:rsidR="00F04D2C" w:rsidRPr="005E6198" w:rsidTr="003E738A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F10BA0" w:rsidP="00E5437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restud_occupations.dta</w:t>
            </w:r>
          </w:p>
        </w:tc>
        <w:tc>
          <w:tcPr>
            <w:tcW w:w="7790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F10BA0" w:rsidP="00F10BA0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This dataset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contains information on type of occupation (for a selected set of occupations) at the individual level for taxpayers of the province of Florence whose surname can be matched to those of the 1427 Census.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The dataset is obtained from a combination of data sources (1), (3) and (5).</w:t>
            </w:r>
          </w:p>
        </w:tc>
      </w:tr>
      <w:tr w:rsidR="00F04D2C" w:rsidRPr="00E079AC" w:rsidTr="003E738A"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F10BA0" w:rsidP="00E5437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restud_surname_2011.dta</w:t>
            </w:r>
          </w:p>
        </w:tc>
        <w:tc>
          <w:tcPr>
            <w:tcW w:w="7790" w:type="dxa"/>
            <w:tcBorders>
              <w:top w:val="single" w:sz="4" w:space="0" w:color="auto"/>
              <w:bottom w:val="single" w:sz="4" w:space="0" w:color="auto"/>
            </w:tcBorders>
          </w:tcPr>
          <w:p w:rsidR="00F04D2C" w:rsidRPr="00E079AC" w:rsidRDefault="00F10BA0" w:rsidP="00F10BA0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This dataset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contains information on 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the </w:t>
            </w:r>
            <w:r w:rsidR="00F04D2C"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characteristics of the surnames (e.g. length and indicators of complexity) for all the surnames of the current Italian taxpayers of the municipality of Florence.</w:t>
            </w:r>
            <w:r w:rsidRPr="00E079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The dataset is obtained from the data source (4).</w:t>
            </w:r>
          </w:p>
        </w:tc>
      </w:tr>
    </w:tbl>
    <w:p w:rsidR="00F04D2C" w:rsidRPr="00E079AC" w:rsidRDefault="00F04D2C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B40AA1" w:rsidRPr="00E079AC" w:rsidRDefault="00693D96" w:rsidP="00693D96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Pr="00E079AC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do file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E079AC">
        <w:rPr>
          <w:rFonts w:ascii="Times New Roman" w:eastAsia="Times New Roman" w:hAnsi="Times New Roman" w:cs="Times New Roman"/>
          <w:i/>
          <w:sz w:val="24"/>
          <w:szCs w:val="24"/>
          <w:lang w:val="en-US" w:eastAsia="it-IT"/>
        </w:rPr>
        <w:t>restud.do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allows to replicate all the tables and the figures with the exception of Table 7 and Figure 1. </w:t>
      </w:r>
      <w:r w:rsidR="00B40AA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="00F04D2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do file</w:t>
      </w:r>
      <w:r w:rsidR="00B40AA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includes step-by-step instructions on the nature of the exercise and the type of output. Moreover, it </w:t>
      </w:r>
      <w:r w:rsidR="00B40AA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produce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</w:t>
      </w:r>
      <w:r w:rsidR="00B40AA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 log file with a clear</w:t>
      </w:r>
      <w:r w:rsidR="00B06A4F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description of the output all the references to the Tables and Figures reported in the article.</w:t>
      </w:r>
      <w:r w:rsidR="00B40AA1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693D96" w:rsidRDefault="00693D96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A2511" w:rsidRDefault="00DA251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br w:type="page"/>
      </w:r>
    </w:p>
    <w:p w:rsidR="00693D96" w:rsidRPr="00E079AC" w:rsidRDefault="00693D96" w:rsidP="00693D96">
      <w:pPr>
        <w:spacing w:after="0" w:line="264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E079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lastRenderedPageBreak/>
        <w:t>Instructions to Replicators</w:t>
      </w:r>
    </w:p>
    <w:p w:rsidR="001A315F" w:rsidRPr="00E079AC" w:rsidRDefault="001A315F" w:rsidP="00693D96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1A315F" w:rsidRDefault="001A315F" w:rsidP="001A315F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Anyone who wants to replicate our results must</w:t>
      </w:r>
      <w:r w:rsidR="007F1FD3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simply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perform the following steps:</w:t>
      </w:r>
    </w:p>
    <w:p w:rsidR="00E079AC" w:rsidRPr="00E079AC" w:rsidRDefault="00E079AC" w:rsidP="001A315F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1A315F" w:rsidRPr="00E079AC" w:rsidRDefault="001A315F" w:rsidP="001A315F">
      <w:pPr>
        <w:pStyle w:val="Paragrafoelenco"/>
        <w:numPr>
          <w:ilvl w:val="0"/>
          <w:numId w:val="7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Edit </w:t>
      </w:r>
      <w:r w:rsidRPr="00E079AC">
        <w:rPr>
          <w:rFonts w:ascii="Times New Roman" w:eastAsia="Times New Roman" w:hAnsi="Times New Roman" w:cs="Times New Roman"/>
          <w:i/>
          <w:sz w:val="24"/>
          <w:szCs w:val="24"/>
          <w:lang w:val="en-US" w:eastAsia="it-IT"/>
        </w:rPr>
        <w:t>restud.do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adjust the default path. Th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is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code automatically open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data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sets, runs regressions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save</w:t>
      </w:r>
      <w:r w:rsidR="00321E7C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the output in the working directory defined at the beginning of the do file.</w:t>
      </w:r>
    </w:p>
    <w:p w:rsidR="001A315F" w:rsidRDefault="001A315F" w:rsidP="001A315F">
      <w:pPr>
        <w:pStyle w:val="Paragrafoelenco"/>
        <w:numPr>
          <w:ilvl w:val="0"/>
          <w:numId w:val="7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Run </w:t>
      </w:r>
      <w:r w:rsidRPr="00E079AC">
        <w:rPr>
          <w:rFonts w:ascii="Times New Roman" w:eastAsia="Times New Roman" w:hAnsi="Times New Roman" w:cs="Times New Roman"/>
          <w:i/>
          <w:sz w:val="24"/>
          <w:szCs w:val="24"/>
          <w:lang w:val="en-US" w:eastAsia="it-IT"/>
        </w:rPr>
        <w:t>restud.do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that automatically will produce a log file with main results </w:t>
      </w:r>
      <w:r w:rsidR="00A869F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(to be included in the Tables) and the Figures (*.tif format)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. </w:t>
      </w:r>
    </w:p>
    <w:p w:rsidR="00E079AC" w:rsidRPr="00E079AC" w:rsidRDefault="00E079AC" w:rsidP="001A315F">
      <w:pPr>
        <w:pStyle w:val="Paragrafoelenco"/>
        <w:numPr>
          <w:ilvl w:val="0"/>
          <w:numId w:val="7"/>
        </w:num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Please see the Table below for more details on the reproduction of Tables and Figures</w:t>
      </w:r>
      <w:r w:rsidR="003E738A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  <w:r w:rsidR="00DA2511" w:rsidRPr="00E079AC">
        <w:rPr>
          <w:rStyle w:val="Rimandonotaapidipagina"/>
          <w:rFonts w:ascii="Times New Roman" w:eastAsia="Times New Roman" w:hAnsi="Times New Roman" w:cs="Times New Roman"/>
          <w:sz w:val="24"/>
          <w:szCs w:val="24"/>
          <w:lang w:val="en-US" w:eastAsia="it-IT"/>
        </w:rPr>
        <w:footnoteReference w:id="3"/>
      </w:r>
    </w:p>
    <w:p w:rsidR="00693D96" w:rsidRDefault="00693D96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Style w:val="Grigliatabel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"/>
        <w:gridCol w:w="4203"/>
        <w:gridCol w:w="3721"/>
      </w:tblGrid>
      <w:tr w:rsidR="00AF1D56" w:rsidRPr="005E6198" w:rsidTr="003E738A">
        <w:trPr>
          <w:trHeight w:val="306"/>
        </w:trPr>
        <w:tc>
          <w:tcPr>
            <w:tcW w:w="1143" w:type="dxa"/>
            <w:tcBorders>
              <w:bottom w:val="single" w:sz="4" w:space="0" w:color="auto"/>
            </w:tcBorders>
          </w:tcPr>
          <w:p w:rsidR="00AF1D56" w:rsidRPr="00AF1D56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  <w:r w:rsidRPr="00AF1D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  <w:t>Output</w:t>
            </w:r>
          </w:p>
        </w:tc>
        <w:tc>
          <w:tcPr>
            <w:tcW w:w="4203" w:type="dxa"/>
            <w:tcBorders>
              <w:bottom w:val="single" w:sz="4" w:space="0" w:color="auto"/>
            </w:tcBorders>
          </w:tcPr>
          <w:p w:rsidR="00AF1D56" w:rsidRPr="00AF1D56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  <w:r w:rsidRPr="00AF1D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  <w:t>Dataset of the replication package</w:t>
            </w:r>
          </w:p>
        </w:tc>
        <w:tc>
          <w:tcPr>
            <w:tcW w:w="3721" w:type="dxa"/>
            <w:tcBorders>
              <w:bottom w:val="single" w:sz="4" w:space="0" w:color="auto"/>
            </w:tcBorders>
          </w:tcPr>
          <w:p w:rsidR="00AF1D56" w:rsidRPr="00AF1D56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  <w:r w:rsidRPr="00AF1D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  <w:t xml:space="preserve">Lines of the do file </w:t>
            </w:r>
            <w:r w:rsidRPr="00AF1D5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it-IT"/>
              </w:rPr>
              <w:t>restud.do</w:t>
            </w:r>
          </w:p>
        </w:tc>
      </w:tr>
      <w:tr w:rsidR="003E738A" w:rsidRPr="005E6198" w:rsidTr="003E738A">
        <w:trPr>
          <w:trHeight w:val="306"/>
        </w:trPr>
        <w:tc>
          <w:tcPr>
            <w:tcW w:w="1143" w:type="dxa"/>
            <w:tcBorders>
              <w:top w:val="single" w:sz="4" w:space="0" w:color="auto"/>
            </w:tcBorders>
          </w:tcPr>
          <w:p w:rsidR="003E738A" w:rsidRPr="00AF1D56" w:rsidRDefault="003E738A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4203" w:type="dxa"/>
            <w:tcBorders>
              <w:top w:val="single" w:sz="4" w:space="0" w:color="auto"/>
            </w:tcBorders>
          </w:tcPr>
          <w:p w:rsidR="003E738A" w:rsidRPr="00AF1D56" w:rsidRDefault="003E738A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</w:p>
        </w:tc>
        <w:tc>
          <w:tcPr>
            <w:tcW w:w="3721" w:type="dxa"/>
            <w:tcBorders>
              <w:top w:val="single" w:sz="4" w:space="0" w:color="auto"/>
            </w:tcBorders>
          </w:tcPr>
          <w:p w:rsidR="003E738A" w:rsidRPr="00AF1D56" w:rsidRDefault="003E738A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it-IT"/>
              </w:rPr>
            </w:pPr>
          </w:p>
        </w:tc>
      </w:tr>
      <w:tr w:rsidR="00AF1D56" w:rsidTr="003E738A">
        <w:trPr>
          <w:trHeight w:val="287"/>
        </w:trPr>
        <w:tc>
          <w:tcPr>
            <w:tcW w:w="1143" w:type="dxa"/>
          </w:tcPr>
          <w:p w:rsidR="00AF1D56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1</w:t>
            </w:r>
          </w:p>
        </w:tc>
        <w:tc>
          <w:tcPr>
            <w:tcW w:w="4203" w:type="dxa"/>
          </w:tcPr>
          <w:p w:rsidR="00AF1D56" w:rsidRPr="00267E7E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 xml:space="preserve">restud_1427 </w:t>
            </w:r>
            <w:r w:rsidRPr="00267E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and</w:t>
            </w: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 xml:space="preserve"> restud_2011</w:t>
            </w:r>
          </w:p>
        </w:tc>
        <w:tc>
          <w:tcPr>
            <w:tcW w:w="3721" w:type="dxa"/>
          </w:tcPr>
          <w:p w:rsidR="00AF1D56" w:rsidRDefault="00AF1D56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Lines 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5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3</w:t>
            </w:r>
          </w:p>
        </w:tc>
      </w:tr>
      <w:tr w:rsidR="00AF1D56" w:rsidTr="003E738A">
        <w:trPr>
          <w:trHeight w:val="287"/>
        </w:trPr>
        <w:tc>
          <w:tcPr>
            <w:tcW w:w="1143" w:type="dxa"/>
          </w:tcPr>
          <w:p w:rsidR="00AF1D56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2</w:t>
            </w:r>
          </w:p>
        </w:tc>
        <w:tc>
          <w:tcPr>
            <w:tcW w:w="4203" w:type="dxa"/>
          </w:tcPr>
          <w:p w:rsidR="00AF1D56" w:rsidRPr="00267E7E" w:rsidRDefault="00AF1D56" w:rsidP="00B40AA1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</w:t>
            </w:r>
          </w:p>
        </w:tc>
        <w:tc>
          <w:tcPr>
            <w:tcW w:w="3721" w:type="dxa"/>
          </w:tcPr>
          <w:p w:rsidR="00AF1D56" w:rsidRDefault="00AF1D56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5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7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0</w:t>
            </w:r>
          </w:p>
        </w:tc>
      </w:tr>
      <w:tr w:rsidR="00AF1D56" w:rsidTr="003E738A">
        <w:trPr>
          <w:trHeight w:val="287"/>
        </w:trPr>
        <w:tc>
          <w:tcPr>
            <w:tcW w:w="1143" w:type="dxa"/>
          </w:tcPr>
          <w:p w:rsidR="00AF1D56" w:rsidRDefault="00AF1D56" w:rsidP="00AF1D5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3</w:t>
            </w:r>
          </w:p>
        </w:tc>
        <w:tc>
          <w:tcPr>
            <w:tcW w:w="4203" w:type="dxa"/>
          </w:tcPr>
          <w:p w:rsidR="00AF1D56" w:rsidRPr="00267E7E" w:rsidRDefault="00AF1D56" w:rsidP="00AF1D5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</w:t>
            </w:r>
          </w:p>
        </w:tc>
        <w:tc>
          <w:tcPr>
            <w:tcW w:w="3721" w:type="dxa"/>
          </w:tcPr>
          <w:p w:rsidR="00AF1D56" w:rsidRDefault="00AF1D56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7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21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8</w:t>
            </w:r>
          </w:p>
        </w:tc>
      </w:tr>
      <w:tr w:rsidR="00AF1D56" w:rsidTr="003E738A">
        <w:trPr>
          <w:trHeight w:val="287"/>
        </w:trPr>
        <w:tc>
          <w:tcPr>
            <w:tcW w:w="1143" w:type="dxa"/>
          </w:tcPr>
          <w:p w:rsidR="00AF1D56" w:rsidRDefault="00AF1D56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4</w:t>
            </w:r>
          </w:p>
        </w:tc>
        <w:tc>
          <w:tcPr>
            <w:tcW w:w="4203" w:type="dxa"/>
          </w:tcPr>
          <w:p w:rsidR="00AF1D56" w:rsidRPr="00267E7E" w:rsidRDefault="00AF1D56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</w:t>
            </w:r>
          </w:p>
        </w:tc>
        <w:tc>
          <w:tcPr>
            <w:tcW w:w="3721" w:type="dxa"/>
          </w:tcPr>
          <w:p w:rsidR="00AF1D56" w:rsidRDefault="00AF1D56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22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26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3</w:t>
            </w:r>
          </w:p>
        </w:tc>
      </w:tr>
      <w:tr w:rsidR="00267E7E" w:rsidTr="003E738A">
        <w:trPr>
          <w:trHeight w:val="287"/>
        </w:trPr>
        <w:tc>
          <w:tcPr>
            <w:tcW w:w="1143" w:type="dxa"/>
          </w:tcPr>
          <w:p w:rsidR="00267E7E" w:rsidRDefault="00267E7E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5</w:t>
            </w:r>
          </w:p>
        </w:tc>
        <w:tc>
          <w:tcPr>
            <w:tcW w:w="4203" w:type="dxa"/>
          </w:tcPr>
          <w:p w:rsidR="00267E7E" w:rsidRPr="00267E7E" w:rsidRDefault="00267E7E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</w:t>
            </w:r>
          </w:p>
        </w:tc>
        <w:tc>
          <w:tcPr>
            <w:tcW w:w="3721" w:type="dxa"/>
          </w:tcPr>
          <w:p w:rsidR="00267E7E" w:rsidRDefault="00267E7E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26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3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41</w:t>
            </w:r>
          </w:p>
        </w:tc>
      </w:tr>
      <w:tr w:rsidR="00AF1D56" w:rsidTr="003E738A">
        <w:trPr>
          <w:trHeight w:val="287"/>
        </w:trPr>
        <w:tc>
          <w:tcPr>
            <w:tcW w:w="1143" w:type="dxa"/>
          </w:tcPr>
          <w:p w:rsidR="00AF1D56" w:rsidRDefault="00267E7E" w:rsidP="00AF1D5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6</w:t>
            </w:r>
          </w:p>
        </w:tc>
        <w:tc>
          <w:tcPr>
            <w:tcW w:w="4203" w:type="dxa"/>
          </w:tcPr>
          <w:p w:rsidR="00AF1D56" w:rsidRPr="00267E7E" w:rsidRDefault="00AF1D56" w:rsidP="00AF1D5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</w:t>
            </w:r>
          </w:p>
        </w:tc>
        <w:tc>
          <w:tcPr>
            <w:tcW w:w="3721" w:type="dxa"/>
          </w:tcPr>
          <w:p w:rsidR="00AF1D56" w:rsidRDefault="00AF1D56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Lines </w:t>
            </w:r>
            <w:r w:rsidR="00267E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34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</w:t>
            </w:r>
            <w:r w:rsidR="00267E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43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3</w:t>
            </w:r>
          </w:p>
        </w:tc>
      </w:tr>
      <w:tr w:rsidR="00267E7E" w:rsidTr="003E738A">
        <w:trPr>
          <w:trHeight w:val="287"/>
        </w:trPr>
        <w:tc>
          <w:tcPr>
            <w:tcW w:w="1143" w:type="dxa"/>
          </w:tcPr>
          <w:p w:rsidR="00267E7E" w:rsidRDefault="00267E7E" w:rsidP="00AF1D56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7</w:t>
            </w:r>
          </w:p>
        </w:tc>
        <w:tc>
          <w:tcPr>
            <w:tcW w:w="4203" w:type="dxa"/>
          </w:tcPr>
          <w:p w:rsidR="00267E7E" w:rsidRPr="00267E7E" w:rsidRDefault="00267E7E" w:rsidP="00267E7E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n.a.</w:t>
            </w:r>
          </w:p>
        </w:tc>
        <w:tc>
          <w:tcPr>
            <w:tcW w:w="3721" w:type="dxa"/>
          </w:tcPr>
          <w:p w:rsidR="00267E7E" w:rsidRDefault="00267E7E" w:rsidP="00267E7E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n.a.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8</w:t>
            </w:r>
          </w:p>
        </w:tc>
        <w:tc>
          <w:tcPr>
            <w:tcW w:w="4203" w:type="dxa"/>
          </w:tcPr>
          <w:p w:rsidR="0058194F" w:rsidRPr="00267E7E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 xml:space="preserve">restud_2011 </w:t>
            </w:r>
            <w:r w:rsidRPr="00267E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and</w:t>
            </w: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 xml:space="preserve"> restud_surnames_2011</w:t>
            </w:r>
          </w:p>
        </w:tc>
        <w:tc>
          <w:tcPr>
            <w:tcW w:w="3721" w:type="dxa"/>
          </w:tcPr>
          <w:p w:rsidR="0058194F" w:rsidRDefault="0058194F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43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55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8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9</w:t>
            </w:r>
          </w:p>
        </w:tc>
        <w:tc>
          <w:tcPr>
            <w:tcW w:w="4203" w:type="dxa"/>
          </w:tcPr>
          <w:p w:rsidR="0058194F" w:rsidRPr="00267E7E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1427</w:t>
            </w:r>
          </w:p>
        </w:tc>
        <w:tc>
          <w:tcPr>
            <w:tcW w:w="3721" w:type="dxa"/>
          </w:tcPr>
          <w:p w:rsidR="0058194F" w:rsidRDefault="0058194F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56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61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6</w:t>
            </w:r>
          </w:p>
        </w:tc>
      </w:tr>
      <w:tr w:rsidR="00267E7E" w:rsidTr="003E738A">
        <w:trPr>
          <w:trHeight w:val="287"/>
        </w:trPr>
        <w:tc>
          <w:tcPr>
            <w:tcW w:w="1143" w:type="dxa"/>
          </w:tcPr>
          <w:p w:rsidR="00267E7E" w:rsidRDefault="00267E7E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Table </w:t>
            </w:r>
            <w:r w:rsidR="005819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10</w:t>
            </w:r>
          </w:p>
        </w:tc>
        <w:tc>
          <w:tcPr>
            <w:tcW w:w="4203" w:type="dxa"/>
          </w:tcPr>
          <w:p w:rsidR="00267E7E" w:rsidRPr="00267E7E" w:rsidRDefault="00267E7E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</w:t>
            </w:r>
            <w:r w:rsidR="005819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1427</w:t>
            </w:r>
          </w:p>
        </w:tc>
        <w:tc>
          <w:tcPr>
            <w:tcW w:w="3721" w:type="dxa"/>
          </w:tcPr>
          <w:p w:rsidR="00267E7E" w:rsidRDefault="00267E7E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Lines </w:t>
            </w:r>
            <w:r w:rsidR="005819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64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</w:t>
            </w:r>
            <w:r w:rsidR="005819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71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11</w:t>
            </w:r>
          </w:p>
        </w:tc>
        <w:tc>
          <w:tcPr>
            <w:tcW w:w="4203" w:type="dxa"/>
          </w:tcPr>
          <w:p w:rsidR="0058194F" w:rsidRPr="00267E7E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restud_2011</w:t>
            </w:r>
          </w:p>
        </w:tc>
        <w:tc>
          <w:tcPr>
            <w:tcW w:w="3721" w:type="dxa"/>
          </w:tcPr>
          <w:p w:rsidR="0058194F" w:rsidRDefault="0058194F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7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84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9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Table 12</w:t>
            </w:r>
          </w:p>
        </w:tc>
        <w:tc>
          <w:tcPr>
            <w:tcW w:w="4203" w:type="dxa"/>
          </w:tcPr>
          <w:p w:rsidR="0058194F" w:rsidRPr="00267E7E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restud_occupations</w:t>
            </w:r>
          </w:p>
        </w:tc>
        <w:tc>
          <w:tcPr>
            <w:tcW w:w="3721" w:type="dxa"/>
          </w:tcPr>
          <w:p w:rsidR="0058194F" w:rsidRDefault="0058194F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8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8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75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4203" w:type="dxa"/>
          </w:tcPr>
          <w:p w:rsidR="0058194F" w:rsidRDefault="0058194F" w:rsidP="00C87CE9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</w:p>
        </w:tc>
        <w:tc>
          <w:tcPr>
            <w:tcW w:w="3721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bookmarkStart w:id="0" w:name="_GoBack"/>
            <w:bookmarkEnd w:id="0"/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Figure 1</w:t>
            </w:r>
          </w:p>
        </w:tc>
        <w:tc>
          <w:tcPr>
            <w:tcW w:w="4203" w:type="dxa"/>
          </w:tcPr>
          <w:p w:rsidR="0058194F" w:rsidRPr="00267E7E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n.a.</w:t>
            </w:r>
          </w:p>
        </w:tc>
        <w:tc>
          <w:tcPr>
            <w:tcW w:w="3721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n.a.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Figure 2</w:t>
            </w:r>
          </w:p>
        </w:tc>
        <w:tc>
          <w:tcPr>
            <w:tcW w:w="4203" w:type="dxa"/>
          </w:tcPr>
          <w:p w:rsidR="0058194F" w:rsidRPr="00267E7E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 w:rsidRPr="00267E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1427</w:t>
            </w:r>
          </w:p>
        </w:tc>
        <w:tc>
          <w:tcPr>
            <w:tcW w:w="3721" w:type="dxa"/>
          </w:tcPr>
          <w:p w:rsidR="0058194F" w:rsidRDefault="0058194F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Lines 6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6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42</w:t>
            </w:r>
          </w:p>
        </w:tc>
      </w:tr>
      <w:tr w:rsidR="0058194F" w:rsidTr="003E738A">
        <w:trPr>
          <w:trHeight w:val="287"/>
        </w:trPr>
        <w:tc>
          <w:tcPr>
            <w:tcW w:w="1143" w:type="dxa"/>
          </w:tcPr>
          <w:p w:rsidR="0058194F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Figure 3</w:t>
            </w:r>
          </w:p>
        </w:tc>
        <w:tc>
          <w:tcPr>
            <w:tcW w:w="4203" w:type="dxa"/>
          </w:tcPr>
          <w:p w:rsidR="0058194F" w:rsidRPr="00267E7E" w:rsidRDefault="0058194F" w:rsidP="0058194F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t-IT"/>
              </w:rPr>
              <w:t>restud_1427_micro</w:t>
            </w:r>
          </w:p>
        </w:tc>
        <w:tc>
          <w:tcPr>
            <w:tcW w:w="3721" w:type="dxa"/>
          </w:tcPr>
          <w:p w:rsidR="0058194F" w:rsidRDefault="0058194F" w:rsidP="005E6198">
            <w:pPr>
              <w:spacing w:line="264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Lines </w:t>
            </w:r>
            <w:r w:rsidR="00A86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91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to </w:t>
            </w:r>
            <w:r w:rsidR="00A86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10</w:t>
            </w:r>
            <w:r w:rsidR="005E61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21</w:t>
            </w:r>
          </w:p>
        </w:tc>
      </w:tr>
    </w:tbl>
    <w:p w:rsidR="00E079AC" w:rsidRDefault="00E079AC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DA2511" w:rsidRPr="00E079AC" w:rsidRDefault="00DA2511" w:rsidP="00B40AA1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B06A4F" w:rsidRPr="00E079AC" w:rsidRDefault="00B06A4F" w:rsidP="00B06A4F">
      <w:pPr>
        <w:spacing w:after="0" w:line="264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</w:pPr>
      <w:r w:rsidRPr="00E079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t-IT"/>
        </w:rPr>
        <w:t>Acknowledgements</w:t>
      </w:r>
    </w:p>
    <w:p w:rsidR="00B06A4F" w:rsidRPr="00E079AC" w:rsidRDefault="00B06A4F" w:rsidP="00B06A4F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B40AA1" w:rsidRPr="00E079AC" w:rsidRDefault="00B06A4F" w:rsidP="00693D96">
      <w:pPr>
        <w:spacing w:after="0" w:line="264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We thank Giovanna </w:t>
      </w:r>
      <w:proofErr w:type="spellStart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Labartino</w:t>
      </w:r>
      <w:proofErr w:type="spellEnd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Michele Pellizzari who kindly shared the data on the distribution of surnames across provinces. We thank Peter </w:t>
      </w:r>
      <w:proofErr w:type="spellStart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Lindert</w:t>
      </w:r>
      <w:proofErr w:type="spellEnd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who kindly share estimates of incomes for household heads in 1427</w:t>
      </w:r>
      <w:r w:rsidR="0065097F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 W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e finally thank Riccardo </w:t>
      </w:r>
      <w:proofErr w:type="spellStart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Innocenti</w:t>
      </w:r>
      <w:proofErr w:type="spellEnd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and Massimiliano </w:t>
      </w:r>
      <w:proofErr w:type="spellStart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Sifone</w:t>
      </w:r>
      <w:proofErr w:type="spellEnd"/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of the municipal statistical office of Florence for providing us with tax records</w:t>
      </w:r>
      <w:r w:rsidR="0080722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for 2011 at the 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surname</w:t>
      </w:r>
      <w:r w:rsidR="00807227"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level</w:t>
      </w:r>
      <w:r w:rsidRPr="00E079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sectPr w:rsidR="00B40AA1" w:rsidRPr="00E079AC" w:rsidSect="00DA2511"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CA" w:rsidRDefault="00257ACA" w:rsidP="00693D96">
      <w:pPr>
        <w:spacing w:after="0" w:line="240" w:lineRule="auto"/>
      </w:pPr>
      <w:r>
        <w:separator/>
      </w:r>
    </w:p>
  </w:endnote>
  <w:endnote w:type="continuationSeparator" w:id="0">
    <w:p w:rsidR="00257ACA" w:rsidRDefault="00257ACA" w:rsidP="0069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CA" w:rsidRDefault="00257ACA" w:rsidP="00693D96">
      <w:pPr>
        <w:spacing w:after="0" w:line="240" w:lineRule="auto"/>
      </w:pPr>
      <w:r>
        <w:separator/>
      </w:r>
    </w:p>
  </w:footnote>
  <w:footnote w:type="continuationSeparator" w:id="0">
    <w:p w:rsidR="00257ACA" w:rsidRDefault="00257ACA" w:rsidP="00693D96">
      <w:pPr>
        <w:spacing w:after="0" w:line="240" w:lineRule="auto"/>
      </w:pPr>
      <w:r>
        <w:continuationSeparator/>
      </w:r>
    </w:p>
  </w:footnote>
  <w:footnote w:id="1">
    <w:p w:rsidR="00451A1E" w:rsidRPr="00451A1E" w:rsidRDefault="00451A1E" w:rsidP="00451A1E">
      <w:pPr>
        <w:pStyle w:val="Testonotaapidipagina"/>
        <w:jc w:val="both"/>
        <w:rPr>
          <w:rFonts w:ascii="Times New Roman" w:hAnsi="Times New Roman" w:cs="Times New Roman"/>
          <w:lang w:val="en-US"/>
        </w:rPr>
      </w:pPr>
      <w:r w:rsidRPr="00451A1E">
        <w:rPr>
          <w:rStyle w:val="Rimandonotaapidipagina"/>
          <w:rFonts w:ascii="Times New Roman" w:hAnsi="Times New Roman" w:cs="Times New Roman"/>
        </w:rPr>
        <w:footnoteRef/>
      </w:r>
      <w:r w:rsidRPr="00451A1E">
        <w:rPr>
          <w:rFonts w:ascii="Times New Roman" w:hAnsi="Times New Roman" w:cs="Times New Roman"/>
          <w:lang w:val="en-US"/>
        </w:rPr>
        <w:t xml:space="preserve"> The documentary sources </w:t>
      </w:r>
      <w:proofErr w:type="gramStart"/>
      <w:r w:rsidRPr="00451A1E">
        <w:rPr>
          <w:rFonts w:ascii="Times New Roman" w:hAnsi="Times New Roman" w:cs="Times New Roman"/>
          <w:lang w:val="en-US"/>
        </w:rPr>
        <w:t>are fully described</w:t>
      </w:r>
      <w:proofErr w:type="gramEnd"/>
      <w:r w:rsidRPr="00451A1E">
        <w:rPr>
          <w:rFonts w:ascii="Times New Roman" w:hAnsi="Times New Roman" w:cs="Times New Roman"/>
          <w:lang w:val="en-US"/>
        </w:rPr>
        <w:t xml:space="preserve"> by </w:t>
      </w:r>
      <w:r>
        <w:rPr>
          <w:rFonts w:ascii="Times New Roman" w:hAnsi="Times New Roman" w:cs="Times New Roman"/>
          <w:lang w:val="en-US"/>
        </w:rPr>
        <w:t xml:space="preserve">D. </w:t>
      </w:r>
      <w:proofErr w:type="spellStart"/>
      <w:r w:rsidRPr="00451A1E">
        <w:rPr>
          <w:rFonts w:ascii="Times New Roman" w:hAnsi="Times New Roman" w:cs="Times New Roman"/>
          <w:lang w:val="en-US"/>
        </w:rPr>
        <w:t>He</w:t>
      </w:r>
      <w:r>
        <w:rPr>
          <w:rFonts w:ascii="Times New Roman" w:hAnsi="Times New Roman" w:cs="Times New Roman"/>
          <w:lang w:val="en-US"/>
        </w:rPr>
        <w:t>rlihy</w:t>
      </w:r>
      <w:proofErr w:type="spellEnd"/>
      <w:r>
        <w:rPr>
          <w:rFonts w:ascii="Times New Roman" w:hAnsi="Times New Roman" w:cs="Times New Roman"/>
          <w:lang w:val="en-US"/>
        </w:rPr>
        <w:t xml:space="preserve"> and C. </w:t>
      </w:r>
      <w:proofErr w:type="spellStart"/>
      <w:r>
        <w:rPr>
          <w:rFonts w:ascii="Times New Roman" w:hAnsi="Times New Roman" w:cs="Times New Roman"/>
          <w:lang w:val="en-US"/>
        </w:rPr>
        <w:t>Klapisch</w:t>
      </w:r>
      <w:proofErr w:type="spellEnd"/>
      <w:r>
        <w:rPr>
          <w:rFonts w:ascii="Times New Roman" w:hAnsi="Times New Roman" w:cs="Times New Roman"/>
          <w:lang w:val="en-US"/>
        </w:rPr>
        <w:t>-Zuber (1985),</w:t>
      </w:r>
      <w:r w:rsidRPr="00451A1E">
        <w:rPr>
          <w:lang w:val="en-US"/>
        </w:rPr>
        <w:t xml:space="preserve"> </w:t>
      </w:r>
      <w:r w:rsidRPr="00451A1E">
        <w:rPr>
          <w:rFonts w:ascii="Times New Roman" w:hAnsi="Times New Roman" w:cs="Times New Roman"/>
          <w:i/>
          <w:lang w:val="en-US"/>
        </w:rPr>
        <w:t xml:space="preserve">Tuscans and their Families: A Study of the Florentine </w:t>
      </w:r>
      <w:proofErr w:type="spellStart"/>
      <w:r w:rsidRPr="00451A1E">
        <w:rPr>
          <w:rFonts w:ascii="Times New Roman" w:hAnsi="Times New Roman" w:cs="Times New Roman"/>
          <w:i/>
          <w:lang w:val="en-US"/>
        </w:rPr>
        <w:t>Catasto</w:t>
      </w:r>
      <w:proofErr w:type="spellEnd"/>
      <w:r w:rsidRPr="00451A1E">
        <w:rPr>
          <w:rFonts w:ascii="Times New Roman" w:hAnsi="Times New Roman" w:cs="Times New Roman"/>
          <w:i/>
          <w:lang w:val="en-US"/>
        </w:rPr>
        <w:t xml:space="preserve"> of 1427</w:t>
      </w:r>
      <w:r>
        <w:rPr>
          <w:rFonts w:ascii="Times New Roman" w:hAnsi="Times New Roman" w:cs="Times New Roman"/>
          <w:lang w:val="en-US"/>
        </w:rPr>
        <w:t>,</w:t>
      </w:r>
      <w:r w:rsidRPr="00451A1E">
        <w:rPr>
          <w:rFonts w:ascii="Times New Roman" w:hAnsi="Times New Roman" w:cs="Times New Roman"/>
          <w:lang w:val="en-US"/>
        </w:rPr>
        <w:t xml:space="preserve"> New Haven: Yale University Press</w:t>
      </w:r>
      <w:r>
        <w:rPr>
          <w:rFonts w:ascii="Times New Roman" w:hAnsi="Times New Roman" w:cs="Times New Roman"/>
          <w:lang w:val="en-US"/>
        </w:rPr>
        <w:t>.</w:t>
      </w:r>
    </w:p>
  </w:footnote>
  <w:footnote w:id="2">
    <w:p w:rsidR="00E079AC" w:rsidRPr="00E079AC" w:rsidRDefault="00E079AC" w:rsidP="00E079AC">
      <w:pPr>
        <w:pStyle w:val="Testonotaapidipagina"/>
        <w:jc w:val="both"/>
        <w:rPr>
          <w:rFonts w:ascii="Times New Roman" w:hAnsi="Times New Roman" w:cs="Times New Roman"/>
          <w:lang w:val="en-US"/>
        </w:rPr>
      </w:pPr>
      <w:r w:rsidRPr="00E079AC">
        <w:rPr>
          <w:rStyle w:val="Rimandonotaapidipagina"/>
          <w:rFonts w:ascii="Times New Roman" w:hAnsi="Times New Roman" w:cs="Times New Roman"/>
        </w:rPr>
        <w:footnoteRef/>
      </w:r>
      <w:r w:rsidRPr="00E079AC">
        <w:rPr>
          <w:rFonts w:ascii="Times New Roman" w:hAnsi="Times New Roman" w:cs="Times New Roman"/>
          <w:lang w:val="en-US"/>
        </w:rPr>
        <w:t xml:space="preserve"> Such estimation is based on data taken from the Survey of Household Income and Wealth (see point 6 below) according to the procedure outlined in the paper.</w:t>
      </w:r>
    </w:p>
  </w:footnote>
  <w:footnote w:id="3">
    <w:p w:rsidR="00DA2511" w:rsidRPr="00693D96" w:rsidRDefault="00DA2511" w:rsidP="00DA2511">
      <w:pPr>
        <w:pStyle w:val="Testonotaapidipagina"/>
        <w:jc w:val="both"/>
        <w:rPr>
          <w:rFonts w:ascii="Times New Roman" w:hAnsi="Times New Roman" w:cs="Times New Roman"/>
          <w:lang w:val="en-US"/>
        </w:rPr>
      </w:pPr>
      <w:r w:rsidRPr="00693D96">
        <w:rPr>
          <w:rStyle w:val="Rimandonotaapidipagina"/>
          <w:rFonts w:ascii="Times New Roman" w:hAnsi="Times New Roman" w:cs="Times New Roman"/>
        </w:rPr>
        <w:footnoteRef/>
      </w:r>
      <w:r w:rsidRPr="00693D96">
        <w:rPr>
          <w:rFonts w:ascii="Times New Roman" w:hAnsi="Times New Roman" w:cs="Times New Roman"/>
          <w:lang w:val="en-US"/>
        </w:rPr>
        <w:t xml:space="preserve"> </w:t>
      </w:r>
      <w:r w:rsidRPr="00693D96">
        <w:rPr>
          <w:rFonts w:ascii="Times New Roman" w:eastAsia="Times New Roman" w:hAnsi="Times New Roman" w:cs="Times New Roman"/>
          <w:lang w:val="en-US" w:eastAsia="it-IT"/>
        </w:rPr>
        <w:t xml:space="preserve">Table 7 is not replicable because is based on proprietary data. To gain access to this data see the </w:t>
      </w:r>
      <w:r>
        <w:rPr>
          <w:rFonts w:ascii="Times New Roman" w:eastAsia="Times New Roman" w:hAnsi="Times New Roman" w:cs="Times New Roman"/>
          <w:lang w:val="en-US" w:eastAsia="it-IT"/>
        </w:rPr>
        <w:t>d</w:t>
      </w:r>
      <w:r w:rsidRPr="00321E7C">
        <w:rPr>
          <w:rFonts w:ascii="Times New Roman" w:eastAsia="Times New Roman" w:hAnsi="Times New Roman" w:cs="Times New Roman"/>
          <w:lang w:val="en-US" w:eastAsia="it-IT"/>
        </w:rPr>
        <w:t xml:space="preserve">ata </w:t>
      </w:r>
      <w:r>
        <w:rPr>
          <w:rFonts w:ascii="Times New Roman" w:eastAsia="Times New Roman" w:hAnsi="Times New Roman" w:cs="Times New Roman"/>
          <w:lang w:val="en-US" w:eastAsia="it-IT"/>
        </w:rPr>
        <w:t>a</w:t>
      </w:r>
      <w:r w:rsidRPr="00321E7C">
        <w:rPr>
          <w:rFonts w:ascii="Times New Roman" w:eastAsia="Times New Roman" w:hAnsi="Times New Roman" w:cs="Times New Roman"/>
          <w:lang w:val="en-US" w:eastAsia="it-IT"/>
        </w:rPr>
        <w:t xml:space="preserve">vailability </w:t>
      </w:r>
      <w:r>
        <w:rPr>
          <w:rFonts w:ascii="Times New Roman" w:eastAsia="Times New Roman" w:hAnsi="Times New Roman" w:cs="Times New Roman"/>
          <w:lang w:val="en-US" w:eastAsia="it-IT"/>
        </w:rPr>
        <w:t>s</w:t>
      </w:r>
      <w:r w:rsidRPr="00321E7C">
        <w:rPr>
          <w:rFonts w:ascii="Times New Roman" w:eastAsia="Times New Roman" w:hAnsi="Times New Roman" w:cs="Times New Roman"/>
          <w:lang w:val="en-US" w:eastAsia="it-IT"/>
        </w:rPr>
        <w:t>tatement</w:t>
      </w:r>
      <w:r>
        <w:rPr>
          <w:rFonts w:ascii="Times New Roman" w:eastAsia="Times New Roman" w:hAnsi="Times New Roman" w:cs="Times New Roman"/>
          <w:lang w:val="en-US" w:eastAsia="it-IT"/>
        </w:rPr>
        <w:t>s</w:t>
      </w:r>
      <w:r w:rsidRPr="00693D96">
        <w:rPr>
          <w:rFonts w:ascii="Times New Roman" w:eastAsia="Times New Roman" w:hAnsi="Times New Roman" w:cs="Times New Roman"/>
          <w:lang w:val="en-US" w:eastAsia="it-IT"/>
        </w:rPr>
        <w:t xml:space="preserve"> for the data source (6). Figure 1 is not replicable for confidentiality reasons (surnames need to </w:t>
      </w:r>
      <w:proofErr w:type="gramStart"/>
      <w:r w:rsidRPr="00693D96">
        <w:rPr>
          <w:rFonts w:ascii="Times New Roman" w:eastAsia="Times New Roman" w:hAnsi="Times New Roman" w:cs="Times New Roman"/>
          <w:lang w:val="en-US" w:eastAsia="it-IT"/>
        </w:rPr>
        <w:t>be anonymized</w:t>
      </w:r>
      <w:proofErr w:type="gramEnd"/>
      <w:r w:rsidRPr="00693D96">
        <w:rPr>
          <w:rFonts w:ascii="Times New Roman" w:eastAsia="Times New Roman" w:hAnsi="Times New Roman" w:cs="Times New Roman"/>
          <w:lang w:val="en-US" w:eastAsia="it-IT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10B4"/>
    <w:multiLevelType w:val="hybridMultilevel"/>
    <w:tmpl w:val="D3F86C7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BF5CB5"/>
    <w:multiLevelType w:val="multilevel"/>
    <w:tmpl w:val="970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03157"/>
    <w:multiLevelType w:val="multilevel"/>
    <w:tmpl w:val="2EEC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71A06"/>
    <w:multiLevelType w:val="multilevel"/>
    <w:tmpl w:val="362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30051"/>
    <w:multiLevelType w:val="multilevel"/>
    <w:tmpl w:val="95A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7773"/>
    <w:multiLevelType w:val="multilevel"/>
    <w:tmpl w:val="865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64601"/>
    <w:multiLevelType w:val="hybridMultilevel"/>
    <w:tmpl w:val="C5E6A50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B4"/>
    <w:rsid w:val="0008578A"/>
    <w:rsid w:val="000A2D53"/>
    <w:rsid w:val="000C4B6E"/>
    <w:rsid w:val="001249B2"/>
    <w:rsid w:val="00162EB4"/>
    <w:rsid w:val="00166AF7"/>
    <w:rsid w:val="001A315F"/>
    <w:rsid w:val="00257ACA"/>
    <w:rsid w:val="00267E7E"/>
    <w:rsid w:val="00284E1C"/>
    <w:rsid w:val="002A4003"/>
    <w:rsid w:val="002C5A17"/>
    <w:rsid w:val="003128B4"/>
    <w:rsid w:val="00321E7C"/>
    <w:rsid w:val="003E738A"/>
    <w:rsid w:val="003F76E6"/>
    <w:rsid w:val="00451A1E"/>
    <w:rsid w:val="00474C86"/>
    <w:rsid w:val="004761A5"/>
    <w:rsid w:val="00494E20"/>
    <w:rsid w:val="004B534A"/>
    <w:rsid w:val="0058194F"/>
    <w:rsid w:val="005E6198"/>
    <w:rsid w:val="00624EAF"/>
    <w:rsid w:val="00650547"/>
    <w:rsid w:val="0065097F"/>
    <w:rsid w:val="00673B78"/>
    <w:rsid w:val="00684158"/>
    <w:rsid w:val="00693D96"/>
    <w:rsid w:val="006B1CC6"/>
    <w:rsid w:val="006D3498"/>
    <w:rsid w:val="0073697A"/>
    <w:rsid w:val="00753FB7"/>
    <w:rsid w:val="0076232B"/>
    <w:rsid w:val="007F1FD3"/>
    <w:rsid w:val="00807227"/>
    <w:rsid w:val="00844485"/>
    <w:rsid w:val="00850A3A"/>
    <w:rsid w:val="0093625B"/>
    <w:rsid w:val="009C06CA"/>
    <w:rsid w:val="00A40EF1"/>
    <w:rsid w:val="00A869FF"/>
    <w:rsid w:val="00AB15B5"/>
    <w:rsid w:val="00AF1D56"/>
    <w:rsid w:val="00B06A4F"/>
    <w:rsid w:val="00B40AA1"/>
    <w:rsid w:val="00BB0501"/>
    <w:rsid w:val="00BC046D"/>
    <w:rsid w:val="00C416BB"/>
    <w:rsid w:val="00C62550"/>
    <w:rsid w:val="00C9600B"/>
    <w:rsid w:val="00CF13B1"/>
    <w:rsid w:val="00DA2511"/>
    <w:rsid w:val="00DA7074"/>
    <w:rsid w:val="00E079AC"/>
    <w:rsid w:val="00F04D2C"/>
    <w:rsid w:val="00F10BA0"/>
    <w:rsid w:val="00F56C9A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1B4D"/>
  <w15:chartTrackingRefBased/>
  <w15:docId w15:val="{D2B05890-E311-48F8-B498-7380BE7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62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162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162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2EB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2EB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2EB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6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B4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162EB4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162EB4"/>
    <w:rPr>
      <w:b/>
      <w:bCs/>
    </w:rPr>
  </w:style>
  <w:style w:type="character" w:styleId="Enfasicorsivo">
    <w:name w:val="Emphasis"/>
    <w:basedOn w:val="Carpredefinitoparagrafo"/>
    <w:uiPriority w:val="20"/>
    <w:qFormat/>
    <w:rsid w:val="00162EB4"/>
    <w:rPr>
      <w:i/>
      <w:iCs/>
    </w:rPr>
  </w:style>
  <w:style w:type="paragraph" w:styleId="Paragrafoelenco">
    <w:name w:val="List Paragraph"/>
    <w:basedOn w:val="Normale"/>
    <w:uiPriority w:val="34"/>
    <w:qFormat/>
    <w:rsid w:val="00BC046D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93D9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93D9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93D96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315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50547"/>
    <w:rPr>
      <w:color w:val="800080" w:themeColor="followed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50547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4761A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761A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761A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761A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761A5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4761A5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6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61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8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s.library.brown.edu/projects/catasto/newsearch/sqlform.php" TargetMode="External"/><Relationship Id="rId13" Type="http://schemas.openxmlformats.org/officeDocument/2006/relationships/hyperlink" Target="mailto:g.labartino@confindustria.it" TargetMode="External"/><Relationship Id="rId18" Type="http://schemas.openxmlformats.org/officeDocument/2006/relationships/hyperlink" Target="http://www.ordinefarmacisti.fi.it/" TargetMode="External"/><Relationship Id="rId3" Type="http://schemas.openxmlformats.org/officeDocument/2006/relationships/styles" Target="styles.xml"/><Relationship Id="rId21" Type="http://schemas.openxmlformats.org/officeDocument/2006/relationships/hyperlink" Target="mailto:statistiche@bancaditalia.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mune.fi.it/statistica?language_content_entity=it" TargetMode="External"/><Relationship Id="rId17" Type="http://schemas.openxmlformats.org/officeDocument/2006/relationships/hyperlink" Target="http://www.ordine-medici-firenze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nsiglionazionaleforense.it/site/home.html" TargetMode="External"/><Relationship Id="rId20" Type="http://schemas.openxmlformats.org/officeDocument/2006/relationships/hyperlink" Target="https://www.bancaditalia.it/statistiche/tematiche/indagini-famiglie-imprese/bilanci-famiglie/index.html?com.dotmarketing.htmlpage.language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lindert@ucdavis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data.comune.fi.it/?testo=cognomi&amp;q=metarepo%2Fdataset_resul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ds.library.brown.edu/projects/catasto/newsearch/catasto_codebook.html" TargetMode="External"/><Relationship Id="rId19" Type="http://schemas.openxmlformats.org/officeDocument/2006/relationships/hyperlink" Target="https://www.infocamere.it/en/accesso-alle-banche-da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ds.library.brown.edu/projects/catasto/overview.html" TargetMode="External"/><Relationship Id="rId14" Type="http://schemas.openxmlformats.org/officeDocument/2006/relationships/hyperlink" Target="mailto:michele.pellizzari@unige.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8E6AB-B8DC-4CB1-A33C-CC20CC28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Banca d'Italia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Sauro Mocetti</dc:creator>
  <cp:keywords/>
  <dc:description/>
  <cp:lastModifiedBy>Sauro Mocetti</cp:lastModifiedBy>
  <cp:revision>20</cp:revision>
  <dcterms:created xsi:type="dcterms:W3CDTF">2020-09-17T14:44:00Z</dcterms:created>
  <dcterms:modified xsi:type="dcterms:W3CDTF">2020-09-20T07:32:00Z</dcterms:modified>
</cp:coreProperties>
</file>