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A646B" w14:textId="5841B045" w:rsidR="00E768A4" w:rsidRDefault="001818DA" w:rsidP="00CC5167">
      <w:pPr>
        <w:pStyle w:val="BlockText"/>
        <w:ind w:left="0"/>
        <w:jc w:val="both"/>
      </w:pPr>
      <w:bookmarkStart w:id="0" w:name="X2a26b784290afcf59b085c472e937fe0771d283"/>
      <w:r>
        <w:t>The code in this replication package constructs the main analysis files for Borusyak, Hull, and Jaravel (2021) from several primary sources</w:t>
      </w:r>
      <w:r w:rsidR="00D3305E">
        <w:t xml:space="preserve"> </w:t>
      </w:r>
      <w:r>
        <w:t>using Stata. Analyses are then conducted in Stata and R.  We separate the pack</w:t>
      </w:r>
      <w:r w:rsidR="005E287E">
        <w:t>age into three</w:t>
      </w:r>
      <w:r>
        <w:t xml:space="preserve"> </w:t>
      </w:r>
      <w:r w:rsidR="00B01088">
        <w:t>subpackages</w:t>
      </w:r>
      <w:r>
        <w:t xml:space="preserve">: </w:t>
      </w:r>
    </w:p>
    <w:p w14:paraId="0FAB527E" w14:textId="1488B927" w:rsidR="00E768A4" w:rsidRDefault="00D3305E" w:rsidP="00E768A4">
      <w:pPr>
        <w:pStyle w:val="BlockText"/>
        <w:numPr>
          <w:ilvl w:val="0"/>
          <w:numId w:val="24"/>
        </w:numPr>
        <w:jc w:val="both"/>
      </w:pPr>
      <w:r>
        <w:t>The</w:t>
      </w:r>
      <w:r w:rsidR="001818DA">
        <w:t xml:space="preserve"> primary Autor et al. (2013, </w:t>
      </w:r>
      <w:r w:rsidR="001818DA" w:rsidRPr="0089342B">
        <w:rPr>
          <w:b/>
          <w:bCs/>
        </w:rPr>
        <w:t>ADH</w:t>
      </w:r>
      <w:r w:rsidR="001818DA">
        <w:t>) application</w:t>
      </w:r>
    </w:p>
    <w:p w14:paraId="1D6D23E8" w14:textId="3C1B1CFF" w:rsidR="00E768A4" w:rsidRDefault="00D3305E" w:rsidP="00E768A4">
      <w:pPr>
        <w:pStyle w:val="BlockText"/>
        <w:numPr>
          <w:ilvl w:val="0"/>
          <w:numId w:val="24"/>
        </w:numPr>
        <w:jc w:val="both"/>
      </w:pPr>
      <w:r>
        <w:t>T</w:t>
      </w:r>
      <w:r w:rsidR="001818DA">
        <w:t xml:space="preserve">he supplementary </w:t>
      </w:r>
      <w:r w:rsidR="001818DA" w:rsidRPr="0089342B">
        <w:rPr>
          <w:b/>
          <w:bCs/>
        </w:rPr>
        <w:t>Bartik (1991)</w:t>
      </w:r>
      <w:r w:rsidR="001818DA">
        <w:t xml:space="preserve"> application in the paper’s appendix</w:t>
      </w:r>
      <w:r w:rsidR="005E287E">
        <w:t>,</w:t>
      </w:r>
    </w:p>
    <w:p w14:paraId="6AF0FAF9" w14:textId="41272CEA" w:rsidR="00E768A4" w:rsidRDefault="00D3305E" w:rsidP="00E768A4">
      <w:pPr>
        <w:pStyle w:val="BlockText"/>
        <w:numPr>
          <w:ilvl w:val="0"/>
          <w:numId w:val="24"/>
        </w:numPr>
        <w:jc w:val="both"/>
      </w:pPr>
      <w:r>
        <w:t>T</w:t>
      </w:r>
      <w:r w:rsidR="005E287E">
        <w:t xml:space="preserve">he </w:t>
      </w:r>
      <w:r w:rsidR="005E287E" w:rsidRPr="0089342B">
        <w:rPr>
          <w:b/>
          <w:bCs/>
        </w:rPr>
        <w:t>Monte Carlo</w:t>
      </w:r>
      <w:r w:rsidR="005E287E">
        <w:t xml:space="preserve"> simulations in the paper’s appendix</w:t>
      </w:r>
      <w:r w:rsidR="001818DA">
        <w:t xml:space="preserve">. </w:t>
      </w:r>
    </w:p>
    <w:p w14:paraId="1A683787" w14:textId="39D91732" w:rsidR="001818DA" w:rsidRDefault="001818DA" w:rsidP="00E768A4">
      <w:pPr>
        <w:pStyle w:val="BlockText"/>
        <w:ind w:left="0"/>
        <w:jc w:val="both"/>
      </w:pPr>
      <w:r>
        <w:t xml:space="preserve">The replicator should expect the ADH code to run for less than 15 minutes; it will produce two figures and eight table files. The replicator should expect the Bartik code to run for </w:t>
      </w:r>
      <w:r w:rsidR="003801A1">
        <w:t>around two days</w:t>
      </w:r>
      <w:r>
        <w:t xml:space="preserve"> and produce one table file. </w:t>
      </w:r>
      <w:r w:rsidR="005E287E">
        <w:t xml:space="preserve">The replicator should expect the Monte Carlo code to run for </w:t>
      </w:r>
      <w:r w:rsidR="007321E7">
        <w:t xml:space="preserve">around </w:t>
      </w:r>
      <w:r w:rsidR="0032657D">
        <w:t>one day</w:t>
      </w:r>
      <w:r w:rsidR="005E287E">
        <w:t xml:space="preserve"> and produce three table files.</w:t>
      </w:r>
    </w:p>
    <w:p w14:paraId="7CE39FC6" w14:textId="77777777" w:rsidR="00F940BE" w:rsidRPr="00D3305E" w:rsidRDefault="00F940BE" w:rsidP="00CC5167">
      <w:pPr>
        <w:pStyle w:val="BodyText"/>
        <w:jc w:val="both"/>
        <w:rPr>
          <w:sz w:val="20"/>
          <w:szCs w:val="20"/>
        </w:rPr>
      </w:pPr>
    </w:p>
    <w:p w14:paraId="0F69DB8C" w14:textId="544FF49E" w:rsidR="00FE40EF" w:rsidRDefault="008E35D5" w:rsidP="00CC5167">
      <w:pPr>
        <w:pStyle w:val="Heading2"/>
        <w:jc w:val="both"/>
      </w:pPr>
      <w:r>
        <w:t>Data Availability and Provenance Statement</w:t>
      </w:r>
      <w:bookmarkEnd w:id="0"/>
    </w:p>
    <w:p w14:paraId="1204A7E8" w14:textId="3E16FC59" w:rsidR="000305BD" w:rsidRDefault="005E287E" w:rsidP="00CC5167">
      <w:pPr>
        <w:pStyle w:val="BlockText"/>
        <w:ind w:left="0"/>
        <w:jc w:val="both"/>
        <w:rPr>
          <w:b/>
        </w:rPr>
      </w:pPr>
      <w:r>
        <w:rPr>
          <w:b/>
        </w:rPr>
        <w:t>ADH</w:t>
      </w:r>
    </w:p>
    <w:p w14:paraId="38E6D167" w14:textId="3C7AB154" w:rsidR="000305BD" w:rsidRDefault="00936F22" w:rsidP="00CC5167">
      <w:pPr>
        <w:pStyle w:val="BlockText"/>
        <w:jc w:val="both"/>
      </w:pPr>
      <w:r>
        <w:t>D</w:t>
      </w:r>
      <w:r w:rsidR="0079374B">
        <w:t xml:space="preserve">ata are combined from several primary sources </w:t>
      </w:r>
      <w:r>
        <w:t xml:space="preserve">and </w:t>
      </w:r>
      <w:r w:rsidR="0032657D">
        <w:t xml:space="preserve">are </w:t>
      </w:r>
      <w:r>
        <w:t xml:space="preserve">provided as part of this archive </w:t>
      </w:r>
      <w:r w:rsidR="009E69D0">
        <w:t xml:space="preserve">(in </w:t>
      </w:r>
      <w:r w:rsidR="009E69D0">
        <w:rPr>
          <w:i/>
        </w:rPr>
        <w:t>ADH/</w:t>
      </w:r>
      <w:r w:rsidR="009E69D0" w:rsidRPr="009E69D0">
        <w:rPr>
          <w:i/>
        </w:rPr>
        <w:t>Raw</w:t>
      </w:r>
      <w:r w:rsidR="009E69D0">
        <w:t xml:space="preserve">) </w:t>
      </w:r>
      <w:r w:rsidRPr="009E69D0">
        <w:t>as</w:t>
      </w:r>
      <w:r>
        <w:t xml:space="preserve"> part of the pu</w:t>
      </w:r>
      <w:r w:rsidR="00DE537A">
        <w:t>blic domain</w:t>
      </w:r>
      <w:r w:rsidR="0032657D">
        <w:t>. The sources are as follows:</w:t>
      </w:r>
    </w:p>
    <w:p w14:paraId="5A0E3CD3" w14:textId="77777777" w:rsidR="0032657D" w:rsidRPr="0010150E" w:rsidRDefault="0032657D" w:rsidP="0032657D">
      <w:pPr>
        <w:pStyle w:val="ListParagraph"/>
        <w:numPr>
          <w:ilvl w:val="0"/>
          <w:numId w:val="14"/>
        </w:numPr>
        <w:jc w:val="both"/>
      </w:pPr>
      <w:r>
        <w:t>Data and code provided by David Dorn (with permission to include in our replication archive):</w:t>
      </w:r>
    </w:p>
    <w:p w14:paraId="6F404D8E" w14:textId="4E3F3CCC" w:rsidR="0032657D" w:rsidRDefault="0032657D" w:rsidP="0032657D">
      <w:pPr>
        <w:pStyle w:val="ListParagraph"/>
        <w:numPr>
          <w:ilvl w:val="1"/>
          <w:numId w:val="14"/>
        </w:numPr>
      </w:pPr>
      <w:r w:rsidRPr="00803E13">
        <w:rPr>
          <w:i/>
        </w:rPr>
        <w:t>czone_industry_1980.dta</w:t>
      </w:r>
      <w:r w:rsidRPr="0010150E">
        <w:t xml:space="preserve">, </w:t>
      </w:r>
      <w:r w:rsidRPr="00803E13">
        <w:rPr>
          <w:i/>
        </w:rPr>
        <w:t>czone_industry_1990.dta</w:t>
      </w:r>
      <w:r w:rsidRPr="0010150E">
        <w:t xml:space="preserve">, </w:t>
      </w:r>
      <w:r w:rsidRPr="00803E13">
        <w:rPr>
          <w:i/>
        </w:rPr>
        <w:t>czone_industry_2000.dta</w:t>
      </w:r>
      <w:r w:rsidRPr="0010150E">
        <w:t>:</w:t>
      </w:r>
      <w:r>
        <w:t xml:space="preserve"> industry-by-</w:t>
      </w:r>
      <w:r w:rsidR="00365361">
        <w:t>commuting zone</w:t>
      </w:r>
      <w:r>
        <w:t xml:space="preserve"> employment data based on CBP</w:t>
      </w:r>
    </w:p>
    <w:p w14:paraId="512566A6" w14:textId="77777777" w:rsidR="0032657D" w:rsidRDefault="0032657D" w:rsidP="0032657D">
      <w:pPr>
        <w:pStyle w:val="ListParagraph"/>
        <w:numPr>
          <w:ilvl w:val="0"/>
          <w:numId w:val="14"/>
        </w:numPr>
        <w:jc w:val="both"/>
      </w:pPr>
      <w:r>
        <w:t>Data provided by Gordon Hanson (with permission to include in our replication archive):</w:t>
      </w:r>
    </w:p>
    <w:p w14:paraId="22DFCA78" w14:textId="77777777" w:rsidR="0032657D" w:rsidRPr="00803E13" w:rsidRDefault="0032657D" w:rsidP="0032657D">
      <w:pPr>
        <w:pStyle w:val="ListParagraph"/>
        <w:numPr>
          <w:ilvl w:val="1"/>
          <w:numId w:val="14"/>
        </w:numPr>
        <w:jc w:val="both"/>
        <w:rPr>
          <w:i/>
        </w:rPr>
      </w:pPr>
      <w:r w:rsidRPr="00803E13">
        <w:rPr>
          <w:i/>
        </w:rPr>
        <w:t>year1991.dta</w:t>
      </w:r>
      <w:r>
        <w:t xml:space="preserve">, </w:t>
      </w:r>
      <w:r w:rsidRPr="00803E13">
        <w:rPr>
          <w:i/>
        </w:rPr>
        <w:t>year2000.dta</w:t>
      </w:r>
      <w:r>
        <w:t xml:space="preserve">, </w:t>
      </w:r>
      <w:r w:rsidRPr="00803E13">
        <w:rPr>
          <w:i/>
        </w:rPr>
        <w:t>year2007.dta</w:t>
      </w:r>
      <w:r>
        <w:t xml:space="preserve">: </w:t>
      </w:r>
      <w:r w:rsidRPr="00454C3C">
        <w:t>ADH trade data</w:t>
      </w:r>
    </w:p>
    <w:p w14:paraId="7E67211A" w14:textId="77777777" w:rsidR="0032657D" w:rsidRDefault="0032657D" w:rsidP="0032657D">
      <w:pPr>
        <w:pStyle w:val="ListParagraph"/>
        <w:numPr>
          <w:ilvl w:val="1"/>
          <w:numId w:val="14"/>
        </w:numPr>
        <w:jc w:val="both"/>
      </w:pPr>
      <w:r w:rsidRPr="00803E13">
        <w:rPr>
          <w:i/>
        </w:rPr>
        <w:t>hs6_sic_gen_all_95_05_new.dta</w:t>
      </w:r>
      <w:r>
        <w:t>: concordance from HS6 to SIC codes</w:t>
      </w:r>
    </w:p>
    <w:p w14:paraId="556DD589" w14:textId="77777777" w:rsidR="0032657D" w:rsidRDefault="0032657D" w:rsidP="0032657D">
      <w:pPr>
        <w:pStyle w:val="ListParagraph"/>
        <w:numPr>
          <w:ilvl w:val="0"/>
          <w:numId w:val="14"/>
        </w:numPr>
        <w:jc w:val="both"/>
      </w:pPr>
      <w:r>
        <w:t xml:space="preserve">Data from the ADH replication archive (package P3 at </w:t>
      </w:r>
      <w:hyperlink r:id="rId7" w:history="1">
        <w:r w:rsidRPr="002309E7">
          <w:rPr>
            <w:rStyle w:val="Hyperlink"/>
          </w:rPr>
          <w:t>https://www.ddorn.net/data.htm</w:t>
        </w:r>
      </w:hyperlink>
      <w:r>
        <w:t>)</w:t>
      </w:r>
    </w:p>
    <w:p w14:paraId="71A5C29B" w14:textId="77777777" w:rsidR="0032657D" w:rsidRDefault="0032657D" w:rsidP="0032657D">
      <w:pPr>
        <w:pStyle w:val="ListParagraph"/>
        <w:numPr>
          <w:ilvl w:val="1"/>
          <w:numId w:val="14"/>
        </w:numPr>
        <w:jc w:val="both"/>
      </w:pPr>
      <w:r w:rsidRPr="00803E13">
        <w:rPr>
          <w:i/>
        </w:rPr>
        <w:t>workfile_china.dta</w:t>
      </w:r>
      <w:r>
        <w:t xml:space="preserve">, </w:t>
      </w:r>
      <w:r w:rsidRPr="00803E13">
        <w:rPr>
          <w:i/>
        </w:rPr>
        <w:t>workfile_china_preperiod.dta:</w:t>
      </w:r>
      <w:r>
        <w:t xml:space="preserve"> commuting zone level files</w:t>
      </w:r>
    </w:p>
    <w:p w14:paraId="7F27AC57" w14:textId="77777777" w:rsidR="0032657D" w:rsidRDefault="0032657D" w:rsidP="0032657D">
      <w:pPr>
        <w:pStyle w:val="ListParagraph"/>
        <w:numPr>
          <w:ilvl w:val="0"/>
          <w:numId w:val="14"/>
        </w:numPr>
        <w:jc w:val="both"/>
      </w:pPr>
      <w:r>
        <w:t xml:space="preserve">Data from the Acemoglu et al. (2016) replication archive (package P6 at </w:t>
      </w:r>
      <w:hyperlink r:id="rId8" w:history="1">
        <w:r w:rsidRPr="002309E7">
          <w:rPr>
            <w:rStyle w:val="Hyperlink"/>
          </w:rPr>
          <w:t>https://www.ddorn.net/data.htm</w:t>
        </w:r>
      </w:hyperlink>
      <w:r>
        <w:t>)</w:t>
      </w:r>
    </w:p>
    <w:p w14:paraId="300B8582" w14:textId="77777777" w:rsidR="0032657D" w:rsidRDefault="0032657D" w:rsidP="0032657D">
      <w:pPr>
        <w:pStyle w:val="ListParagraph"/>
        <w:numPr>
          <w:ilvl w:val="1"/>
          <w:numId w:val="14"/>
        </w:numPr>
        <w:jc w:val="both"/>
      </w:pPr>
      <w:r w:rsidRPr="00375795">
        <w:rPr>
          <w:i/>
        </w:rPr>
        <w:t>dta/sample/main</w:t>
      </w:r>
      <w:r>
        <w:rPr>
          <w:i/>
        </w:rPr>
        <w:t>.dta</w:t>
      </w:r>
      <w:r>
        <w:t xml:space="preserve"> renamed into </w:t>
      </w:r>
      <w:r w:rsidRPr="00803E13">
        <w:rPr>
          <w:i/>
        </w:rPr>
        <w:t>aadhp_main.dta</w:t>
      </w:r>
      <w:r>
        <w:t>: main analysis file</w:t>
      </w:r>
    </w:p>
    <w:p w14:paraId="41FFAFE0" w14:textId="1AC55AB5" w:rsidR="00985B47" w:rsidRDefault="0032657D" w:rsidP="00710B77">
      <w:pPr>
        <w:pStyle w:val="ListParagraph"/>
        <w:numPr>
          <w:ilvl w:val="0"/>
          <w:numId w:val="14"/>
        </w:numPr>
        <w:jc w:val="both"/>
      </w:pPr>
      <w:r>
        <w:t xml:space="preserve">NBER-CES Manufacturing Industry Database (1987): can be downloaded at </w:t>
      </w:r>
      <w:hyperlink r:id="rId9" w:history="1">
        <w:r w:rsidRPr="003022E7">
          <w:rPr>
            <w:rStyle w:val="Hyperlink"/>
          </w:rPr>
          <w:t>https://data.nber.org/nberces/nberces5811/sic5811.dta</w:t>
        </w:r>
      </w:hyperlink>
      <w:r>
        <w:t xml:space="preserve">: </w:t>
      </w:r>
      <w:r w:rsidRPr="00911044">
        <w:rPr>
          <w:i/>
        </w:rPr>
        <w:t>sic5811.dta</w:t>
      </w:r>
      <w:r>
        <w:t xml:space="preserve"> </w:t>
      </w:r>
    </w:p>
    <w:p w14:paraId="20359651" w14:textId="38631629" w:rsidR="00AE256A" w:rsidRPr="00710B77" w:rsidRDefault="00AE256A" w:rsidP="00AE256A">
      <w:pPr>
        <w:pStyle w:val="BlockText"/>
        <w:jc w:val="both"/>
      </w:pPr>
      <w:r>
        <w:t xml:space="preserve">Data files in the </w:t>
      </w:r>
      <w:r w:rsidR="007616CD" w:rsidRPr="007616CD">
        <w:rPr>
          <w:i/>
          <w:iCs/>
        </w:rPr>
        <w:t>ADH/</w:t>
      </w:r>
      <w:r w:rsidRPr="00AE256A">
        <w:rPr>
          <w:i/>
          <w:iCs/>
        </w:rPr>
        <w:t>Data/</w:t>
      </w:r>
      <w:r>
        <w:t xml:space="preserve">, </w:t>
      </w:r>
      <w:r w:rsidR="007616CD" w:rsidRPr="007616CD">
        <w:rPr>
          <w:i/>
          <w:iCs/>
        </w:rPr>
        <w:t>ADH/</w:t>
      </w:r>
      <w:r w:rsidRPr="00AE256A">
        <w:rPr>
          <w:i/>
          <w:iCs/>
        </w:rPr>
        <w:t>Temp/</w:t>
      </w:r>
      <w:r>
        <w:t xml:space="preserve">, and </w:t>
      </w:r>
      <w:r w:rsidR="007616CD" w:rsidRPr="007616CD">
        <w:rPr>
          <w:i/>
          <w:iCs/>
        </w:rPr>
        <w:t>ADH/</w:t>
      </w:r>
      <w:r w:rsidRPr="00AE256A">
        <w:rPr>
          <w:i/>
          <w:iCs/>
        </w:rPr>
        <w:t>Results/</w:t>
      </w:r>
      <w:r>
        <w:t xml:space="preserve"> folders are produced by </w:t>
      </w:r>
      <w:r w:rsidR="00D3305E">
        <w:t>the</w:t>
      </w:r>
      <w:r>
        <w:t xml:space="preserve"> code described below</w:t>
      </w:r>
      <w:r w:rsidR="00D3305E">
        <w:t>. We include these files</w:t>
      </w:r>
      <w:r w:rsidR="007616CD">
        <w:t xml:space="preserve"> only</w:t>
      </w:r>
      <w:r>
        <w:t xml:space="preserve"> to facilitate replication.</w:t>
      </w:r>
    </w:p>
    <w:p w14:paraId="4F28726E" w14:textId="77777777" w:rsidR="00D3305E" w:rsidRDefault="00D3305E" w:rsidP="00CC5167">
      <w:pPr>
        <w:pStyle w:val="BlockText"/>
        <w:ind w:left="0"/>
        <w:jc w:val="both"/>
        <w:rPr>
          <w:b/>
        </w:rPr>
      </w:pPr>
    </w:p>
    <w:p w14:paraId="30550C7D" w14:textId="64A954D6" w:rsidR="000305BD" w:rsidRDefault="002645F5" w:rsidP="00CC5167">
      <w:pPr>
        <w:pStyle w:val="BlockText"/>
        <w:ind w:left="0"/>
        <w:jc w:val="both"/>
        <w:rPr>
          <w:b/>
        </w:rPr>
      </w:pPr>
      <w:r>
        <w:rPr>
          <w:b/>
        </w:rPr>
        <w:t>Bartik (1991)</w:t>
      </w:r>
    </w:p>
    <w:p w14:paraId="1DB2D111" w14:textId="77777777" w:rsidR="00E768A4" w:rsidRDefault="00BA21B2" w:rsidP="0032657D">
      <w:pPr>
        <w:pStyle w:val="BlockText"/>
        <w:jc w:val="both"/>
      </w:pPr>
      <w:r>
        <w:t xml:space="preserve">Data </w:t>
      </w:r>
      <w:r w:rsidR="0019299B">
        <w:t xml:space="preserve">come from the </w:t>
      </w:r>
      <w:r w:rsidR="002644CC">
        <w:t xml:space="preserve">Goldsmith-Pinkham et al. (2020, GPSS) replication archive </w:t>
      </w:r>
      <w:r w:rsidR="0032657D">
        <w:t>(</w:t>
      </w:r>
      <w:hyperlink r:id="rId10" w:history="1">
        <w:r w:rsidR="0032657D" w:rsidRPr="00C44C69">
          <w:rPr>
            <w:rStyle w:val="Hyperlink"/>
          </w:rPr>
          <w:t>https://github.com/paulgp/gpss_replication/tree/master/data/raw</w:t>
        </w:r>
      </w:hyperlink>
      <w:r w:rsidR="0032657D" w:rsidRPr="00E768A4">
        <w:t>)</w:t>
      </w:r>
      <w:r w:rsidR="0032657D">
        <w:rPr>
          <w:rStyle w:val="Hyperlink"/>
        </w:rPr>
        <w:t xml:space="preserve"> </w:t>
      </w:r>
      <w:r w:rsidR="002644CC">
        <w:t xml:space="preserve">and from IPUMS USA (Ruggles et al., 2020). </w:t>
      </w:r>
    </w:p>
    <w:p w14:paraId="5D0F7F59" w14:textId="7C63DA18" w:rsidR="0032657D" w:rsidRDefault="009E69D0" w:rsidP="0032657D">
      <w:pPr>
        <w:pStyle w:val="BlockText"/>
        <w:jc w:val="both"/>
      </w:pPr>
      <w:r>
        <w:t xml:space="preserve">We include copies of </w:t>
      </w:r>
      <w:r w:rsidR="0092725B">
        <w:t xml:space="preserve">the </w:t>
      </w:r>
      <w:r w:rsidR="0032657D">
        <w:t xml:space="preserve">GPSS </w:t>
      </w:r>
      <w:r>
        <w:t>data</w:t>
      </w:r>
      <w:r w:rsidR="0032657D">
        <w:t>,</w:t>
      </w:r>
      <w:r>
        <w:t xml:space="preserve"> </w:t>
      </w:r>
      <w:r w:rsidR="0032657D">
        <w:t>which</w:t>
      </w:r>
      <w:r w:rsidR="0092725B">
        <w:t xml:space="preserve"> </w:t>
      </w:r>
      <w:r w:rsidR="00E768A4">
        <w:t>are</w:t>
      </w:r>
      <w:r w:rsidR="0092725B">
        <w:t xml:space="preserve"> </w:t>
      </w:r>
      <w:r>
        <w:t>in the public domain</w:t>
      </w:r>
      <w:r w:rsidR="0032657D">
        <w:t>,</w:t>
      </w:r>
      <w:r>
        <w:t xml:space="preserve"> </w:t>
      </w:r>
      <w:r w:rsidR="000F5D24">
        <w:t>in</w:t>
      </w:r>
      <w:r>
        <w:t xml:space="preserve"> this archive (in </w:t>
      </w:r>
      <w:r w:rsidR="00E60197">
        <w:rPr>
          <w:i/>
        </w:rPr>
        <w:t>Bartik</w:t>
      </w:r>
      <w:r w:rsidR="00061CDC">
        <w:rPr>
          <w:i/>
        </w:rPr>
        <w:t xml:space="preserve"> </w:t>
      </w:r>
      <w:r w:rsidR="00E60197">
        <w:rPr>
          <w:i/>
        </w:rPr>
        <w:t>1991</w:t>
      </w:r>
      <w:r>
        <w:rPr>
          <w:i/>
        </w:rPr>
        <w:t>/</w:t>
      </w:r>
      <w:r w:rsidRPr="009E69D0">
        <w:rPr>
          <w:i/>
        </w:rPr>
        <w:t>Raw</w:t>
      </w:r>
      <w:r>
        <w:t xml:space="preserve">). </w:t>
      </w:r>
      <w:r w:rsidR="000F5D24">
        <w:t>These files are as follows</w:t>
      </w:r>
      <w:r w:rsidR="00365361">
        <w:t>:</w:t>
      </w:r>
    </w:p>
    <w:p w14:paraId="2B81B5D6" w14:textId="7913E65E" w:rsidR="000F5D24" w:rsidRDefault="000F5D24" w:rsidP="00365361">
      <w:pPr>
        <w:pStyle w:val="ListParagraph"/>
        <w:numPr>
          <w:ilvl w:val="0"/>
          <w:numId w:val="14"/>
        </w:numPr>
        <w:jc w:val="both"/>
      </w:pPr>
      <w:r w:rsidRPr="00DE537A">
        <w:rPr>
          <w:i/>
        </w:rPr>
        <w:lastRenderedPageBreak/>
        <w:t>czone_list.dta</w:t>
      </w:r>
      <w:r>
        <w:rPr>
          <w:iCs/>
        </w:rPr>
        <w:t>:</w:t>
      </w:r>
      <w:r w:rsidR="004C13AA">
        <w:rPr>
          <w:iCs/>
        </w:rPr>
        <w:t xml:space="preserve"> List of </w:t>
      </w:r>
      <w:r w:rsidR="004C13AA" w:rsidRPr="00365361">
        <w:t>commuting</w:t>
      </w:r>
      <w:r w:rsidR="004C13AA">
        <w:rPr>
          <w:iCs/>
        </w:rPr>
        <w:t xml:space="preserve"> zone IDs</w:t>
      </w:r>
    </w:p>
    <w:p w14:paraId="6F7FEAF8" w14:textId="532C7B84" w:rsidR="000F5D24" w:rsidRDefault="000F5D24" w:rsidP="00365361">
      <w:pPr>
        <w:pStyle w:val="ListParagraph"/>
        <w:numPr>
          <w:ilvl w:val="0"/>
          <w:numId w:val="14"/>
        </w:numPr>
        <w:jc w:val="both"/>
      </w:pPr>
      <w:r w:rsidRPr="000F5D24">
        <w:rPr>
          <w:i/>
        </w:rPr>
        <w:t>cw_puma1990_czone.dta</w:t>
      </w:r>
      <w:r w:rsidRPr="000F5D24">
        <w:rPr>
          <w:iCs/>
        </w:rPr>
        <w:t xml:space="preserve">, </w:t>
      </w:r>
      <w:r w:rsidRPr="000F5D24">
        <w:rPr>
          <w:i/>
        </w:rPr>
        <w:t>cw_puma2000_czone.dta</w:t>
      </w:r>
      <w:r w:rsidRPr="000F5D24">
        <w:rPr>
          <w:iCs/>
        </w:rPr>
        <w:t>:</w:t>
      </w:r>
      <w:r w:rsidR="00365361">
        <w:rPr>
          <w:iCs/>
        </w:rPr>
        <w:t xml:space="preserve"> commuting zone to public use microdata area </w:t>
      </w:r>
      <w:r w:rsidR="00365361" w:rsidRPr="00365361">
        <w:t>crosswalks</w:t>
      </w:r>
      <w:r w:rsidR="00365361">
        <w:rPr>
          <w:iCs/>
        </w:rPr>
        <w:t>, 1990 and 2000</w:t>
      </w:r>
    </w:p>
    <w:p w14:paraId="1B3C34F5" w14:textId="7A850D02" w:rsidR="0032657D" w:rsidRDefault="00DE537A" w:rsidP="00365361">
      <w:pPr>
        <w:pStyle w:val="ListParagraph"/>
        <w:numPr>
          <w:ilvl w:val="0"/>
          <w:numId w:val="14"/>
        </w:numPr>
        <w:jc w:val="both"/>
      </w:pPr>
      <w:r w:rsidRPr="00DE537A">
        <w:rPr>
          <w:i/>
        </w:rPr>
        <w:t>cw_ctygrp1980_czone_corr.dta</w:t>
      </w:r>
      <w:r w:rsidR="00365361">
        <w:t>: commuting zone to city group crosswalk, 1980</w:t>
      </w:r>
    </w:p>
    <w:p w14:paraId="5D50ECC0" w14:textId="77777777" w:rsidR="00365361" w:rsidRDefault="00365361" w:rsidP="00365361">
      <w:pPr>
        <w:pStyle w:val="ListParagraph"/>
        <w:ind w:left="840"/>
        <w:jc w:val="both"/>
      </w:pPr>
    </w:p>
    <w:p w14:paraId="0FCDEA0D" w14:textId="678AB1CF" w:rsidR="0032657D" w:rsidRDefault="0032657D" w:rsidP="00985B47">
      <w:pPr>
        <w:pStyle w:val="BlockText"/>
        <w:jc w:val="both"/>
      </w:pPr>
      <w:r>
        <w:t>The following data extracts from IPUMS (</w:t>
      </w:r>
      <w:hyperlink r:id="rId11" w:history="1">
        <w:r w:rsidRPr="00C44C69">
          <w:rPr>
            <w:rStyle w:val="Hyperlink"/>
          </w:rPr>
          <w:t>https://usa.ipums.org/usa/</w:t>
        </w:r>
      </w:hyperlink>
      <w:r>
        <w:t xml:space="preserve">) will need to be added to the </w:t>
      </w:r>
      <w:r w:rsidR="00985B47">
        <w:rPr>
          <w:i/>
        </w:rPr>
        <w:t>Bartik 1991/</w:t>
      </w:r>
      <w:r w:rsidR="00985B47" w:rsidRPr="009E69D0">
        <w:rPr>
          <w:i/>
        </w:rPr>
        <w:t>Raw</w:t>
      </w:r>
      <w:r w:rsidR="00985B47">
        <w:t xml:space="preserve"> </w:t>
      </w:r>
      <w:r>
        <w:t xml:space="preserve">folder, as described in the GPSS replication archive: </w:t>
      </w:r>
      <w:r w:rsidR="00DE537A">
        <w:rPr>
          <w:i/>
        </w:rPr>
        <w:t>IPUMS_data.dta</w:t>
      </w:r>
      <w:r w:rsidR="00DE537A">
        <w:t xml:space="preserve">, </w:t>
      </w:r>
      <w:r w:rsidR="00DE537A" w:rsidRPr="00952C31">
        <w:rPr>
          <w:i/>
        </w:rPr>
        <w:t>IPUMS_ind1990.dta</w:t>
      </w:r>
      <w:r w:rsidR="00DE537A">
        <w:t xml:space="preserve">, </w:t>
      </w:r>
      <w:r w:rsidR="00DE537A" w:rsidRPr="00952C31">
        <w:rPr>
          <w:i/>
        </w:rPr>
        <w:t>IPUMS_geo.dta</w:t>
      </w:r>
      <w:r w:rsidR="00DE537A">
        <w:t xml:space="preserve">, </w:t>
      </w:r>
      <w:r w:rsidR="00DE537A" w:rsidRPr="00952C31">
        <w:rPr>
          <w:i/>
        </w:rPr>
        <w:t>IPUMS_bpl.dta</w:t>
      </w:r>
      <w:r>
        <w:rPr>
          <w:iCs/>
        </w:rPr>
        <w:t>.</w:t>
      </w:r>
      <w:r w:rsidR="00365361">
        <w:rPr>
          <w:iCs/>
        </w:rPr>
        <w:t xml:space="preserve"> </w:t>
      </w:r>
      <w:r>
        <w:t>Each extract should be included from the following samples:</w:t>
      </w:r>
      <w:r w:rsidRPr="00E720A7">
        <w:t xml:space="preserve"> </w:t>
      </w:r>
      <w:r w:rsidRPr="0032657D">
        <w:t>1980 5% state; 1990 5%; 2000 5%; 2009 ACS; 2010 ACS; 2011 ACS</w:t>
      </w:r>
      <w:r w:rsidR="00365361">
        <w:t xml:space="preserve">. </w:t>
      </w:r>
      <w:r>
        <w:t>The variables that should be included in each extract are as follows:</w:t>
      </w:r>
    </w:p>
    <w:p w14:paraId="0E69A1C5" w14:textId="77777777" w:rsidR="0032657D" w:rsidRPr="00E720A7" w:rsidRDefault="0032657D" w:rsidP="0032657D">
      <w:pPr>
        <w:pStyle w:val="ListParagraph"/>
        <w:numPr>
          <w:ilvl w:val="0"/>
          <w:numId w:val="16"/>
        </w:num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E720A7">
        <w:rPr>
          <w:i/>
        </w:rPr>
        <w:t>IPUMS_data.dta</w:t>
      </w:r>
      <w:r>
        <w:t xml:space="preserve">: </w:t>
      </w:r>
      <w:r w:rsidRPr="00E720A7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year; datanum; serial; hhwt; statefip; conspuma; cpuma0010; gq; ownershp; ownershpd; mortgage; mortgag2; rent; rentgrs; hhincome; foodstmp; valueh; nfams; nsubfam; ncouples; nmothers; nfathers; multgen; multgend; pernum; perwt; famsize; nchild; nchlt5; famunit; eldch; relate; related; sex; age; marst; birthyr; race; raced; hispan; hispand; ancestr1; ancestr1d; ancestr2; ancestr2d; citizen; yrsusa2; speakeng; racesing; racesingd; school; educ; educd; gradeatt; gradeattd; schltype; empstat; empstatd; labforce; occ; ind; classwkr ; classwkrd; wkswork2; uhrswork; wrklstwk; absent; looking; availble; wrkrecal; workedyr; inctot; ftotinc: incwage; incbus00; incss; incwelfr; incinvst; incretir; incsupp; incother; incearn; poverty; occscore; sei; hwsei; presgl; prent; erscor90; edscor90; npboss90; migrate5; migrate5d; migrate1; migrate1d; migplac5; migplac1; movedin; vetstat; vetstatd; pwstate2; trantime</w:t>
      </w:r>
    </w:p>
    <w:p w14:paraId="695F43C5" w14:textId="77777777" w:rsidR="0032657D" w:rsidRPr="00E720A7" w:rsidRDefault="0032657D" w:rsidP="0032657D">
      <w:pPr>
        <w:pStyle w:val="ListParagraph"/>
        <w:numPr>
          <w:ilvl w:val="0"/>
          <w:numId w:val="16"/>
        </w:num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E720A7">
        <w:rPr>
          <w:i/>
        </w:rPr>
        <w:t>IPUMS_ind1990.dta</w:t>
      </w:r>
      <w:r>
        <w:t>:</w:t>
      </w:r>
      <w:r w:rsidRPr="00E720A7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year; datanum; serial; hhwt; gq; pernum; perwt; ind1990</w:t>
      </w:r>
    </w:p>
    <w:p w14:paraId="59C2EB7D" w14:textId="77777777" w:rsidR="0032657D" w:rsidRPr="00E720A7" w:rsidRDefault="0032657D" w:rsidP="0032657D">
      <w:pPr>
        <w:pStyle w:val="ListParagraph"/>
        <w:numPr>
          <w:ilvl w:val="0"/>
          <w:numId w:val="16"/>
        </w:num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E720A7">
        <w:rPr>
          <w:i/>
        </w:rPr>
        <w:t>IPUMS_geo.dta</w:t>
      </w:r>
      <w:r>
        <w:t>:</w:t>
      </w:r>
      <w:r w:rsidRPr="00E720A7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year; datanum; serial; hhwt; gq; pernum; perwt; county; countyfips; cntygp98; puma</w:t>
      </w:r>
    </w:p>
    <w:p w14:paraId="29D00AAB" w14:textId="6D0B995B" w:rsidR="00AE256A" w:rsidRPr="00AE256A" w:rsidRDefault="0032657D" w:rsidP="00AE256A">
      <w:pPr>
        <w:pStyle w:val="ListParagraph"/>
        <w:numPr>
          <w:ilvl w:val="0"/>
          <w:numId w:val="16"/>
        </w:numPr>
        <w:shd w:val="clear" w:color="auto" w:fill="FFFFFF"/>
        <w:rPr>
          <w:rFonts w:ascii="Segoe UI" w:eastAsia="Times New Roman" w:hAnsi="Segoe UI" w:cs="Segoe UI"/>
          <w:color w:val="24292E"/>
          <w:lang w:eastAsia="en-GB"/>
        </w:rPr>
      </w:pPr>
      <w:r w:rsidRPr="00E720A7">
        <w:rPr>
          <w:i/>
        </w:rPr>
        <w:t>IPUMS_bpl.dta</w:t>
      </w:r>
      <w:r>
        <w:t xml:space="preserve">: </w:t>
      </w:r>
      <w:r w:rsidRPr="00E720A7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year; datanum; serial; hhwt; gq; pernum; perwt; bpl</w:t>
      </w:r>
    </w:p>
    <w:p w14:paraId="3CC73110" w14:textId="43EB812B" w:rsidR="00AE256A" w:rsidRDefault="00AE256A" w:rsidP="00AE256A">
      <w:pPr>
        <w:pStyle w:val="BlockText"/>
        <w:jc w:val="both"/>
      </w:pPr>
      <w:r>
        <w:t xml:space="preserve">Data files in the </w:t>
      </w:r>
      <w:r w:rsidR="007616CD">
        <w:rPr>
          <w:i/>
        </w:rPr>
        <w:t>Bartik 1991/</w:t>
      </w:r>
      <w:r w:rsidRPr="00AE256A">
        <w:rPr>
          <w:i/>
          <w:iCs/>
        </w:rPr>
        <w:t>Data/</w:t>
      </w:r>
      <w:r>
        <w:t xml:space="preserve"> and </w:t>
      </w:r>
      <w:r w:rsidR="007616CD">
        <w:rPr>
          <w:i/>
        </w:rPr>
        <w:t>Bartik 1991/</w:t>
      </w:r>
      <w:r w:rsidRPr="00AE256A">
        <w:rPr>
          <w:i/>
          <w:iCs/>
        </w:rPr>
        <w:t>Results/</w:t>
      </w:r>
      <w:r>
        <w:t xml:space="preserve"> folders are produced by our code described below</w:t>
      </w:r>
      <w:r w:rsidR="00D3305E">
        <w:t>. We include these files</w:t>
      </w:r>
      <w:r>
        <w:t xml:space="preserve"> </w:t>
      </w:r>
      <w:r w:rsidR="007616CD">
        <w:t xml:space="preserve">only </w:t>
      </w:r>
      <w:r>
        <w:t>to facilitate replication.</w:t>
      </w:r>
    </w:p>
    <w:p w14:paraId="604BADEB" w14:textId="77777777" w:rsidR="00D3305E" w:rsidRPr="007616CD" w:rsidRDefault="00D3305E" w:rsidP="00D3305E">
      <w:pPr>
        <w:pStyle w:val="BodyText"/>
        <w:rPr>
          <w:sz w:val="20"/>
          <w:szCs w:val="20"/>
        </w:rPr>
      </w:pPr>
    </w:p>
    <w:p w14:paraId="1B1BB7D8" w14:textId="090AFCCB" w:rsidR="005E287E" w:rsidRDefault="005E287E" w:rsidP="00CC5167">
      <w:pPr>
        <w:pStyle w:val="BlockText"/>
        <w:ind w:left="0"/>
        <w:jc w:val="both"/>
        <w:rPr>
          <w:b/>
        </w:rPr>
      </w:pPr>
      <w:r>
        <w:rPr>
          <w:b/>
        </w:rPr>
        <w:t>Monte Carlo</w:t>
      </w:r>
    </w:p>
    <w:p w14:paraId="6F3F97EB" w14:textId="7DBF090C" w:rsidR="00710B77" w:rsidRDefault="00E768A4" w:rsidP="00710B77">
      <w:pPr>
        <w:pStyle w:val="BlockText"/>
        <w:jc w:val="both"/>
      </w:pPr>
      <w:r>
        <w:t>This subpackage uses data from</w:t>
      </w:r>
      <w:r w:rsidR="007616CD">
        <w:t xml:space="preserve"> the</w:t>
      </w:r>
      <w:r>
        <w:t xml:space="preserve"> </w:t>
      </w:r>
      <w:r w:rsidR="007616CD">
        <w:rPr>
          <w:i/>
        </w:rPr>
        <w:t>ADH</w:t>
      </w:r>
      <w:r w:rsidR="007616CD">
        <w:rPr>
          <w:i/>
        </w:rPr>
        <w:t>/</w:t>
      </w:r>
      <w:r w:rsidR="007616CD">
        <w:rPr>
          <w:i/>
        </w:rPr>
        <w:t>Data</w:t>
      </w:r>
      <w:r>
        <w:t xml:space="preserve"> folder, </w:t>
      </w:r>
      <w:r w:rsidR="007616CD">
        <w:t xml:space="preserve">which is produced from the programs described below, </w:t>
      </w:r>
      <w:r>
        <w:t>plus</w:t>
      </w:r>
      <w:r w:rsidR="00061CDC">
        <w:t xml:space="preserve"> an additional </w:t>
      </w:r>
      <w:r w:rsidR="00365361">
        <w:t xml:space="preserve">raw </w:t>
      </w:r>
      <w:r w:rsidR="00061CDC">
        <w:t xml:space="preserve">dataset </w:t>
      </w:r>
      <w:r w:rsidRPr="00573011">
        <w:rPr>
          <w:i/>
        </w:rPr>
        <w:t>cbp_czone_merged</w:t>
      </w:r>
      <w:r>
        <w:rPr>
          <w:i/>
        </w:rPr>
        <w:t>.dta</w:t>
      </w:r>
      <w:r>
        <w:t xml:space="preserve"> </w:t>
      </w:r>
      <w:r w:rsidR="00061CDC">
        <w:t xml:space="preserve">from the Acemoglu et al. (2016) replication archive, which is in the public domain and </w:t>
      </w:r>
      <w:r>
        <w:t xml:space="preserve">can be downloaded from package P6 at </w:t>
      </w:r>
      <w:hyperlink r:id="rId12" w:history="1">
        <w:r w:rsidRPr="002309E7">
          <w:rPr>
            <w:rStyle w:val="Hyperlink"/>
          </w:rPr>
          <w:t>https://www.ddorn.net/data.htm</w:t>
        </w:r>
      </w:hyperlink>
      <w:r>
        <w:rPr>
          <w:rStyle w:val="Hyperlink"/>
        </w:rPr>
        <w:t xml:space="preserve">. </w:t>
      </w:r>
      <w:r>
        <w:t>W</w:t>
      </w:r>
      <w:r w:rsidR="00061CDC">
        <w:t xml:space="preserve">e provide </w:t>
      </w:r>
      <w:r>
        <w:t xml:space="preserve">it </w:t>
      </w:r>
      <w:r w:rsidR="00061CDC">
        <w:t xml:space="preserve">as part of this archive (in </w:t>
      </w:r>
      <w:r w:rsidR="00061CDC">
        <w:rPr>
          <w:i/>
          <w:iCs/>
        </w:rPr>
        <w:t>MonteCarlo/</w:t>
      </w:r>
      <w:r w:rsidR="00061CDC" w:rsidRPr="00061CDC">
        <w:rPr>
          <w:i/>
          <w:iCs/>
        </w:rPr>
        <w:t>Raw</w:t>
      </w:r>
      <w:r w:rsidR="00061CDC">
        <w:t>)</w:t>
      </w:r>
      <w:r w:rsidR="006854B9">
        <w:t>.</w:t>
      </w:r>
      <w:r w:rsidR="00061CDC">
        <w:t xml:space="preserve"> </w:t>
      </w:r>
      <w:r>
        <w:t>It</w:t>
      </w:r>
      <w:r w:rsidR="00365361">
        <w:t xml:space="preserve"> contains industry-by-commuting zone employment</w:t>
      </w:r>
      <w:r w:rsidR="0032657D">
        <w:t>.</w:t>
      </w:r>
    </w:p>
    <w:p w14:paraId="1672718A" w14:textId="760A914B" w:rsidR="00AE256A" w:rsidRDefault="00AE256A" w:rsidP="00AE256A">
      <w:pPr>
        <w:pStyle w:val="BlockText"/>
        <w:jc w:val="both"/>
      </w:pPr>
      <w:r>
        <w:t xml:space="preserve">Data files in the </w:t>
      </w:r>
      <w:r w:rsidR="007616CD">
        <w:rPr>
          <w:i/>
          <w:iCs/>
        </w:rPr>
        <w:t>MonteCarlo/</w:t>
      </w:r>
      <w:r w:rsidRPr="00AE256A">
        <w:rPr>
          <w:i/>
          <w:iCs/>
        </w:rPr>
        <w:t>Data/</w:t>
      </w:r>
      <w:r>
        <w:t xml:space="preserve"> and </w:t>
      </w:r>
      <w:r w:rsidR="007616CD">
        <w:rPr>
          <w:i/>
          <w:iCs/>
        </w:rPr>
        <w:t>MonteCarlo/</w:t>
      </w:r>
      <w:r w:rsidRPr="00AE256A">
        <w:rPr>
          <w:i/>
          <w:iCs/>
        </w:rPr>
        <w:t>Results/</w:t>
      </w:r>
      <w:r>
        <w:t xml:space="preserve"> folders are produced by </w:t>
      </w:r>
      <w:r w:rsidR="007616CD">
        <w:t>the</w:t>
      </w:r>
      <w:r>
        <w:t xml:space="preserve"> code described below</w:t>
      </w:r>
      <w:r w:rsidR="007616CD">
        <w:t>. We include these files</w:t>
      </w:r>
      <w:r>
        <w:t xml:space="preserve"> only to facilitate replication.</w:t>
      </w:r>
    </w:p>
    <w:p w14:paraId="35FC1042" w14:textId="77777777" w:rsidR="007616CD" w:rsidRPr="007616CD" w:rsidRDefault="007616CD" w:rsidP="007616CD">
      <w:pPr>
        <w:pStyle w:val="BodyText"/>
        <w:rPr>
          <w:sz w:val="20"/>
          <w:szCs w:val="20"/>
        </w:rPr>
      </w:pPr>
    </w:p>
    <w:p w14:paraId="41928910" w14:textId="77777777" w:rsidR="00BA21B2" w:rsidRDefault="00BA21B2" w:rsidP="00CC5167">
      <w:pPr>
        <w:pStyle w:val="Heading3"/>
        <w:jc w:val="both"/>
      </w:pPr>
      <w:bookmarkStart w:id="1" w:name="statement-about-rights"/>
      <w:r>
        <w:t>Statement about Rights</w:t>
      </w:r>
      <w:bookmarkEnd w:id="1"/>
    </w:p>
    <w:p w14:paraId="66803A3A" w14:textId="409A8CFE" w:rsidR="00710B77" w:rsidRDefault="00BA21B2" w:rsidP="00710B77">
      <w:pPr>
        <w:ind w:left="480" w:right="450"/>
        <w:jc w:val="both"/>
      </w:pPr>
      <w:r>
        <w:t xml:space="preserve">We certify that </w:t>
      </w:r>
      <w:r w:rsidR="007616CD">
        <w:t xml:space="preserve">we, </w:t>
      </w:r>
      <w:r>
        <w:t>the authors of the manuscript</w:t>
      </w:r>
      <w:r w:rsidR="007616CD">
        <w:t>,</w:t>
      </w:r>
      <w:r>
        <w:t xml:space="preserve"> have legitimate access to and permission to use the data used in this manuscript.</w:t>
      </w:r>
    </w:p>
    <w:p w14:paraId="03C3ECF9" w14:textId="38EF3F5C" w:rsidR="00BA21B2" w:rsidRDefault="00BA21B2" w:rsidP="00CC5167">
      <w:pPr>
        <w:pStyle w:val="Heading3"/>
        <w:jc w:val="both"/>
      </w:pPr>
      <w:r>
        <w:lastRenderedPageBreak/>
        <w:t>Summary of Availability</w:t>
      </w:r>
    </w:p>
    <w:p w14:paraId="73F91BF1" w14:textId="1BF3E523" w:rsidR="00F940BE" w:rsidRDefault="00BA21B2" w:rsidP="00CC5167">
      <w:pPr>
        <w:ind w:left="480" w:right="450"/>
        <w:jc w:val="both"/>
      </w:pPr>
      <w:r>
        <w:t xml:space="preserve">All data </w:t>
      </w:r>
      <w:r w:rsidR="00B87483">
        <w:t xml:space="preserve">in this </w:t>
      </w:r>
      <w:r w:rsidR="00644353">
        <w:t>replication archive</w:t>
      </w:r>
      <w:r w:rsidR="00B87483">
        <w:t xml:space="preserve"> </w:t>
      </w:r>
      <w:r>
        <w:t xml:space="preserve">are publicly available. </w:t>
      </w:r>
    </w:p>
    <w:p w14:paraId="76AA36D2" w14:textId="77777777" w:rsidR="00985B47" w:rsidRPr="007616CD" w:rsidRDefault="00985B47" w:rsidP="00710B77">
      <w:pPr>
        <w:pStyle w:val="BodyText"/>
        <w:jc w:val="both"/>
        <w:rPr>
          <w:sz w:val="20"/>
          <w:szCs w:val="20"/>
        </w:rPr>
      </w:pPr>
    </w:p>
    <w:p w14:paraId="120E2FC5" w14:textId="454B473F" w:rsidR="00F940BE" w:rsidRDefault="00F940BE" w:rsidP="00CC5167">
      <w:pPr>
        <w:pStyle w:val="Heading2"/>
        <w:jc w:val="both"/>
      </w:pPr>
      <w:r>
        <w:t>Computational requirements</w:t>
      </w:r>
    </w:p>
    <w:p w14:paraId="04DE6CD1" w14:textId="041FC31F" w:rsidR="00B01088" w:rsidRDefault="00B01088" w:rsidP="003801A1">
      <w:pPr>
        <w:pStyle w:val="BlockText"/>
        <w:jc w:val="both"/>
      </w:pPr>
      <w:r>
        <w:t xml:space="preserve">Each </w:t>
      </w:r>
      <w:r w:rsidR="00C501C6">
        <w:t xml:space="preserve">of the three </w:t>
      </w:r>
      <w:r>
        <w:t>subpackage</w:t>
      </w:r>
      <w:r w:rsidR="00C501C6">
        <w:t>s</w:t>
      </w:r>
      <w:r>
        <w:t xml:space="preserve"> contains a “master” Stata file which executes the primary data cleaning and analysis. Supplemental analyses are then conducted in R. </w:t>
      </w:r>
      <w:r w:rsidR="00C501C6">
        <w:t xml:space="preserve">We give a description of </w:t>
      </w:r>
      <w:r w:rsidR="00E50389">
        <w:t>programs</w:t>
      </w:r>
      <w:r w:rsidR="00C501C6">
        <w:t xml:space="preserve"> </w:t>
      </w:r>
      <w:r w:rsidR="00985B47">
        <w:t xml:space="preserve">in the Instructions to Replicators, </w:t>
      </w:r>
      <w:r w:rsidR="00417C09">
        <w:t>below</w:t>
      </w:r>
      <w:r w:rsidR="00C501C6">
        <w:t>.</w:t>
      </w:r>
    </w:p>
    <w:p w14:paraId="518D1D61" w14:textId="77777777" w:rsidR="007616CD" w:rsidRPr="007616CD" w:rsidRDefault="007616CD" w:rsidP="007616CD">
      <w:pPr>
        <w:pStyle w:val="BodyText"/>
        <w:rPr>
          <w:sz w:val="20"/>
          <w:szCs w:val="20"/>
        </w:rPr>
      </w:pPr>
    </w:p>
    <w:p w14:paraId="64014658" w14:textId="77777777" w:rsidR="00B01088" w:rsidRDefault="00B01088" w:rsidP="00985B47">
      <w:pPr>
        <w:pStyle w:val="Heading3"/>
        <w:spacing w:after="100"/>
        <w:jc w:val="both"/>
      </w:pPr>
      <w:r>
        <w:t>Software Requirements</w:t>
      </w:r>
    </w:p>
    <w:p w14:paraId="2AB1DF8C" w14:textId="74398767" w:rsidR="000305BD" w:rsidRDefault="00CC5167" w:rsidP="00985B47">
      <w:pPr>
        <w:pStyle w:val="ListParagraph"/>
        <w:numPr>
          <w:ilvl w:val="0"/>
          <w:numId w:val="14"/>
        </w:numPr>
        <w:jc w:val="both"/>
      </w:pPr>
      <w:r>
        <w:t>Stata (code was last run with version 16.1)</w:t>
      </w:r>
      <w:r w:rsidR="00433E59">
        <w:t>, with packages:</w:t>
      </w:r>
    </w:p>
    <w:p w14:paraId="27AD0AE4" w14:textId="3836FB89" w:rsidR="00CC5167" w:rsidRDefault="00CC5167" w:rsidP="0025672D">
      <w:pPr>
        <w:numPr>
          <w:ilvl w:val="1"/>
          <w:numId w:val="13"/>
        </w:numPr>
        <w:spacing w:after="0"/>
        <w:jc w:val="both"/>
      </w:pPr>
      <w:r>
        <w:rPr>
          <w:rStyle w:val="VerbatimChar"/>
        </w:rPr>
        <w:t>distinct</w:t>
      </w:r>
      <w:r>
        <w:t xml:space="preserve"> (as of 2018-05-12)</w:t>
      </w:r>
    </w:p>
    <w:p w14:paraId="528F632E" w14:textId="17BA16A4" w:rsidR="00CC5167" w:rsidRDefault="00CC5167" w:rsidP="0025672D">
      <w:pPr>
        <w:numPr>
          <w:ilvl w:val="1"/>
          <w:numId w:val="13"/>
        </w:numPr>
        <w:spacing w:after="0"/>
        <w:jc w:val="both"/>
      </w:pPr>
      <w:r>
        <w:rPr>
          <w:rStyle w:val="VerbatimChar"/>
        </w:rPr>
        <w:t>estout</w:t>
      </w:r>
      <w:r>
        <w:t xml:space="preserve"> (as of 2020-02-04)</w:t>
      </w:r>
    </w:p>
    <w:p w14:paraId="075648ED" w14:textId="578E0D26" w:rsidR="00985B47" w:rsidRDefault="00CC5167" w:rsidP="00985B47">
      <w:pPr>
        <w:numPr>
          <w:ilvl w:val="1"/>
          <w:numId w:val="13"/>
        </w:numPr>
        <w:spacing w:after="0"/>
        <w:jc w:val="both"/>
      </w:pPr>
      <w:r>
        <w:rPr>
          <w:rStyle w:val="VerbatimChar"/>
        </w:rPr>
        <w:t>avar</w:t>
      </w:r>
      <w:r>
        <w:t xml:space="preserve"> (as of 2018-05-12)</w:t>
      </w:r>
    </w:p>
    <w:p w14:paraId="4F15E1EA" w14:textId="39990960" w:rsidR="00CC5167" w:rsidRDefault="00CC5167" w:rsidP="00985B47">
      <w:pPr>
        <w:pStyle w:val="ListParagraph"/>
        <w:numPr>
          <w:ilvl w:val="0"/>
          <w:numId w:val="14"/>
        </w:numPr>
        <w:jc w:val="both"/>
      </w:pPr>
      <w:r>
        <w:t xml:space="preserve">R </w:t>
      </w:r>
      <w:r w:rsidR="001509CA" w:rsidRPr="001509CA">
        <w:t>4.0.3</w:t>
      </w:r>
      <w:r w:rsidR="00433E59">
        <w:t>, with packages:</w:t>
      </w:r>
    </w:p>
    <w:p w14:paraId="1A53B0FA" w14:textId="0A9964AE" w:rsidR="00433E59" w:rsidRDefault="00433E59" w:rsidP="0025672D">
      <w:pPr>
        <w:numPr>
          <w:ilvl w:val="1"/>
          <w:numId w:val="13"/>
        </w:numPr>
        <w:spacing w:after="0"/>
        <w:jc w:val="both"/>
      </w:pPr>
      <w:r>
        <w:rPr>
          <w:rStyle w:val="VerbatimChar"/>
        </w:rPr>
        <w:t>VGAM</w:t>
      </w:r>
      <w:r>
        <w:t xml:space="preserve"> </w:t>
      </w:r>
      <w:r w:rsidR="00896EB1">
        <w:t>1.1-5</w:t>
      </w:r>
    </w:p>
    <w:p w14:paraId="4E6D014D" w14:textId="2DACF705" w:rsidR="00985B47" w:rsidRPr="007616CD" w:rsidRDefault="005C1E86" w:rsidP="00985B47">
      <w:pPr>
        <w:numPr>
          <w:ilvl w:val="1"/>
          <w:numId w:val="13"/>
        </w:numPr>
        <w:spacing w:after="0"/>
        <w:jc w:val="both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AER 1.2-9</w:t>
      </w:r>
    </w:p>
    <w:p w14:paraId="5F8D3A0E" w14:textId="77777777" w:rsidR="007616CD" w:rsidRPr="007616CD" w:rsidRDefault="007616CD" w:rsidP="007616CD">
      <w:pPr>
        <w:spacing w:after="0"/>
        <w:ind w:left="1440"/>
        <w:jc w:val="both"/>
        <w:rPr>
          <w:rStyle w:val="VerbatimChar"/>
          <w:rFonts w:asciiTheme="minorHAnsi" w:hAnsiTheme="minorHAnsi"/>
          <w:sz w:val="20"/>
          <w:szCs w:val="20"/>
        </w:rPr>
      </w:pPr>
    </w:p>
    <w:p w14:paraId="4D177438" w14:textId="78BFE8FD" w:rsidR="00985B47" w:rsidRDefault="00985B47" w:rsidP="00985B47">
      <w:pPr>
        <w:pStyle w:val="BlockText"/>
        <w:jc w:val="both"/>
      </w:pPr>
      <w:r>
        <w:t xml:space="preserve">The </w:t>
      </w:r>
      <w:r>
        <w:rPr>
          <w:i/>
          <w:iCs/>
        </w:rPr>
        <w:t>ADH</w:t>
      </w:r>
      <w:r w:rsidR="007616CD">
        <w:rPr>
          <w:i/>
          <w:iCs/>
        </w:rPr>
        <w:t>/Code</w:t>
      </w:r>
      <w:r>
        <w:rPr>
          <w:i/>
          <w:iCs/>
        </w:rPr>
        <w:t xml:space="preserve"> </w:t>
      </w:r>
      <w:r>
        <w:t xml:space="preserve">folder contains additional user-generated packages used in the </w:t>
      </w:r>
      <w:r>
        <w:rPr>
          <w:b/>
          <w:bCs/>
        </w:rPr>
        <w:t xml:space="preserve">ADH </w:t>
      </w:r>
      <w:r>
        <w:t xml:space="preserve">and </w:t>
      </w:r>
      <w:r>
        <w:rPr>
          <w:b/>
          <w:bCs/>
        </w:rPr>
        <w:t xml:space="preserve">Monte Carlo </w:t>
      </w:r>
      <w:r>
        <w:t>procedures:</w:t>
      </w:r>
    </w:p>
    <w:p w14:paraId="6E8CE69A" w14:textId="380ED828" w:rsidR="00985B47" w:rsidRDefault="00AD601F" w:rsidP="00985B47">
      <w:pPr>
        <w:pStyle w:val="ListParagraph"/>
        <w:numPr>
          <w:ilvl w:val="0"/>
          <w:numId w:val="14"/>
        </w:numPr>
        <w:jc w:val="both"/>
      </w:pPr>
      <w:r>
        <w:rPr>
          <w:i/>
          <w:iCs/>
        </w:rPr>
        <w:t>Code/</w:t>
      </w:r>
      <w:r w:rsidR="00985B47" w:rsidRPr="00985B47">
        <w:rPr>
          <w:i/>
          <w:iCs/>
        </w:rPr>
        <w:t>iv.R</w:t>
      </w:r>
      <w:r w:rsidR="00985B47">
        <w:t xml:space="preserve">: shift-share IV regression code from the replication package of Adão et al. (2019). Available at </w:t>
      </w:r>
      <w:hyperlink r:id="rId13" w:history="1">
        <w:r w:rsidR="00985B47" w:rsidRPr="003022E7">
          <w:rPr>
            <w:rStyle w:val="Hyperlink"/>
          </w:rPr>
          <w:t>https://github.com/kolesarm/ShiftShareSE</w:t>
        </w:r>
      </w:hyperlink>
    </w:p>
    <w:p w14:paraId="7C4CCF7E" w14:textId="2129C78C" w:rsidR="00AD601F" w:rsidRDefault="00AD601F" w:rsidP="00AD601F">
      <w:pPr>
        <w:pStyle w:val="ListParagraph"/>
        <w:numPr>
          <w:ilvl w:val="0"/>
          <w:numId w:val="14"/>
        </w:numPr>
        <w:jc w:val="both"/>
      </w:pPr>
      <w:r>
        <w:rPr>
          <w:i/>
        </w:rPr>
        <w:t>Raw/</w:t>
      </w:r>
      <w:r w:rsidRPr="00803E13">
        <w:rPr>
          <w:i/>
        </w:rPr>
        <w:t>subfile_sic87dd.do</w:t>
      </w:r>
      <w:r>
        <w:t xml:space="preserve">: code to aggregate some SIC4 industries as in ADH. Provided to us by David Dorn with permission to include in </w:t>
      </w:r>
      <w:r w:rsidR="007616CD">
        <w:t>this</w:t>
      </w:r>
      <w:r>
        <w:t xml:space="preserve"> replication archive</w:t>
      </w:r>
    </w:p>
    <w:p w14:paraId="35F1C51A" w14:textId="0936D157" w:rsidR="00985B47" w:rsidRPr="00A73265" w:rsidRDefault="00AD601F" w:rsidP="00985B47">
      <w:pPr>
        <w:pStyle w:val="ListParagraph"/>
        <w:numPr>
          <w:ilvl w:val="0"/>
          <w:numId w:val="14"/>
        </w:numPr>
        <w:jc w:val="both"/>
      </w:pPr>
      <w:r>
        <w:rPr>
          <w:i/>
          <w:iCs/>
        </w:rPr>
        <w:t>Code/</w:t>
      </w:r>
      <w:r w:rsidR="00985B47" w:rsidRPr="00A73265">
        <w:rPr>
          <w:i/>
          <w:iCs/>
        </w:rPr>
        <w:t>ssaggregate.ado</w:t>
      </w:r>
      <w:r w:rsidR="00985B47">
        <w:t xml:space="preserve"> (with help file </w:t>
      </w:r>
      <w:r w:rsidR="00985B47" w:rsidRPr="00A73265">
        <w:rPr>
          <w:i/>
          <w:iCs/>
        </w:rPr>
        <w:t>ssaggregate.sthlp</w:t>
      </w:r>
      <w:r w:rsidR="00985B47">
        <w:t xml:space="preserve">): code </w:t>
      </w:r>
      <w:r w:rsidR="00E768A4">
        <w:t xml:space="preserve">written by us </w:t>
      </w:r>
      <w:r w:rsidR="00985B47">
        <w:t>to aggregate data from the observation level to the shock level for running equivalent shock-level IV regressions. Written by the authors</w:t>
      </w:r>
    </w:p>
    <w:p w14:paraId="17233FE1" w14:textId="5A761AC4" w:rsidR="00985B47" w:rsidRDefault="00AD601F" w:rsidP="00985B47">
      <w:pPr>
        <w:pStyle w:val="ListParagraph"/>
        <w:numPr>
          <w:ilvl w:val="0"/>
          <w:numId w:val="14"/>
        </w:numPr>
        <w:jc w:val="both"/>
      </w:pPr>
      <w:r>
        <w:rPr>
          <w:i/>
        </w:rPr>
        <w:t>Code/</w:t>
      </w:r>
      <w:r w:rsidR="00985B47" w:rsidRPr="004F11E5">
        <w:rPr>
          <w:i/>
        </w:rPr>
        <w:t>ssiv_null_imposed.ado</w:t>
      </w:r>
      <w:r w:rsidR="00985B47">
        <w:t xml:space="preserve">: code </w:t>
      </w:r>
      <w:r w:rsidR="00E768A4">
        <w:t xml:space="preserve">written by us </w:t>
      </w:r>
      <w:r w:rsidR="00985B47">
        <w:t>to compute standard errors with the null imposed for equivalent shock-level regressions. Written by the authors</w:t>
      </w:r>
    </w:p>
    <w:p w14:paraId="3E564E84" w14:textId="37B90E85" w:rsidR="00985B47" w:rsidRDefault="00AD601F" w:rsidP="00985B47">
      <w:pPr>
        <w:pStyle w:val="ListParagraph"/>
        <w:numPr>
          <w:ilvl w:val="0"/>
          <w:numId w:val="14"/>
        </w:numPr>
        <w:jc w:val="both"/>
      </w:pPr>
      <w:r>
        <w:rPr>
          <w:i/>
        </w:rPr>
        <w:t>Code/</w:t>
      </w:r>
      <w:r w:rsidR="00985B47" w:rsidRPr="004F11E5">
        <w:rPr>
          <w:i/>
        </w:rPr>
        <w:t>binscatter2.ado</w:t>
      </w:r>
      <w:r w:rsidR="00985B47">
        <w:t xml:space="preserve">: </w:t>
      </w:r>
      <w:r w:rsidR="00E768A4">
        <w:t xml:space="preserve">our </w:t>
      </w:r>
      <w:r w:rsidR="00985B47">
        <w:t>modification of</w:t>
      </w:r>
      <w:r w:rsidR="00D279A0">
        <w:t xml:space="preserve"> Michael Stepner’s</w:t>
      </w:r>
      <w:r w:rsidR="00985B47">
        <w:t xml:space="preserve"> </w:t>
      </w:r>
      <w:r w:rsidR="00985B47">
        <w:rPr>
          <w:i/>
          <w:iCs/>
        </w:rPr>
        <w:t xml:space="preserve">binscatter.ado </w:t>
      </w:r>
      <w:r w:rsidR="00985B47">
        <w:t xml:space="preserve">(available at </w:t>
      </w:r>
      <w:hyperlink r:id="rId14" w:history="1">
        <w:r w:rsidR="00D279A0" w:rsidRPr="00E9653C">
          <w:rPr>
            <w:rStyle w:val="Hyperlink"/>
          </w:rPr>
          <w:t>https://michaelstepner.com/binscatter/</w:t>
        </w:r>
      </w:hyperlink>
      <w:r w:rsidR="00D279A0">
        <w:t>)</w:t>
      </w:r>
      <w:r w:rsidR="00180653">
        <w:t>,</w:t>
      </w:r>
      <w:r w:rsidR="00985B47">
        <w:t xml:space="preserve"> which adds extra functionality</w:t>
      </w:r>
    </w:p>
    <w:p w14:paraId="019509AD" w14:textId="5C7F7110" w:rsidR="00985B47" w:rsidRDefault="00AD601F" w:rsidP="00985B47">
      <w:pPr>
        <w:pStyle w:val="ListParagraph"/>
        <w:numPr>
          <w:ilvl w:val="0"/>
          <w:numId w:val="14"/>
        </w:numPr>
        <w:jc w:val="both"/>
      </w:pPr>
      <w:r>
        <w:rPr>
          <w:i/>
        </w:rPr>
        <w:t>Code/</w:t>
      </w:r>
      <w:r w:rsidR="00985B47" w:rsidRPr="004F11E5">
        <w:rPr>
          <w:i/>
        </w:rPr>
        <w:t>weakssivtest.ado</w:t>
      </w:r>
      <w:r w:rsidR="00985B47">
        <w:t xml:space="preserve">: </w:t>
      </w:r>
      <w:r w:rsidR="00E768A4">
        <w:t xml:space="preserve">our </w:t>
      </w:r>
      <w:r w:rsidR="004B5E8D">
        <w:t xml:space="preserve">modification of </w:t>
      </w:r>
      <w:r w:rsidR="00985B47" w:rsidRPr="004B5E8D">
        <w:rPr>
          <w:i/>
          <w:iCs/>
        </w:rPr>
        <w:t>weakivtest</w:t>
      </w:r>
      <w:r w:rsidR="00985B47">
        <w:t xml:space="preserve"> </w:t>
      </w:r>
      <w:r w:rsidR="004B5E8D">
        <w:t>by Pflueger and Wang (2015) for</w:t>
      </w:r>
      <w:r w:rsidR="00985B47">
        <w:t xml:space="preserve"> shift-share IV </w:t>
      </w:r>
      <w:r w:rsidR="004B5E8D">
        <w:t>regressions</w:t>
      </w:r>
    </w:p>
    <w:p w14:paraId="2021666E" w14:textId="77777777" w:rsidR="007616CD" w:rsidRPr="007616CD" w:rsidRDefault="007616CD" w:rsidP="007616CD">
      <w:pPr>
        <w:pStyle w:val="BodyText"/>
        <w:jc w:val="both"/>
        <w:rPr>
          <w:sz w:val="20"/>
          <w:szCs w:val="20"/>
        </w:rPr>
      </w:pPr>
    </w:p>
    <w:p w14:paraId="6F568D38" w14:textId="77777777" w:rsidR="00CC5167" w:rsidRDefault="00CC5167" w:rsidP="00CC5167">
      <w:pPr>
        <w:pStyle w:val="Heading3"/>
        <w:jc w:val="both"/>
      </w:pPr>
      <w:r>
        <w:t>Memory and Runtime Requirements</w:t>
      </w:r>
    </w:p>
    <w:p w14:paraId="481CA41B" w14:textId="5F2FEC69" w:rsidR="00FB5BCA" w:rsidRDefault="00CC5167" w:rsidP="00E50389">
      <w:pPr>
        <w:pStyle w:val="FirstParagraph"/>
        <w:jc w:val="both"/>
      </w:pPr>
      <w:r>
        <w:t xml:space="preserve">The code was last run on a </w:t>
      </w:r>
      <w:r w:rsidRPr="0089342B">
        <w:rPr>
          <w:bCs/>
        </w:rPr>
        <w:t>4-core Intel-based laptop with Windows 10 version 1909</w:t>
      </w:r>
      <w:r>
        <w:t>.</w:t>
      </w:r>
      <w:r w:rsidR="00157921">
        <w:t xml:space="preserve"> </w:t>
      </w:r>
      <w:r>
        <w:t xml:space="preserve">Approximate time needed to reproduce the analyses on a standard (2021) desktop machine is </w:t>
      </w:r>
      <w:r w:rsidR="00FB5BCA">
        <w:t>as follows:</w:t>
      </w:r>
    </w:p>
    <w:p w14:paraId="0C94B2CB" w14:textId="2152A619" w:rsidR="00FE40EF" w:rsidRDefault="00FB5BCA" w:rsidP="00FB5BCA">
      <w:pPr>
        <w:pStyle w:val="FirstParagraph"/>
        <w:numPr>
          <w:ilvl w:val="0"/>
          <w:numId w:val="15"/>
        </w:numPr>
        <w:jc w:val="both"/>
      </w:pPr>
      <w:r w:rsidRPr="0089342B">
        <w:rPr>
          <w:b/>
          <w:bCs/>
        </w:rPr>
        <w:t>ADH</w:t>
      </w:r>
      <w:r>
        <w:t xml:space="preserve">: 15 minutes. </w:t>
      </w:r>
      <w:r w:rsidRPr="0089342B">
        <w:rPr>
          <w:b/>
          <w:bCs/>
        </w:rPr>
        <w:t>Bartik (1991)</w:t>
      </w:r>
      <w:r>
        <w:t xml:space="preserve">: two days. </w:t>
      </w:r>
      <w:r w:rsidRPr="0089342B">
        <w:rPr>
          <w:b/>
          <w:bCs/>
        </w:rPr>
        <w:t>Monte Carlo</w:t>
      </w:r>
      <w:r>
        <w:t xml:space="preserve">: </w:t>
      </w:r>
      <w:r w:rsidR="0032657D">
        <w:t>one day</w:t>
      </w:r>
    </w:p>
    <w:p w14:paraId="683407D7" w14:textId="77777777" w:rsidR="00E50389" w:rsidRPr="008052C2" w:rsidRDefault="00E50389" w:rsidP="00E50389">
      <w:pPr>
        <w:pStyle w:val="BodyText"/>
        <w:rPr>
          <w:sz w:val="8"/>
          <w:szCs w:val="8"/>
        </w:rPr>
      </w:pPr>
    </w:p>
    <w:p w14:paraId="3F9BBFEE" w14:textId="303B65D2" w:rsidR="00FE40EF" w:rsidRDefault="008E35D5" w:rsidP="00CC5167">
      <w:pPr>
        <w:pStyle w:val="Heading2"/>
        <w:jc w:val="both"/>
      </w:pPr>
      <w:bookmarkStart w:id="2" w:name="instructions-to-replicators"/>
      <w:r>
        <w:lastRenderedPageBreak/>
        <w:t>Instructions to Replicators</w:t>
      </w:r>
      <w:bookmarkEnd w:id="2"/>
    </w:p>
    <w:p w14:paraId="71BE0273" w14:textId="0D83B21D" w:rsidR="00E768A4" w:rsidRPr="00E768A4" w:rsidRDefault="00E768A4" w:rsidP="00E768A4">
      <w:pPr>
        <w:pStyle w:val="FirstParagraph"/>
        <w:jc w:val="both"/>
      </w:pPr>
      <w:r>
        <w:t>We provide instructions separately for each subpackage.</w:t>
      </w:r>
    </w:p>
    <w:p w14:paraId="1F205530" w14:textId="5DD81570" w:rsidR="00FE40EF" w:rsidRPr="000F0C4F" w:rsidRDefault="002645F5" w:rsidP="002645F5">
      <w:pPr>
        <w:pStyle w:val="BlockText"/>
        <w:ind w:left="0"/>
        <w:jc w:val="both"/>
      </w:pPr>
      <w:r>
        <w:rPr>
          <w:b/>
        </w:rPr>
        <w:t>ADH</w:t>
      </w:r>
      <w:r w:rsidR="000F0C4F">
        <w:rPr>
          <w:b/>
        </w:rPr>
        <w:t xml:space="preserve"> </w:t>
      </w:r>
    </w:p>
    <w:p w14:paraId="3670D892" w14:textId="5ABB32D9" w:rsidR="00FE40EF" w:rsidRDefault="002645F5" w:rsidP="00710B77">
      <w:pPr>
        <w:numPr>
          <w:ilvl w:val="0"/>
          <w:numId w:val="7"/>
        </w:numPr>
        <w:spacing w:after="0"/>
        <w:ind w:left="950" w:hanging="475"/>
        <w:jc w:val="both"/>
      </w:pPr>
      <w:r>
        <w:t xml:space="preserve">Edit </w:t>
      </w:r>
      <w:r w:rsidR="00710B77">
        <w:t xml:space="preserve">both </w:t>
      </w:r>
      <w:r>
        <w:t xml:space="preserve">the </w:t>
      </w:r>
      <w:r w:rsidRPr="00710B77">
        <w:rPr>
          <w:i/>
        </w:rPr>
        <w:t xml:space="preserve">adh </w:t>
      </w:r>
      <w:r>
        <w:t xml:space="preserve">global in line 1 of </w:t>
      </w:r>
      <w:r w:rsidRPr="00710B77">
        <w:rPr>
          <w:i/>
        </w:rPr>
        <w:t>Code/master_adh.do</w:t>
      </w:r>
      <w:r>
        <w:t xml:space="preserve"> </w:t>
      </w:r>
      <w:r w:rsidR="0025672D">
        <w:t>and</w:t>
      </w:r>
      <w:r w:rsidR="00710B77">
        <w:t xml:space="preserve"> the</w:t>
      </w:r>
      <w:r w:rsidR="0025672D">
        <w:t xml:space="preserve"> </w:t>
      </w:r>
      <w:r w:rsidR="0025672D" w:rsidRPr="00710B77">
        <w:rPr>
          <w:i/>
          <w:iCs/>
        </w:rPr>
        <w:t>setwd()</w:t>
      </w:r>
      <w:r w:rsidR="0025672D">
        <w:t xml:space="preserve"> </w:t>
      </w:r>
      <w:r w:rsidR="00710B77">
        <w:t xml:space="preserve">command </w:t>
      </w:r>
      <w:r w:rsidR="0025672D">
        <w:t xml:space="preserve">in line 1 of </w:t>
      </w:r>
      <w:r w:rsidR="0025672D" w:rsidRPr="00710B77">
        <w:rPr>
          <w:i/>
        </w:rPr>
        <w:t xml:space="preserve">Code/TableC2_akm_se </w:t>
      </w:r>
      <w:r>
        <w:t>to the local directory</w:t>
      </w:r>
      <w:r w:rsidR="00710B77">
        <w:t>.</w:t>
      </w:r>
    </w:p>
    <w:p w14:paraId="4E17EBA9" w14:textId="4064FFED" w:rsidR="00FE40EF" w:rsidRDefault="002645F5" w:rsidP="00710B77">
      <w:pPr>
        <w:numPr>
          <w:ilvl w:val="0"/>
          <w:numId w:val="7"/>
        </w:numPr>
        <w:spacing w:after="0"/>
        <w:ind w:left="950" w:hanging="475"/>
        <w:jc w:val="both"/>
      </w:pPr>
      <w:r>
        <w:t xml:space="preserve">Run </w:t>
      </w:r>
      <w:r>
        <w:rPr>
          <w:i/>
        </w:rPr>
        <w:t xml:space="preserve">Code/master_adh.do </w:t>
      </w:r>
      <w:r>
        <w:t>in Stata.</w:t>
      </w:r>
      <w:r w:rsidR="00E17020">
        <w:t xml:space="preserve"> This will run the following programs:</w:t>
      </w:r>
    </w:p>
    <w:p w14:paraId="39CD20BF" w14:textId="4C75B9E6" w:rsidR="002645F5" w:rsidRDefault="002645F5" w:rsidP="00710B77">
      <w:pPr>
        <w:numPr>
          <w:ilvl w:val="1"/>
          <w:numId w:val="8"/>
        </w:numPr>
        <w:spacing w:after="0"/>
        <w:ind w:left="1670" w:hanging="475"/>
        <w:jc w:val="both"/>
      </w:pPr>
      <w:r>
        <w:rPr>
          <w:i/>
        </w:rPr>
        <w:t>Code/</w:t>
      </w:r>
      <w:r w:rsidR="00FA1AA6">
        <w:rPr>
          <w:i/>
        </w:rPr>
        <w:t>build_data</w:t>
      </w:r>
      <w:r>
        <w:rPr>
          <w:i/>
        </w:rPr>
        <w:t>.do</w:t>
      </w:r>
      <w:r>
        <w:rPr>
          <w:rStyle w:val="VerbatimChar"/>
        </w:rPr>
        <w:t xml:space="preserve"> </w:t>
      </w:r>
      <w:r w:rsidR="008E35D5">
        <w:t xml:space="preserve">will </w:t>
      </w:r>
      <w:r>
        <w:t>reconstruct the ADH analysis file</w:t>
      </w:r>
      <w:r w:rsidR="008E35D5">
        <w:t>.</w:t>
      </w:r>
    </w:p>
    <w:p w14:paraId="0D6E14A9" w14:textId="377A0EEE" w:rsidR="002645F5" w:rsidRDefault="002645F5" w:rsidP="00710B77">
      <w:pPr>
        <w:numPr>
          <w:ilvl w:val="1"/>
          <w:numId w:val="8"/>
        </w:numPr>
        <w:spacing w:after="0"/>
        <w:ind w:left="1670" w:hanging="475"/>
        <w:jc w:val="both"/>
      </w:pPr>
      <w:r>
        <w:rPr>
          <w:i/>
        </w:rPr>
        <w:t>Code/Transformation.do</w:t>
      </w:r>
      <w:r>
        <w:rPr>
          <w:rStyle w:val="VerbatimChar"/>
        </w:rPr>
        <w:t xml:space="preserve"> </w:t>
      </w:r>
      <w:r>
        <w:t>will convert the ADH analysis file into an industry-level file, following the numerical equivalence in the paper</w:t>
      </w:r>
      <w:r w:rsidR="00710B77">
        <w:t>.</w:t>
      </w:r>
    </w:p>
    <w:p w14:paraId="5513BFDE" w14:textId="17B19561" w:rsidR="002645F5" w:rsidRDefault="002645F5" w:rsidP="00710B77">
      <w:pPr>
        <w:numPr>
          <w:ilvl w:val="1"/>
          <w:numId w:val="8"/>
        </w:numPr>
        <w:spacing w:after="0"/>
        <w:ind w:left="1670" w:hanging="475"/>
      </w:pPr>
      <w:r>
        <w:rPr>
          <w:i/>
        </w:rPr>
        <w:t>Code/Table1.do</w:t>
      </w:r>
      <w:r>
        <w:t xml:space="preserve">, </w:t>
      </w:r>
      <w:r>
        <w:rPr>
          <w:i/>
        </w:rPr>
        <w:t>Code/Table2.do</w:t>
      </w:r>
      <w:r>
        <w:t>,</w:t>
      </w:r>
      <w:r w:rsidRPr="002645F5">
        <w:rPr>
          <w:i/>
        </w:rPr>
        <w:t xml:space="preserve"> </w:t>
      </w:r>
      <w:r>
        <w:rPr>
          <w:i/>
        </w:rPr>
        <w:t>Code/Table3.do</w:t>
      </w:r>
      <w:r>
        <w:t>,</w:t>
      </w:r>
      <w:r w:rsidRPr="002645F5">
        <w:rPr>
          <w:i/>
        </w:rPr>
        <w:t xml:space="preserve"> </w:t>
      </w:r>
      <w:r>
        <w:rPr>
          <w:i/>
        </w:rPr>
        <w:t>Code/Table4_C1_C2_C4.do</w:t>
      </w:r>
      <w:r>
        <w:t xml:space="preserve">, </w:t>
      </w:r>
      <w:r>
        <w:rPr>
          <w:i/>
        </w:rPr>
        <w:t>Code/TableC3.do</w:t>
      </w:r>
      <w:r>
        <w:t xml:space="preserve">, </w:t>
      </w:r>
      <w:r w:rsidRPr="002645F5">
        <w:rPr>
          <w:i/>
        </w:rPr>
        <w:t>Code/TableC51.do</w:t>
      </w:r>
      <w:r>
        <w:t xml:space="preserve">, </w:t>
      </w:r>
      <w:r>
        <w:rPr>
          <w:i/>
        </w:rPr>
        <w:t xml:space="preserve">Code/FigureC1.do </w:t>
      </w:r>
      <w:r>
        <w:t>will produce the corresponding tables and figures (except for the Adao et al. (2019) confidence intervals for Table C2)</w:t>
      </w:r>
      <w:r w:rsidR="00710B77">
        <w:t>.</w:t>
      </w:r>
    </w:p>
    <w:p w14:paraId="4B5EEBAC" w14:textId="05C425DF" w:rsidR="002645F5" w:rsidRDefault="002645F5" w:rsidP="00710B77">
      <w:pPr>
        <w:numPr>
          <w:ilvl w:val="1"/>
          <w:numId w:val="8"/>
        </w:numPr>
        <w:spacing w:after="0"/>
        <w:ind w:left="1670" w:hanging="475"/>
      </w:pPr>
      <w:r>
        <w:rPr>
          <w:i/>
        </w:rPr>
        <w:t xml:space="preserve">Code/export_to_r.do </w:t>
      </w:r>
      <w:r>
        <w:t xml:space="preserve">will </w:t>
      </w:r>
      <w:r w:rsidR="00FA1AA6">
        <w:t>prepare</w:t>
      </w:r>
      <w:r>
        <w:t xml:space="preserve"> data </w:t>
      </w:r>
      <w:r w:rsidR="00FA1AA6">
        <w:t>for the</w:t>
      </w:r>
      <w:r>
        <w:t xml:space="preserve"> R </w:t>
      </w:r>
      <w:r w:rsidR="00FA1AA6">
        <w:t>code</w:t>
      </w:r>
      <w:r w:rsidR="00710B77">
        <w:t>.</w:t>
      </w:r>
    </w:p>
    <w:p w14:paraId="1F65628F" w14:textId="490AE603" w:rsidR="00FE40EF" w:rsidRDefault="0025672D" w:rsidP="00101EC6">
      <w:pPr>
        <w:numPr>
          <w:ilvl w:val="0"/>
          <w:numId w:val="8"/>
        </w:numPr>
        <w:spacing w:after="120"/>
        <w:ind w:left="950" w:hanging="475"/>
        <w:jc w:val="both"/>
      </w:pPr>
      <w:r>
        <w:t xml:space="preserve">Run </w:t>
      </w:r>
      <w:r>
        <w:rPr>
          <w:i/>
        </w:rPr>
        <w:t>Code/TableC2_akm_se.R</w:t>
      </w:r>
      <w:r w:rsidR="002D27EF">
        <w:rPr>
          <w:iCs/>
        </w:rPr>
        <w:t xml:space="preserve"> </w:t>
      </w:r>
      <w:r w:rsidR="002645F5">
        <w:t>in R</w:t>
      </w:r>
      <w:r w:rsidR="008E35D5">
        <w:t>:</w:t>
      </w:r>
      <w:r w:rsidR="00290BD5">
        <w:t xml:space="preserve"> This will produce the Adao et al. (2019) confidence intervals for Table C2.</w:t>
      </w:r>
    </w:p>
    <w:p w14:paraId="7D12BB9E" w14:textId="6B7B538D" w:rsidR="00933011" w:rsidRPr="00101EC6" w:rsidRDefault="0025672D" w:rsidP="00101EC6">
      <w:pPr>
        <w:spacing w:after="300"/>
        <w:ind w:firstLine="475"/>
        <w:jc w:val="both"/>
      </w:pPr>
      <w:r>
        <w:t>This subpackage was last run top-to-bottom on February 4, 2021</w:t>
      </w:r>
      <w:r w:rsidR="00B422B8">
        <w:t>.</w:t>
      </w:r>
    </w:p>
    <w:p w14:paraId="7C61D182" w14:textId="2D7F05EA" w:rsidR="00416804" w:rsidRPr="00947200" w:rsidRDefault="00416804" w:rsidP="00061CDC">
      <w:pPr>
        <w:pStyle w:val="BlockText"/>
        <w:ind w:left="0"/>
        <w:jc w:val="both"/>
      </w:pPr>
      <w:r>
        <w:rPr>
          <w:b/>
        </w:rPr>
        <w:t>Bartik (1991)</w:t>
      </w:r>
    </w:p>
    <w:p w14:paraId="680ADE5A" w14:textId="572FDD65" w:rsidR="00710B77" w:rsidRDefault="007D4730" w:rsidP="00710B77">
      <w:pPr>
        <w:pStyle w:val="ListParagraph"/>
        <w:numPr>
          <w:ilvl w:val="0"/>
          <w:numId w:val="22"/>
        </w:numPr>
        <w:ind w:left="810"/>
        <w:jc w:val="both"/>
      </w:pPr>
      <w:r>
        <w:t xml:space="preserve">Edit the </w:t>
      </w:r>
      <w:r w:rsidRPr="00710B77">
        <w:rPr>
          <w:i/>
        </w:rPr>
        <w:t xml:space="preserve">main </w:t>
      </w:r>
      <w:r>
        <w:t xml:space="preserve">global in line 1 of </w:t>
      </w:r>
      <w:r w:rsidRPr="00710B77">
        <w:rPr>
          <w:i/>
        </w:rPr>
        <w:t>Code/master_barik1991.do</w:t>
      </w:r>
      <w:r>
        <w:t xml:space="preserve"> to the local directory</w:t>
      </w:r>
    </w:p>
    <w:p w14:paraId="23118B2C" w14:textId="03D19F72" w:rsidR="00710B77" w:rsidRDefault="00710B77" w:rsidP="00710B77">
      <w:pPr>
        <w:pStyle w:val="ListParagraph"/>
        <w:numPr>
          <w:ilvl w:val="0"/>
          <w:numId w:val="22"/>
        </w:numPr>
        <w:ind w:left="810"/>
        <w:jc w:val="both"/>
      </w:pPr>
      <w:r>
        <w:t xml:space="preserve">Run </w:t>
      </w:r>
      <w:r>
        <w:rPr>
          <w:i/>
        </w:rPr>
        <w:t xml:space="preserve">Code/master_barik1991.do </w:t>
      </w:r>
      <w:r>
        <w:t>in Stata.</w:t>
      </w:r>
      <w:r w:rsidR="00E17020">
        <w:t xml:space="preserve"> This will run the following programs:</w:t>
      </w:r>
    </w:p>
    <w:p w14:paraId="7D6005DE" w14:textId="58F9273D" w:rsidR="007D4730" w:rsidRDefault="007D4730" w:rsidP="00E17020">
      <w:pPr>
        <w:numPr>
          <w:ilvl w:val="1"/>
          <w:numId w:val="8"/>
        </w:numPr>
        <w:spacing w:after="0"/>
        <w:ind w:left="1670" w:hanging="475"/>
      </w:pPr>
      <w:r>
        <w:rPr>
          <w:i/>
        </w:rPr>
        <w:t>Code/create_bartik_data.do</w:t>
      </w:r>
      <w:r w:rsidR="001C332A">
        <w:rPr>
          <w:iCs/>
        </w:rPr>
        <w:t xml:space="preserve">, </w:t>
      </w:r>
      <w:r w:rsidR="001C332A">
        <w:rPr>
          <w:i/>
        </w:rPr>
        <w:t>Code/make_input_bar.do</w:t>
      </w:r>
      <w:r w:rsidR="001C332A">
        <w:rPr>
          <w:rStyle w:val="VerbatimChar"/>
        </w:rPr>
        <w:t xml:space="preserve">, and </w:t>
      </w:r>
      <w:r w:rsidR="001C332A">
        <w:rPr>
          <w:i/>
        </w:rPr>
        <w:t>Code/prepare_gpss_data.do</w:t>
      </w:r>
      <w:r w:rsidR="001C332A">
        <w:t xml:space="preserve"> will </w:t>
      </w:r>
      <w:r>
        <w:t>create t</w:t>
      </w:r>
      <w:r w:rsidR="001C332A">
        <w:t xml:space="preserve">hree </w:t>
      </w:r>
      <w:r>
        <w:t xml:space="preserve">intermediate </w:t>
      </w:r>
      <w:r w:rsidR="001C332A">
        <w:t>data</w:t>
      </w:r>
      <w:r w:rsidR="00D3305E">
        <w:t xml:space="preserve"> </w:t>
      </w:r>
      <w:r w:rsidR="001C332A">
        <w:t>files and one final analysis file.</w:t>
      </w:r>
    </w:p>
    <w:p w14:paraId="6AC690E2" w14:textId="77777777" w:rsidR="001C332A" w:rsidRPr="001C332A" w:rsidRDefault="001C332A" w:rsidP="00101EC6">
      <w:pPr>
        <w:numPr>
          <w:ilvl w:val="1"/>
          <w:numId w:val="8"/>
        </w:numPr>
        <w:spacing w:after="120"/>
        <w:ind w:left="1670" w:hanging="475"/>
        <w:jc w:val="both"/>
      </w:pPr>
      <w:r>
        <w:rPr>
          <w:i/>
        </w:rPr>
        <w:t xml:space="preserve">Code/Table_C6.do </w:t>
      </w:r>
      <w:r>
        <w:t xml:space="preserve">will create Table C6.  </w:t>
      </w:r>
    </w:p>
    <w:p w14:paraId="18E47C3B" w14:textId="3918D1D4" w:rsidR="00732898" w:rsidRPr="00101EC6" w:rsidRDefault="00732898" w:rsidP="00101EC6">
      <w:pPr>
        <w:spacing w:after="300"/>
        <w:ind w:firstLine="475"/>
        <w:jc w:val="both"/>
      </w:pPr>
      <w:r>
        <w:t>This subpackage was last run top-to-bottom on February 4-5, 2021.</w:t>
      </w:r>
    </w:p>
    <w:p w14:paraId="4214A3DE" w14:textId="561FB15F" w:rsidR="00416804" w:rsidRPr="002645F5" w:rsidRDefault="00416804" w:rsidP="00061CDC">
      <w:pPr>
        <w:pStyle w:val="BlockText"/>
        <w:ind w:left="0"/>
        <w:jc w:val="both"/>
        <w:rPr>
          <w:b/>
        </w:rPr>
      </w:pPr>
      <w:r>
        <w:rPr>
          <w:b/>
        </w:rPr>
        <w:t>Monte Carlo</w:t>
      </w:r>
    </w:p>
    <w:p w14:paraId="4D4C018C" w14:textId="42367D40" w:rsidR="00961140" w:rsidRDefault="00961140" w:rsidP="00E17020">
      <w:pPr>
        <w:pStyle w:val="ListParagraph"/>
        <w:numPr>
          <w:ilvl w:val="0"/>
          <w:numId w:val="23"/>
        </w:numPr>
        <w:ind w:left="810"/>
        <w:jc w:val="both"/>
      </w:pPr>
      <w:r>
        <w:t xml:space="preserve">Edit the </w:t>
      </w:r>
      <w:r w:rsidRPr="00E17020">
        <w:rPr>
          <w:i/>
        </w:rPr>
        <w:t xml:space="preserve">main </w:t>
      </w:r>
      <w:r>
        <w:t xml:space="preserve">global in line 1 of </w:t>
      </w:r>
      <w:r w:rsidRPr="00E17020">
        <w:rPr>
          <w:i/>
        </w:rPr>
        <w:t>Code/master_</w:t>
      </w:r>
      <w:r w:rsidR="00A45DDB" w:rsidRPr="00E17020">
        <w:rPr>
          <w:i/>
        </w:rPr>
        <w:t>montecarlo</w:t>
      </w:r>
      <w:r w:rsidRPr="00E17020">
        <w:rPr>
          <w:i/>
        </w:rPr>
        <w:t>.do</w:t>
      </w:r>
      <w:r w:rsidR="00A45DDB">
        <w:t xml:space="preserve"> </w:t>
      </w:r>
      <w:r w:rsidR="00A45DDB" w:rsidRPr="00E17020">
        <w:rPr>
          <w:iCs/>
        </w:rPr>
        <w:t xml:space="preserve">and </w:t>
      </w:r>
      <w:r w:rsidR="00E17020">
        <w:rPr>
          <w:iCs/>
        </w:rPr>
        <w:t xml:space="preserve">the </w:t>
      </w:r>
      <w:r w:rsidR="00A45DDB" w:rsidRPr="00E17020">
        <w:rPr>
          <w:i/>
        </w:rPr>
        <w:t xml:space="preserve">setwd() </w:t>
      </w:r>
      <w:r w:rsidR="00E17020">
        <w:rPr>
          <w:iCs/>
        </w:rPr>
        <w:t xml:space="preserve">commands </w:t>
      </w:r>
      <w:r w:rsidR="00A45DDB" w:rsidRPr="00E17020">
        <w:rPr>
          <w:iCs/>
        </w:rPr>
        <w:t xml:space="preserve">in line 2 of </w:t>
      </w:r>
      <w:r w:rsidR="00A45DDB" w:rsidRPr="00E17020">
        <w:rPr>
          <w:i/>
        </w:rPr>
        <w:t>Code/TableC8_gen_data</w:t>
      </w:r>
      <w:r w:rsidR="00E17020">
        <w:rPr>
          <w:i/>
        </w:rPr>
        <w:t>.R</w:t>
      </w:r>
      <w:r w:rsidR="00A45DDB" w:rsidRPr="00E17020">
        <w:rPr>
          <w:i/>
        </w:rPr>
        <w:t xml:space="preserve"> </w:t>
      </w:r>
      <w:r w:rsidR="00E17020" w:rsidRPr="00E17020">
        <w:rPr>
          <w:iCs/>
        </w:rPr>
        <w:t>and</w:t>
      </w:r>
      <w:r w:rsidR="00E17020">
        <w:rPr>
          <w:i/>
        </w:rPr>
        <w:t xml:space="preserve"> </w:t>
      </w:r>
      <w:r w:rsidR="00E17020" w:rsidRPr="00E17020">
        <w:rPr>
          <w:i/>
        </w:rPr>
        <w:t>Code/TableC7.R</w:t>
      </w:r>
      <w:r w:rsidR="00E17020">
        <w:rPr>
          <w:iCs/>
        </w:rPr>
        <w:t xml:space="preserve"> </w:t>
      </w:r>
      <w:r w:rsidR="00A45DDB">
        <w:t xml:space="preserve">to the local directory. </w:t>
      </w:r>
      <w:r w:rsidR="00FA1AA6">
        <w:t>Make sure that the ADH replication folder is available in</w:t>
      </w:r>
      <w:r w:rsidR="00E17020">
        <w:t xml:space="preserve"> </w:t>
      </w:r>
      <w:r w:rsidR="00FA1AA6">
        <w:t xml:space="preserve"> </w:t>
      </w:r>
      <w:r w:rsidR="00FA1AA6" w:rsidRPr="00E17020">
        <w:rPr>
          <w:i/>
          <w:iCs/>
        </w:rPr>
        <w:t>../ADH</w:t>
      </w:r>
      <w:r w:rsidR="00FA1AA6">
        <w:t>.</w:t>
      </w:r>
    </w:p>
    <w:p w14:paraId="77E43272" w14:textId="0B4C91AB" w:rsidR="00961140" w:rsidRDefault="00E17020" w:rsidP="00E17020">
      <w:pPr>
        <w:pStyle w:val="ListParagraph"/>
        <w:numPr>
          <w:ilvl w:val="0"/>
          <w:numId w:val="23"/>
        </w:numPr>
        <w:ind w:left="810"/>
        <w:jc w:val="both"/>
      </w:pPr>
      <w:r>
        <w:t xml:space="preserve">Run </w:t>
      </w:r>
      <w:r w:rsidRPr="00E17020">
        <w:rPr>
          <w:i/>
        </w:rPr>
        <w:t>Code/master_montecarlo.do</w:t>
      </w:r>
      <w:r>
        <w:rPr>
          <w:i/>
        </w:rPr>
        <w:t xml:space="preserve"> </w:t>
      </w:r>
      <w:r>
        <w:rPr>
          <w:iCs/>
        </w:rPr>
        <w:t>in Stata up to the “stop” command. This will run the following programs:</w:t>
      </w:r>
    </w:p>
    <w:p w14:paraId="08703069" w14:textId="5C1176A4" w:rsidR="00961140" w:rsidRPr="00E768A4" w:rsidRDefault="00961140" w:rsidP="00E17020">
      <w:pPr>
        <w:numPr>
          <w:ilvl w:val="1"/>
          <w:numId w:val="8"/>
        </w:numPr>
        <w:spacing w:after="0"/>
        <w:ind w:left="1670" w:hanging="475"/>
        <w:rPr>
          <w:iCs/>
        </w:rPr>
      </w:pPr>
      <w:r>
        <w:rPr>
          <w:i/>
        </w:rPr>
        <w:t>Code/</w:t>
      </w:r>
      <w:r w:rsidR="00F127C0">
        <w:rPr>
          <w:i/>
        </w:rPr>
        <w:t>import_aadhp</w:t>
      </w:r>
      <w:r>
        <w:rPr>
          <w:i/>
        </w:rPr>
        <w:t>.d</w:t>
      </w:r>
      <w:r w:rsidR="00F127C0">
        <w:rPr>
          <w:i/>
        </w:rPr>
        <w:t xml:space="preserve">o </w:t>
      </w:r>
      <w:r w:rsidRPr="00E768A4">
        <w:rPr>
          <w:iCs/>
        </w:rPr>
        <w:t xml:space="preserve">will </w:t>
      </w:r>
      <w:r w:rsidR="00D06F94" w:rsidRPr="00E768A4">
        <w:rPr>
          <w:iCs/>
        </w:rPr>
        <w:t>create an intermediate analysis file based on Acemoglu et al. (2016)</w:t>
      </w:r>
      <w:r w:rsidRPr="00E768A4">
        <w:rPr>
          <w:iCs/>
        </w:rPr>
        <w:t>.</w:t>
      </w:r>
    </w:p>
    <w:p w14:paraId="52FDDC53" w14:textId="250D4C4E" w:rsidR="00961140" w:rsidRPr="00E768A4" w:rsidRDefault="00D06F94" w:rsidP="00E17020">
      <w:pPr>
        <w:numPr>
          <w:ilvl w:val="1"/>
          <w:numId w:val="8"/>
        </w:numPr>
        <w:spacing w:after="0"/>
        <w:ind w:left="1670" w:hanging="475"/>
        <w:rPr>
          <w:iCs/>
        </w:rPr>
      </w:pPr>
      <w:r w:rsidRPr="00D06F94">
        <w:rPr>
          <w:i/>
        </w:rPr>
        <w:t>Code/adh_aggregate_sic3.do</w:t>
      </w:r>
      <w:r>
        <w:rPr>
          <w:i/>
        </w:rPr>
        <w:t xml:space="preserve"> </w:t>
      </w:r>
      <w:r w:rsidRPr="00E768A4">
        <w:rPr>
          <w:iCs/>
        </w:rPr>
        <w:t>and</w:t>
      </w:r>
      <w:r w:rsidRPr="00E17020">
        <w:rPr>
          <w:i/>
        </w:rPr>
        <w:t xml:space="preserve"> </w:t>
      </w:r>
      <w:r w:rsidRPr="00D06F94">
        <w:rPr>
          <w:i/>
        </w:rPr>
        <w:t>Code/adh_aggregate_sic2.do</w:t>
      </w:r>
      <w:r w:rsidRPr="00E17020">
        <w:rPr>
          <w:i/>
        </w:rPr>
        <w:t xml:space="preserve"> </w:t>
      </w:r>
      <w:r w:rsidR="00961140" w:rsidRPr="00E768A4">
        <w:rPr>
          <w:iCs/>
        </w:rPr>
        <w:t xml:space="preserve">will </w:t>
      </w:r>
      <w:r w:rsidR="00CC6005" w:rsidRPr="00E768A4">
        <w:rPr>
          <w:iCs/>
        </w:rPr>
        <w:t>create intermediate analysis files based on ADH.</w:t>
      </w:r>
      <w:r w:rsidR="00961140" w:rsidRPr="00E768A4">
        <w:rPr>
          <w:iCs/>
        </w:rPr>
        <w:t xml:space="preserve"> </w:t>
      </w:r>
    </w:p>
    <w:p w14:paraId="68A4ACC4" w14:textId="2D87AC85" w:rsidR="00784429" w:rsidRPr="00E17020" w:rsidRDefault="00961140" w:rsidP="00E17020">
      <w:pPr>
        <w:numPr>
          <w:ilvl w:val="1"/>
          <w:numId w:val="8"/>
        </w:numPr>
        <w:spacing w:after="0"/>
        <w:ind w:left="1670" w:hanging="475"/>
        <w:rPr>
          <w:i/>
        </w:rPr>
      </w:pPr>
      <w:r>
        <w:rPr>
          <w:i/>
        </w:rPr>
        <w:t>Code/</w:t>
      </w:r>
      <w:r w:rsidR="00784429">
        <w:rPr>
          <w:i/>
        </w:rPr>
        <w:t>export_data.do</w:t>
      </w:r>
      <w:r w:rsidRPr="00E17020">
        <w:rPr>
          <w:i/>
        </w:rPr>
        <w:t xml:space="preserve"> will produce the final analysis file.</w:t>
      </w:r>
    </w:p>
    <w:p w14:paraId="6C445179" w14:textId="421DABC4" w:rsidR="00784429" w:rsidRPr="00784429" w:rsidRDefault="00784429" w:rsidP="00E17020">
      <w:pPr>
        <w:pStyle w:val="ListParagraph"/>
        <w:numPr>
          <w:ilvl w:val="0"/>
          <w:numId w:val="23"/>
        </w:numPr>
        <w:ind w:left="810"/>
        <w:jc w:val="both"/>
      </w:pPr>
      <w:r>
        <w:t xml:space="preserve">Run </w:t>
      </w:r>
      <w:r>
        <w:rPr>
          <w:i/>
        </w:rPr>
        <w:t xml:space="preserve">Code/TableC7.R </w:t>
      </w:r>
      <w:r>
        <w:t>in R. This will create Table C7</w:t>
      </w:r>
      <w:r>
        <w:rPr>
          <w:i/>
        </w:rPr>
        <w:t>.</w:t>
      </w:r>
    </w:p>
    <w:p w14:paraId="71AE8E5E" w14:textId="2EA27C9C" w:rsidR="00784429" w:rsidRPr="00CD044D" w:rsidRDefault="00784429" w:rsidP="00E17020">
      <w:pPr>
        <w:pStyle w:val="ListParagraph"/>
        <w:numPr>
          <w:ilvl w:val="0"/>
          <w:numId w:val="23"/>
        </w:numPr>
        <w:ind w:left="810"/>
        <w:jc w:val="both"/>
      </w:pPr>
      <w:r>
        <w:t xml:space="preserve">Run </w:t>
      </w:r>
      <w:r>
        <w:rPr>
          <w:i/>
        </w:rPr>
        <w:t>Code/TableC8</w:t>
      </w:r>
      <w:r w:rsidR="00824B1D">
        <w:rPr>
          <w:i/>
        </w:rPr>
        <w:t>_gen_data</w:t>
      </w:r>
      <w:r>
        <w:rPr>
          <w:i/>
        </w:rPr>
        <w:t xml:space="preserve">.R </w:t>
      </w:r>
      <w:r>
        <w:t xml:space="preserve">in R. This will create </w:t>
      </w:r>
      <w:r w:rsidR="00824B1D">
        <w:t xml:space="preserve">the data for </w:t>
      </w:r>
      <w:r>
        <w:t>Table C8</w:t>
      </w:r>
      <w:r>
        <w:rPr>
          <w:i/>
        </w:rPr>
        <w:t>.</w:t>
      </w:r>
    </w:p>
    <w:p w14:paraId="220A925A" w14:textId="46C5DE1A" w:rsidR="00CD044D" w:rsidRPr="00784429" w:rsidRDefault="00E768A4" w:rsidP="00101EC6">
      <w:pPr>
        <w:pStyle w:val="ListParagraph"/>
        <w:numPr>
          <w:ilvl w:val="0"/>
          <w:numId w:val="23"/>
        </w:numPr>
        <w:spacing w:after="120"/>
        <w:ind w:left="806"/>
        <w:jc w:val="both"/>
      </w:pPr>
      <w:r>
        <w:rPr>
          <w:iCs/>
        </w:rPr>
        <w:t xml:space="preserve">Run the remaining part of </w:t>
      </w:r>
      <w:r w:rsidRPr="00E17020">
        <w:rPr>
          <w:i/>
        </w:rPr>
        <w:t>Code/master_montecarlo.do</w:t>
      </w:r>
      <w:r>
        <w:rPr>
          <w:i/>
        </w:rPr>
        <w:t xml:space="preserve"> </w:t>
      </w:r>
      <w:r>
        <w:rPr>
          <w:iCs/>
        </w:rPr>
        <w:t>after the “stop” command.</w:t>
      </w:r>
      <w:r w:rsidR="008052C2">
        <w:rPr>
          <w:iCs/>
        </w:rPr>
        <w:t xml:space="preserve"> This will </w:t>
      </w:r>
      <w:r w:rsidR="00424B04">
        <w:rPr>
          <w:iCs/>
        </w:rPr>
        <w:t xml:space="preserve">run </w:t>
      </w:r>
      <w:r w:rsidR="00CD044D">
        <w:rPr>
          <w:i/>
        </w:rPr>
        <w:t>Code/TableC8.do</w:t>
      </w:r>
      <w:r w:rsidR="008052C2">
        <w:rPr>
          <w:iCs/>
        </w:rPr>
        <w:t>, which creates</w:t>
      </w:r>
      <w:r w:rsidR="00CD044D">
        <w:rPr>
          <w:iCs/>
        </w:rPr>
        <w:t xml:space="preserve"> Table C8.</w:t>
      </w:r>
    </w:p>
    <w:p w14:paraId="75384FB8" w14:textId="03E00416" w:rsidR="00FE40EF" w:rsidRDefault="00961140" w:rsidP="008052C2">
      <w:pPr>
        <w:ind w:firstLine="480"/>
        <w:jc w:val="both"/>
      </w:pPr>
      <w:r>
        <w:t xml:space="preserve">This subpackage was last run top-to-bottom on February </w:t>
      </w:r>
      <w:r w:rsidR="00E17020">
        <w:t>5-6</w:t>
      </w:r>
      <w:r>
        <w:t>, 2021.</w:t>
      </w:r>
    </w:p>
    <w:p w14:paraId="07D44952" w14:textId="295F8579" w:rsidR="00FE40EF" w:rsidRDefault="008E35D5" w:rsidP="00AE4BCB">
      <w:pPr>
        <w:pStyle w:val="Heading2"/>
        <w:jc w:val="both"/>
      </w:pPr>
      <w:bookmarkStart w:id="3" w:name="list-of-tables-and-programs"/>
      <w:r>
        <w:lastRenderedPageBreak/>
        <w:t xml:space="preserve">List of </w:t>
      </w:r>
      <w:r w:rsidR="002C3E5E">
        <w:t>T</w:t>
      </w:r>
      <w:r>
        <w:t xml:space="preserve">ables and </w:t>
      </w:r>
      <w:r w:rsidR="002C3E5E">
        <w:t>P</w:t>
      </w:r>
      <w:r>
        <w:t>rograms</w:t>
      </w:r>
      <w:bookmarkEnd w:id="3"/>
    </w:p>
    <w:tbl>
      <w:tblPr>
        <w:tblStyle w:val="Table"/>
        <w:tblW w:w="5120" w:type="pct"/>
        <w:tblLook w:val="07E0" w:firstRow="1" w:lastRow="1" w:firstColumn="1" w:lastColumn="1" w:noHBand="1" w:noVBand="1"/>
      </w:tblPr>
      <w:tblGrid>
        <w:gridCol w:w="1571"/>
        <w:gridCol w:w="3524"/>
        <w:gridCol w:w="830"/>
        <w:gridCol w:w="3881"/>
      </w:tblGrid>
      <w:tr w:rsidR="000D033E" w14:paraId="7F0BEFAA" w14:textId="77777777" w:rsidTr="00D06F94">
        <w:tc>
          <w:tcPr>
            <w:tcW w:w="801" w:type="pct"/>
            <w:tcBorders>
              <w:bottom w:val="single" w:sz="0" w:space="0" w:color="auto"/>
            </w:tcBorders>
            <w:vAlign w:val="bottom"/>
          </w:tcPr>
          <w:p w14:paraId="760D70F4" w14:textId="77777777" w:rsidR="00AE4BCB" w:rsidRDefault="00AE4BCB" w:rsidP="00CC5167">
            <w:pPr>
              <w:pStyle w:val="Compact"/>
              <w:jc w:val="both"/>
            </w:pPr>
            <w:r>
              <w:t>Figure/Table #</w:t>
            </w:r>
          </w:p>
        </w:tc>
        <w:tc>
          <w:tcPr>
            <w:tcW w:w="1797" w:type="pct"/>
            <w:tcBorders>
              <w:bottom w:val="single" w:sz="0" w:space="0" w:color="auto"/>
            </w:tcBorders>
            <w:vAlign w:val="bottom"/>
          </w:tcPr>
          <w:p w14:paraId="7CB33A3F" w14:textId="77777777" w:rsidR="00AE4BCB" w:rsidRDefault="00AE4BCB" w:rsidP="00CC5167">
            <w:pPr>
              <w:pStyle w:val="Compact"/>
              <w:jc w:val="both"/>
            </w:pPr>
            <w:r>
              <w:t>Program</w:t>
            </w:r>
          </w:p>
        </w:tc>
        <w:tc>
          <w:tcPr>
            <w:tcW w:w="423" w:type="pct"/>
            <w:tcBorders>
              <w:bottom w:val="single" w:sz="0" w:space="0" w:color="auto"/>
            </w:tcBorders>
            <w:vAlign w:val="bottom"/>
          </w:tcPr>
          <w:p w14:paraId="02CE7B9A" w14:textId="07C56D1B" w:rsidR="00AE4BCB" w:rsidRDefault="00AE4BCB" w:rsidP="00AE4BCB">
            <w:pPr>
              <w:pStyle w:val="Compact"/>
              <w:jc w:val="both"/>
            </w:pPr>
            <w:r>
              <w:t>Line #</w:t>
            </w:r>
          </w:p>
        </w:tc>
        <w:tc>
          <w:tcPr>
            <w:tcW w:w="1979" w:type="pct"/>
            <w:tcBorders>
              <w:bottom w:val="single" w:sz="0" w:space="0" w:color="auto"/>
            </w:tcBorders>
            <w:vAlign w:val="bottom"/>
          </w:tcPr>
          <w:p w14:paraId="46686809" w14:textId="77777777" w:rsidR="00AE4BCB" w:rsidRDefault="00AE4BCB" w:rsidP="00CC5167">
            <w:pPr>
              <w:pStyle w:val="Compact"/>
              <w:jc w:val="both"/>
            </w:pPr>
            <w:r>
              <w:t>Output file</w:t>
            </w:r>
          </w:p>
        </w:tc>
      </w:tr>
      <w:tr w:rsidR="000D033E" w14:paraId="740B4BF3" w14:textId="77777777" w:rsidTr="00D06F94">
        <w:tc>
          <w:tcPr>
            <w:tcW w:w="801" w:type="pct"/>
          </w:tcPr>
          <w:p w14:paraId="07F63D14" w14:textId="77777777" w:rsidR="00AE4BCB" w:rsidRDefault="00AE4BCB" w:rsidP="008212E0">
            <w:pPr>
              <w:pStyle w:val="Compact"/>
            </w:pPr>
            <w:r>
              <w:t>Table 1</w:t>
            </w:r>
          </w:p>
        </w:tc>
        <w:tc>
          <w:tcPr>
            <w:tcW w:w="1797" w:type="pct"/>
          </w:tcPr>
          <w:p w14:paraId="0C91E689" w14:textId="618DDEA8" w:rsidR="00AE4BCB" w:rsidRPr="003F3318" w:rsidRDefault="001261E5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ADH/Code</w:t>
            </w:r>
            <w:r w:rsidR="00AE4BCB" w:rsidRPr="003F3318">
              <w:rPr>
                <w:i/>
                <w:iCs/>
              </w:rPr>
              <w:t>/</w:t>
            </w:r>
            <w:r w:rsidRPr="003F3318">
              <w:rPr>
                <w:i/>
                <w:iCs/>
              </w:rPr>
              <w:t>T</w:t>
            </w:r>
            <w:r w:rsidR="00AE4BCB" w:rsidRPr="003F3318">
              <w:rPr>
                <w:i/>
                <w:iCs/>
              </w:rPr>
              <w:t>able1.do</w:t>
            </w:r>
          </w:p>
        </w:tc>
        <w:tc>
          <w:tcPr>
            <w:tcW w:w="423" w:type="pct"/>
          </w:tcPr>
          <w:p w14:paraId="5445C712" w14:textId="2B273EB8" w:rsidR="00AE4BCB" w:rsidRDefault="001261E5" w:rsidP="008212E0">
            <w:pPr>
              <w:ind w:right="215"/>
            </w:pPr>
            <w:r>
              <w:t>115</w:t>
            </w:r>
          </w:p>
        </w:tc>
        <w:tc>
          <w:tcPr>
            <w:tcW w:w="1979" w:type="pct"/>
          </w:tcPr>
          <w:p w14:paraId="13F2EB50" w14:textId="56BBA995" w:rsidR="00AE4BCB" w:rsidRPr="003F3318" w:rsidRDefault="000D033E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</w:t>
            </w:r>
            <w:r w:rsidR="001261E5" w:rsidRPr="003F3318">
              <w:rPr>
                <w:i/>
                <w:iCs/>
              </w:rPr>
              <w:t>Results/Table1.dta</w:t>
            </w:r>
          </w:p>
        </w:tc>
      </w:tr>
      <w:tr w:rsidR="000D033E" w14:paraId="604BD597" w14:textId="77777777" w:rsidTr="00D06F94">
        <w:tc>
          <w:tcPr>
            <w:tcW w:w="801" w:type="pct"/>
          </w:tcPr>
          <w:p w14:paraId="706D8E6E" w14:textId="77777777" w:rsidR="00AE4BCB" w:rsidRDefault="00AE4BCB" w:rsidP="008212E0">
            <w:pPr>
              <w:pStyle w:val="Compact"/>
            </w:pPr>
            <w:r>
              <w:t>Table 2</w:t>
            </w:r>
          </w:p>
        </w:tc>
        <w:tc>
          <w:tcPr>
            <w:tcW w:w="1797" w:type="pct"/>
          </w:tcPr>
          <w:p w14:paraId="35FDF431" w14:textId="3F750514" w:rsidR="00AE4BCB" w:rsidRPr="003F3318" w:rsidRDefault="005723C9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ADH/Code/Table2.do</w:t>
            </w:r>
          </w:p>
        </w:tc>
        <w:tc>
          <w:tcPr>
            <w:tcW w:w="423" w:type="pct"/>
          </w:tcPr>
          <w:p w14:paraId="6A8DDABC" w14:textId="6F748007" w:rsidR="00AE4BCB" w:rsidRDefault="005723C9" w:rsidP="008212E0">
            <w:pPr>
              <w:pStyle w:val="Compact"/>
            </w:pPr>
            <w:r>
              <w:t>15</w:t>
            </w:r>
          </w:p>
        </w:tc>
        <w:tc>
          <w:tcPr>
            <w:tcW w:w="1979" w:type="pct"/>
          </w:tcPr>
          <w:p w14:paraId="5F0D3D74" w14:textId="40FB6A35" w:rsidR="00AE4BCB" w:rsidRPr="003F3318" w:rsidRDefault="000D033E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</w:t>
            </w:r>
            <w:r w:rsidR="00932429" w:rsidRPr="003F3318">
              <w:rPr>
                <w:i/>
                <w:iCs/>
              </w:rPr>
              <w:t>Results/Table2.s</w:t>
            </w:r>
            <w:r w:rsidR="005723C9" w:rsidRPr="003F3318">
              <w:rPr>
                <w:i/>
                <w:iCs/>
              </w:rPr>
              <w:t>m</w:t>
            </w:r>
            <w:r w:rsidR="00932429" w:rsidRPr="003F3318">
              <w:rPr>
                <w:i/>
                <w:iCs/>
              </w:rPr>
              <w:t>c</w:t>
            </w:r>
            <w:r w:rsidR="005723C9" w:rsidRPr="003F3318">
              <w:rPr>
                <w:i/>
                <w:iCs/>
              </w:rPr>
              <w:t>l</w:t>
            </w:r>
          </w:p>
        </w:tc>
      </w:tr>
      <w:tr w:rsidR="000D033E" w14:paraId="5FA75615" w14:textId="77777777" w:rsidTr="00D06F94">
        <w:tc>
          <w:tcPr>
            <w:tcW w:w="801" w:type="pct"/>
          </w:tcPr>
          <w:p w14:paraId="584DEAAE" w14:textId="77777777" w:rsidR="00AE4BCB" w:rsidRDefault="00AE4BCB" w:rsidP="008212E0">
            <w:pPr>
              <w:pStyle w:val="Compact"/>
            </w:pPr>
            <w:r>
              <w:t>Table 3</w:t>
            </w:r>
          </w:p>
        </w:tc>
        <w:tc>
          <w:tcPr>
            <w:tcW w:w="1797" w:type="pct"/>
          </w:tcPr>
          <w:p w14:paraId="4030F379" w14:textId="47BCC120" w:rsidR="00AE4BCB" w:rsidRPr="003F3318" w:rsidRDefault="00E8446C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ADH/Code/Table3.do</w:t>
            </w:r>
          </w:p>
        </w:tc>
        <w:tc>
          <w:tcPr>
            <w:tcW w:w="423" w:type="pct"/>
          </w:tcPr>
          <w:p w14:paraId="30F92FC4" w14:textId="42B1707F" w:rsidR="00AE4BCB" w:rsidRDefault="00E8446C" w:rsidP="008212E0">
            <w:pPr>
              <w:pStyle w:val="Compact"/>
            </w:pPr>
            <w:r>
              <w:t>15-16, 46-47</w:t>
            </w:r>
          </w:p>
        </w:tc>
        <w:tc>
          <w:tcPr>
            <w:tcW w:w="1979" w:type="pct"/>
          </w:tcPr>
          <w:p w14:paraId="62AA3EA1" w14:textId="1BA0A700" w:rsidR="00AE4BCB" w:rsidRPr="003F3318" w:rsidRDefault="000D033E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</w:t>
            </w:r>
            <w:r w:rsidR="00E8446C" w:rsidRPr="003F3318">
              <w:rPr>
                <w:i/>
                <w:iCs/>
              </w:rPr>
              <w:t>Results/Table3A.</w:t>
            </w:r>
            <w:r w:rsidR="00AE4BCB" w:rsidRPr="003F3318">
              <w:rPr>
                <w:i/>
                <w:iCs/>
              </w:rPr>
              <w:t>csv</w:t>
            </w:r>
            <w:r w:rsidR="00E8446C" w:rsidRPr="003F3318">
              <w:rPr>
                <w:i/>
                <w:iCs/>
              </w:rPr>
              <w:t xml:space="preserve">, </w:t>
            </w:r>
            <w:r w:rsidRPr="003F3318">
              <w:rPr>
                <w:i/>
                <w:iCs/>
              </w:rPr>
              <w:t>ADH/</w:t>
            </w:r>
            <w:r w:rsidR="00E8446C" w:rsidRPr="003F3318">
              <w:rPr>
                <w:i/>
                <w:iCs/>
              </w:rPr>
              <w:t>Results/Table3B.csv</w:t>
            </w:r>
          </w:p>
        </w:tc>
      </w:tr>
      <w:tr w:rsidR="000D033E" w14:paraId="672C3187" w14:textId="77777777" w:rsidTr="00D06F94">
        <w:tc>
          <w:tcPr>
            <w:tcW w:w="801" w:type="pct"/>
          </w:tcPr>
          <w:p w14:paraId="319E3B85" w14:textId="03D1AB70" w:rsidR="00AE4BCB" w:rsidRDefault="005E564F" w:rsidP="008212E0">
            <w:pPr>
              <w:pStyle w:val="Compact"/>
            </w:pPr>
            <w:r>
              <w:t>Table 4</w:t>
            </w:r>
          </w:p>
        </w:tc>
        <w:tc>
          <w:tcPr>
            <w:tcW w:w="1797" w:type="pct"/>
          </w:tcPr>
          <w:p w14:paraId="1E5E39A1" w14:textId="7B23C5B4" w:rsidR="00AE4BCB" w:rsidRPr="003F3318" w:rsidRDefault="000D033E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ADH/Code/Table</w:t>
            </w:r>
            <w:r w:rsidR="006028C9" w:rsidRPr="003F3318">
              <w:rPr>
                <w:i/>
                <w:iCs/>
              </w:rPr>
              <w:t>4_C1_C2_C</w:t>
            </w:r>
            <w:r w:rsidRPr="003F3318">
              <w:rPr>
                <w:i/>
                <w:iCs/>
              </w:rPr>
              <w:t>4.do</w:t>
            </w:r>
          </w:p>
        </w:tc>
        <w:tc>
          <w:tcPr>
            <w:tcW w:w="423" w:type="pct"/>
          </w:tcPr>
          <w:p w14:paraId="1FD5A6F0" w14:textId="132A9BBF" w:rsidR="00AE4BCB" w:rsidRDefault="000D033E" w:rsidP="008212E0">
            <w:pPr>
              <w:pStyle w:val="Compact"/>
            </w:pPr>
            <w:r>
              <w:t>82-86</w:t>
            </w:r>
          </w:p>
        </w:tc>
        <w:tc>
          <w:tcPr>
            <w:tcW w:w="1979" w:type="pct"/>
          </w:tcPr>
          <w:p w14:paraId="627209AC" w14:textId="3E05BC76" w:rsidR="00AE4BCB" w:rsidRPr="003F3318" w:rsidRDefault="000D033E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</w:t>
            </w:r>
            <w:r w:rsidR="006028C9" w:rsidRPr="003F3318">
              <w:rPr>
                <w:i/>
                <w:iCs/>
              </w:rPr>
              <w:t>Results/Table4_C1_C2_C</w:t>
            </w:r>
            <w:r w:rsidRPr="003F3318">
              <w:rPr>
                <w:i/>
                <w:iCs/>
              </w:rPr>
              <w:t>4.csv</w:t>
            </w:r>
          </w:p>
        </w:tc>
      </w:tr>
      <w:tr w:rsidR="000D033E" w14:paraId="25015B73" w14:textId="77777777" w:rsidTr="00D06F94">
        <w:tc>
          <w:tcPr>
            <w:tcW w:w="801" w:type="pct"/>
          </w:tcPr>
          <w:p w14:paraId="257504F3" w14:textId="6EA5D60D" w:rsidR="00AE4BCB" w:rsidRDefault="00AE4BCB" w:rsidP="008212E0">
            <w:pPr>
              <w:pStyle w:val="Compact"/>
            </w:pPr>
            <w:r>
              <w:t xml:space="preserve">Figure </w:t>
            </w:r>
            <w:r w:rsidR="005E564F">
              <w:t>C1</w:t>
            </w:r>
          </w:p>
        </w:tc>
        <w:tc>
          <w:tcPr>
            <w:tcW w:w="1797" w:type="pct"/>
          </w:tcPr>
          <w:p w14:paraId="154BB040" w14:textId="5D613944" w:rsidR="00AE4BCB" w:rsidRPr="003F3318" w:rsidRDefault="008212E0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ADH/Code/FigureC1.do</w:t>
            </w:r>
          </w:p>
        </w:tc>
        <w:tc>
          <w:tcPr>
            <w:tcW w:w="423" w:type="pct"/>
          </w:tcPr>
          <w:p w14:paraId="13B55627" w14:textId="28FF42DB" w:rsidR="00AE4BCB" w:rsidRDefault="00B369A1" w:rsidP="008212E0">
            <w:r>
              <w:t xml:space="preserve">4, </w:t>
            </w:r>
            <w:r w:rsidR="008212E0">
              <w:t>7</w:t>
            </w:r>
          </w:p>
        </w:tc>
        <w:tc>
          <w:tcPr>
            <w:tcW w:w="1979" w:type="pct"/>
          </w:tcPr>
          <w:p w14:paraId="2EB6D3E9" w14:textId="1172DEA8" w:rsidR="008212E0" w:rsidRPr="003F3318" w:rsidRDefault="008212E0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ADH/Results/FigureC1 FS.pdf, ADH/Results/FigureC1 RF.pdf</w:t>
            </w:r>
          </w:p>
        </w:tc>
      </w:tr>
      <w:tr w:rsidR="000D033E" w14:paraId="2836C780" w14:textId="77777777" w:rsidTr="00D06F94">
        <w:tc>
          <w:tcPr>
            <w:tcW w:w="801" w:type="pct"/>
          </w:tcPr>
          <w:p w14:paraId="401DFF9A" w14:textId="0774E7B1" w:rsidR="000D033E" w:rsidRDefault="000D033E" w:rsidP="008212E0">
            <w:pPr>
              <w:pStyle w:val="Compact"/>
            </w:pPr>
            <w:r>
              <w:t>Table C1</w:t>
            </w:r>
          </w:p>
        </w:tc>
        <w:tc>
          <w:tcPr>
            <w:tcW w:w="1797" w:type="pct"/>
          </w:tcPr>
          <w:p w14:paraId="59E392F5" w14:textId="5FA85751" w:rsidR="000D033E" w:rsidRPr="003F3318" w:rsidRDefault="000D033E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ADH/Code/Table</w:t>
            </w:r>
            <w:r w:rsidR="006028C9" w:rsidRPr="003F3318">
              <w:rPr>
                <w:i/>
                <w:iCs/>
              </w:rPr>
              <w:t>4_C1_C2_C</w:t>
            </w:r>
            <w:r w:rsidRPr="003F3318">
              <w:rPr>
                <w:i/>
                <w:iCs/>
              </w:rPr>
              <w:t>4.do</w:t>
            </w:r>
          </w:p>
        </w:tc>
        <w:tc>
          <w:tcPr>
            <w:tcW w:w="423" w:type="pct"/>
          </w:tcPr>
          <w:p w14:paraId="0A899CF2" w14:textId="218661FE" w:rsidR="000D033E" w:rsidRDefault="000D033E" w:rsidP="008212E0">
            <w:pPr>
              <w:pStyle w:val="Compact"/>
            </w:pPr>
            <w:r>
              <w:t>82-86</w:t>
            </w:r>
          </w:p>
        </w:tc>
        <w:tc>
          <w:tcPr>
            <w:tcW w:w="1979" w:type="pct"/>
          </w:tcPr>
          <w:p w14:paraId="5C569E85" w14:textId="1BD4A801" w:rsidR="000D033E" w:rsidRPr="003F3318" w:rsidRDefault="006028C9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ADH/Results/Table4_C1_C2_C4.csv</w:t>
            </w:r>
          </w:p>
        </w:tc>
      </w:tr>
      <w:tr w:rsidR="000D033E" w14:paraId="3DF16D3B" w14:textId="77777777" w:rsidTr="00D06F94">
        <w:tc>
          <w:tcPr>
            <w:tcW w:w="801" w:type="pct"/>
          </w:tcPr>
          <w:p w14:paraId="3F5E0134" w14:textId="7BC297E9" w:rsidR="000D033E" w:rsidRDefault="000D033E" w:rsidP="008212E0">
            <w:pPr>
              <w:pStyle w:val="Compact"/>
            </w:pPr>
            <w:r>
              <w:t>Table C2</w:t>
            </w:r>
          </w:p>
        </w:tc>
        <w:tc>
          <w:tcPr>
            <w:tcW w:w="1797" w:type="pct"/>
          </w:tcPr>
          <w:p w14:paraId="314425F3" w14:textId="48ED1FB4" w:rsidR="000D033E" w:rsidRPr="003F3318" w:rsidRDefault="000D033E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ADH/Code/Table</w:t>
            </w:r>
            <w:r w:rsidR="006028C9" w:rsidRPr="003F3318">
              <w:rPr>
                <w:i/>
                <w:iCs/>
              </w:rPr>
              <w:t>4_C1_C2_C</w:t>
            </w:r>
            <w:r w:rsidRPr="003F3318">
              <w:rPr>
                <w:i/>
                <w:iCs/>
              </w:rPr>
              <w:t>4.do</w:t>
            </w:r>
          </w:p>
          <w:p w14:paraId="1460F645" w14:textId="1DB723C9" w:rsidR="000D033E" w:rsidRPr="003F3318" w:rsidRDefault="00410944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</w:t>
            </w:r>
            <w:r w:rsidR="000D033E" w:rsidRPr="003F3318">
              <w:rPr>
                <w:i/>
                <w:iCs/>
              </w:rPr>
              <w:t>/Code/Table2_akm_se.R</w:t>
            </w:r>
          </w:p>
        </w:tc>
        <w:tc>
          <w:tcPr>
            <w:tcW w:w="423" w:type="pct"/>
          </w:tcPr>
          <w:p w14:paraId="66D46864" w14:textId="214302CB" w:rsidR="000D033E" w:rsidRDefault="000D033E" w:rsidP="008212E0">
            <w:pPr>
              <w:pStyle w:val="Compact"/>
            </w:pPr>
            <w:r>
              <w:t>82-86</w:t>
            </w:r>
          </w:p>
        </w:tc>
        <w:tc>
          <w:tcPr>
            <w:tcW w:w="1979" w:type="pct"/>
          </w:tcPr>
          <w:p w14:paraId="7DB5AE6C" w14:textId="0A3E7913" w:rsidR="000D033E" w:rsidRPr="003F3318" w:rsidRDefault="006028C9" w:rsidP="008212E0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ADH/Results/Table4_C1_C2_C4.csv</w:t>
            </w:r>
            <w:r w:rsidR="000D033E" w:rsidRPr="003F3318">
              <w:rPr>
                <w:i/>
                <w:iCs/>
              </w:rPr>
              <w:t xml:space="preserve">, </w:t>
            </w:r>
            <w:r w:rsidR="00F72DCE" w:rsidRPr="003F3318">
              <w:rPr>
                <w:i/>
                <w:iCs/>
              </w:rPr>
              <w:t>ADH/</w:t>
            </w:r>
            <w:r w:rsidR="000D033E" w:rsidRPr="003F3318">
              <w:rPr>
                <w:i/>
                <w:iCs/>
              </w:rPr>
              <w:t>Results/TableC2_akm_se.csv</w:t>
            </w:r>
          </w:p>
        </w:tc>
      </w:tr>
      <w:tr w:rsidR="006028C9" w14:paraId="4425241E" w14:textId="77777777" w:rsidTr="00D06F94">
        <w:tc>
          <w:tcPr>
            <w:tcW w:w="801" w:type="pct"/>
          </w:tcPr>
          <w:p w14:paraId="2B2DF71D" w14:textId="646827D6" w:rsidR="006028C9" w:rsidRDefault="006028C9" w:rsidP="006028C9">
            <w:pPr>
              <w:pStyle w:val="Compact"/>
            </w:pPr>
            <w:r>
              <w:t>Table C3</w:t>
            </w:r>
          </w:p>
        </w:tc>
        <w:tc>
          <w:tcPr>
            <w:tcW w:w="1797" w:type="pct"/>
          </w:tcPr>
          <w:p w14:paraId="1D6DE3A3" w14:textId="7D6D7655" w:rsidR="006028C9" w:rsidRPr="003F3318" w:rsidRDefault="006028C9" w:rsidP="006028C9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ADH/Code/TableC3.do</w:t>
            </w:r>
          </w:p>
        </w:tc>
        <w:tc>
          <w:tcPr>
            <w:tcW w:w="423" w:type="pct"/>
          </w:tcPr>
          <w:p w14:paraId="1BC29E5D" w14:textId="1A5668A7" w:rsidR="006028C9" w:rsidRDefault="006028C9" w:rsidP="006028C9">
            <w:r>
              <w:t>11</w:t>
            </w:r>
          </w:p>
        </w:tc>
        <w:tc>
          <w:tcPr>
            <w:tcW w:w="1979" w:type="pct"/>
          </w:tcPr>
          <w:p w14:paraId="14420777" w14:textId="24F428DF" w:rsidR="006028C9" w:rsidRPr="003F3318" w:rsidRDefault="006028C9" w:rsidP="006028C9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ADH/Results/TableC3.do</w:t>
            </w:r>
          </w:p>
        </w:tc>
      </w:tr>
      <w:tr w:rsidR="006028C9" w14:paraId="127B5853" w14:textId="77777777" w:rsidTr="00D06F94">
        <w:tc>
          <w:tcPr>
            <w:tcW w:w="801" w:type="pct"/>
          </w:tcPr>
          <w:p w14:paraId="77A95C14" w14:textId="4C73CEED" w:rsidR="006028C9" w:rsidRDefault="006028C9" w:rsidP="006028C9">
            <w:pPr>
              <w:pStyle w:val="Compact"/>
            </w:pPr>
            <w:r>
              <w:t>Table C4</w:t>
            </w:r>
          </w:p>
        </w:tc>
        <w:tc>
          <w:tcPr>
            <w:tcW w:w="1797" w:type="pct"/>
          </w:tcPr>
          <w:p w14:paraId="373E66C0" w14:textId="6D12F43C" w:rsidR="006028C9" w:rsidRPr="003F3318" w:rsidRDefault="006028C9" w:rsidP="006028C9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ADH/Code/Table4_C1_C2_C4.do</w:t>
            </w:r>
          </w:p>
        </w:tc>
        <w:tc>
          <w:tcPr>
            <w:tcW w:w="423" w:type="pct"/>
          </w:tcPr>
          <w:p w14:paraId="6FF89469" w14:textId="6D16A9FE" w:rsidR="006028C9" w:rsidRDefault="006028C9" w:rsidP="006028C9">
            <w:pPr>
              <w:pStyle w:val="Compact"/>
            </w:pPr>
            <w:r>
              <w:t>82-86</w:t>
            </w:r>
          </w:p>
        </w:tc>
        <w:tc>
          <w:tcPr>
            <w:tcW w:w="1979" w:type="pct"/>
          </w:tcPr>
          <w:p w14:paraId="2E6276FB" w14:textId="2DA0D24B" w:rsidR="006028C9" w:rsidRPr="003F3318" w:rsidRDefault="006028C9" w:rsidP="006028C9">
            <w:pPr>
              <w:pStyle w:val="Compact"/>
              <w:rPr>
                <w:i/>
                <w:iCs/>
              </w:rPr>
            </w:pPr>
            <w:r w:rsidRPr="003F3318">
              <w:rPr>
                <w:i/>
                <w:iCs/>
              </w:rPr>
              <w:t>ADH/Results/Table4_C1_C2_C4.csv</w:t>
            </w:r>
          </w:p>
        </w:tc>
      </w:tr>
      <w:tr w:rsidR="006028C9" w14:paraId="60FC64E4" w14:textId="77777777" w:rsidTr="00D06F94">
        <w:tc>
          <w:tcPr>
            <w:tcW w:w="801" w:type="pct"/>
          </w:tcPr>
          <w:p w14:paraId="4DA19384" w14:textId="556BCC86" w:rsidR="006028C9" w:rsidRDefault="006028C9" w:rsidP="006028C9">
            <w:pPr>
              <w:pStyle w:val="Compact"/>
              <w:jc w:val="both"/>
            </w:pPr>
            <w:r>
              <w:t>Table C5</w:t>
            </w:r>
          </w:p>
        </w:tc>
        <w:tc>
          <w:tcPr>
            <w:tcW w:w="1797" w:type="pct"/>
          </w:tcPr>
          <w:p w14:paraId="4AA51C7F" w14:textId="48463FE3" w:rsidR="006028C9" w:rsidRPr="003F3318" w:rsidRDefault="006028C9" w:rsidP="006028C9">
            <w:pPr>
              <w:pStyle w:val="Compact"/>
              <w:jc w:val="both"/>
              <w:rPr>
                <w:i/>
                <w:iCs/>
              </w:rPr>
            </w:pPr>
            <w:r w:rsidRPr="003F3318">
              <w:rPr>
                <w:i/>
                <w:iCs/>
              </w:rPr>
              <w:t>ADH/Code/TableC5.do</w:t>
            </w:r>
          </w:p>
        </w:tc>
        <w:tc>
          <w:tcPr>
            <w:tcW w:w="423" w:type="pct"/>
          </w:tcPr>
          <w:p w14:paraId="3B432368" w14:textId="0DF4110B" w:rsidR="006028C9" w:rsidRDefault="006028C9" w:rsidP="006028C9">
            <w:pPr>
              <w:jc w:val="both"/>
            </w:pPr>
            <w:r>
              <w:t>28</w:t>
            </w:r>
          </w:p>
        </w:tc>
        <w:tc>
          <w:tcPr>
            <w:tcW w:w="1979" w:type="pct"/>
          </w:tcPr>
          <w:p w14:paraId="19B21C82" w14:textId="41BDBE50" w:rsidR="006028C9" w:rsidRPr="003F3318" w:rsidRDefault="006028C9" w:rsidP="006028C9">
            <w:pPr>
              <w:pStyle w:val="Compact"/>
              <w:jc w:val="both"/>
              <w:rPr>
                <w:i/>
                <w:iCs/>
              </w:rPr>
            </w:pPr>
            <w:r w:rsidRPr="003F3318">
              <w:rPr>
                <w:i/>
                <w:iCs/>
              </w:rPr>
              <w:t>ADH/Results/TableC5.csv</w:t>
            </w:r>
          </w:p>
        </w:tc>
      </w:tr>
      <w:tr w:rsidR="006028C9" w14:paraId="698FE156" w14:textId="77777777" w:rsidTr="00D06F94">
        <w:tc>
          <w:tcPr>
            <w:tcW w:w="801" w:type="pct"/>
          </w:tcPr>
          <w:p w14:paraId="37652C33" w14:textId="79B2CA8C" w:rsidR="006028C9" w:rsidRDefault="006028C9" w:rsidP="006028C9">
            <w:pPr>
              <w:pStyle w:val="Compact"/>
              <w:jc w:val="both"/>
            </w:pPr>
            <w:r>
              <w:t>Table C6</w:t>
            </w:r>
          </w:p>
        </w:tc>
        <w:tc>
          <w:tcPr>
            <w:tcW w:w="1797" w:type="pct"/>
          </w:tcPr>
          <w:p w14:paraId="3F5D635D" w14:textId="62441B25" w:rsidR="006028C9" w:rsidRPr="003F3318" w:rsidRDefault="00932429" w:rsidP="006028C9">
            <w:pPr>
              <w:pStyle w:val="Compact"/>
              <w:jc w:val="both"/>
              <w:rPr>
                <w:i/>
                <w:iCs/>
              </w:rPr>
            </w:pPr>
            <w:r w:rsidRPr="003F3318">
              <w:rPr>
                <w:i/>
                <w:iCs/>
              </w:rPr>
              <w:t>Bartik</w:t>
            </w:r>
            <w:r w:rsidR="00010F76" w:rsidRPr="003F3318">
              <w:rPr>
                <w:i/>
                <w:iCs/>
              </w:rPr>
              <w:t xml:space="preserve"> 1991</w:t>
            </w:r>
            <w:r w:rsidRPr="003F3318">
              <w:rPr>
                <w:i/>
                <w:iCs/>
              </w:rPr>
              <w:t>/Code/TableC6.do</w:t>
            </w:r>
          </w:p>
        </w:tc>
        <w:tc>
          <w:tcPr>
            <w:tcW w:w="423" w:type="pct"/>
          </w:tcPr>
          <w:p w14:paraId="7CB9C185" w14:textId="3D1300BC" w:rsidR="006028C9" w:rsidRDefault="00932429" w:rsidP="006028C9">
            <w:pPr>
              <w:jc w:val="both"/>
            </w:pPr>
            <w:r>
              <w:t>87</w:t>
            </w:r>
          </w:p>
        </w:tc>
        <w:tc>
          <w:tcPr>
            <w:tcW w:w="1979" w:type="pct"/>
          </w:tcPr>
          <w:p w14:paraId="7D420A3E" w14:textId="1CAFAD2F" w:rsidR="006028C9" w:rsidRPr="003F3318" w:rsidRDefault="00932429" w:rsidP="006028C9">
            <w:pPr>
              <w:pStyle w:val="Compact"/>
              <w:jc w:val="both"/>
              <w:rPr>
                <w:i/>
                <w:iCs/>
              </w:rPr>
            </w:pPr>
            <w:r w:rsidRPr="003F3318">
              <w:rPr>
                <w:i/>
                <w:iCs/>
              </w:rPr>
              <w:t>Bartik</w:t>
            </w:r>
            <w:r w:rsidR="00010F76" w:rsidRPr="003F3318">
              <w:rPr>
                <w:i/>
                <w:iCs/>
              </w:rPr>
              <w:t xml:space="preserve"> 1991</w:t>
            </w:r>
            <w:r w:rsidRPr="003F3318">
              <w:rPr>
                <w:i/>
                <w:iCs/>
              </w:rPr>
              <w:t>/Results/TableC6.csv</w:t>
            </w:r>
          </w:p>
        </w:tc>
      </w:tr>
      <w:tr w:rsidR="006028C9" w14:paraId="79D9ACF6" w14:textId="77777777" w:rsidTr="00D06F94">
        <w:tc>
          <w:tcPr>
            <w:tcW w:w="801" w:type="pct"/>
          </w:tcPr>
          <w:p w14:paraId="73C7D2CA" w14:textId="2644C121" w:rsidR="006028C9" w:rsidRDefault="006028C9" w:rsidP="006028C9">
            <w:pPr>
              <w:pStyle w:val="Compact"/>
              <w:jc w:val="both"/>
            </w:pPr>
            <w:r>
              <w:t>Table C7</w:t>
            </w:r>
          </w:p>
        </w:tc>
        <w:tc>
          <w:tcPr>
            <w:tcW w:w="1797" w:type="pct"/>
          </w:tcPr>
          <w:p w14:paraId="53EE71D6" w14:textId="4D51B369" w:rsidR="006028C9" w:rsidRPr="003F3318" w:rsidRDefault="00932429" w:rsidP="006028C9">
            <w:pPr>
              <w:pStyle w:val="Compact"/>
              <w:jc w:val="both"/>
              <w:rPr>
                <w:i/>
                <w:iCs/>
              </w:rPr>
            </w:pPr>
            <w:r w:rsidRPr="003F3318">
              <w:rPr>
                <w:i/>
                <w:iCs/>
              </w:rPr>
              <w:t>MonteCarlo/Code/TableC7.R</w:t>
            </w:r>
          </w:p>
        </w:tc>
        <w:tc>
          <w:tcPr>
            <w:tcW w:w="423" w:type="pct"/>
          </w:tcPr>
          <w:p w14:paraId="7D9212A7" w14:textId="5FF0D9AF" w:rsidR="006028C9" w:rsidRDefault="00932429" w:rsidP="006028C9">
            <w:pPr>
              <w:jc w:val="both"/>
            </w:pPr>
            <w:r>
              <w:t>36, 90</w:t>
            </w:r>
          </w:p>
        </w:tc>
        <w:tc>
          <w:tcPr>
            <w:tcW w:w="1979" w:type="pct"/>
          </w:tcPr>
          <w:p w14:paraId="67E290CB" w14:textId="20337662" w:rsidR="006028C9" w:rsidRPr="003F3318" w:rsidRDefault="00932429" w:rsidP="006028C9">
            <w:pPr>
              <w:pStyle w:val="Compact"/>
              <w:jc w:val="both"/>
              <w:rPr>
                <w:i/>
                <w:iCs/>
              </w:rPr>
            </w:pPr>
            <w:r w:rsidRPr="003F3318">
              <w:rPr>
                <w:i/>
                <w:iCs/>
              </w:rPr>
              <w:t>MonteCarlo/Results/AADHP.csv, MonteCarlo/Results/ADH.csv</w:t>
            </w:r>
          </w:p>
        </w:tc>
      </w:tr>
      <w:tr w:rsidR="006028C9" w14:paraId="1A6666FC" w14:textId="77777777" w:rsidTr="00D06F94">
        <w:tc>
          <w:tcPr>
            <w:tcW w:w="801" w:type="pct"/>
          </w:tcPr>
          <w:p w14:paraId="7AD3C415" w14:textId="5CF92990" w:rsidR="006028C9" w:rsidRDefault="006028C9" w:rsidP="006028C9">
            <w:pPr>
              <w:pStyle w:val="Compact"/>
              <w:jc w:val="both"/>
            </w:pPr>
            <w:r>
              <w:t>Table C8</w:t>
            </w:r>
          </w:p>
        </w:tc>
        <w:tc>
          <w:tcPr>
            <w:tcW w:w="1797" w:type="pct"/>
          </w:tcPr>
          <w:p w14:paraId="291662D3" w14:textId="342F968D" w:rsidR="006028C9" w:rsidRPr="003F3318" w:rsidRDefault="00932429" w:rsidP="006028C9">
            <w:pPr>
              <w:pStyle w:val="Compact"/>
              <w:jc w:val="both"/>
              <w:rPr>
                <w:i/>
                <w:iCs/>
              </w:rPr>
            </w:pPr>
            <w:r w:rsidRPr="003F3318">
              <w:rPr>
                <w:i/>
                <w:iCs/>
              </w:rPr>
              <w:t>MonteCarlo/Code/TableC8.do</w:t>
            </w:r>
          </w:p>
        </w:tc>
        <w:tc>
          <w:tcPr>
            <w:tcW w:w="423" w:type="pct"/>
          </w:tcPr>
          <w:p w14:paraId="5ADA029B" w14:textId="3214B7A1" w:rsidR="006028C9" w:rsidRDefault="00932429" w:rsidP="003F3318">
            <w:pPr>
              <w:spacing w:after="0"/>
              <w:jc w:val="both"/>
            </w:pPr>
            <w:r>
              <w:t>90-103</w:t>
            </w:r>
          </w:p>
        </w:tc>
        <w:tc>
          <w:tcPr>
            <w:tcW w:w="1979" w:type="pct"/>
          </w:tcPr>
          <w:p w14:paraId="78A2D8DC" w14:textId="1CD5CD64" w:rsidR="006028C9" w:rsidRPr="003F3318" w:rsidRDefault="00932429" w:rsidP="006028C9">
            <w:pPr>
              <w:pStyle w:val="Compact"/>
              <w:jc w:val="both"/>
              <w:rPr>
                <w:i/>
                <w:iCs/>
              </w:rPr>
            </w:pPr>
            <w:r w:rsidRPr="003F3318">
              <w:rPr>
                <w:i/>
                <w:iCs/>
              </w:rPr>
              <w:t>MonteCarlo/Results/TableC8.smcl</w:t>
            </w:r>
          </w:p>
        </w:tc>
      </w:tr>
    </w:tbl>
    <w:p w14:paraId="37587B41" w14:textId="77777777" w:rsidR="00101EC6" w:rsidRPr="00175222" w:rsidRDefault="00101EC6" w:rsidP="00101EC6">
      <w:pPr>
        <w:jc w:val="both"/>
        <w:rPr>
          <w:sz w:val="8"/>
          <w:szCs w:val="8"/>
        </w:rPr>
      </w:pPr>
      <w:bookmarkStart w:id="4" w:name="references"/>
    </w:p>
    <w:p w14:paraId="587D44CD" w14:textId="77777777" w:rsidR="00101EC6" w:rsidRDefault="00101EC6" w:rsidP="00101EC6">
      <w:pPr>
        <w:pStyle w:val="Heading2"/>
        <w:jc w:val="both"/>
      </w:pPr>
      <w:bookmarkStart w:id="5" w:name="acknowledgements"/>
      <w:r>
        <w:t>Acknowledgements</w:t>
      </w:r>
      <w:bookmarkEnd w:id="5"/>
    </w:p>
    <w:p w14:paraId="58C564A8" w14:textId="4098EA58" w:rsidR="00101EC6" w:rsidRPr="008052C2" w:rsidRDefault="00101EC6" w:rsidP="00101EC6">
      <w:pPr>
        <w:pStyle w:val="FirstParagraph"/>
        <w:jc w:val="both"/>
      </w:pPr>
      <w:r>
        <w:t xml:space="preserve">We thank David Dorn and Gordon Hanson for providing some of the code and data </w:t>
      </w:r>
      <w:r>
        <w:t>in</w:t>
      </w:r>
      <w:r>
        <w:t xml:space="preserve"> </w:t>
      </w:r>
      <w:r>
        <w:t>the A</w:t>
      </w:r>
      <w:r w:rsidR="0024526C">
        <w:t>utor et al. (2013)</w:t>
      </w:r>
      <w:r>
        <w:t xml:space="preserve"> </w:t>
      </w:r>
      <w:r>
        <w:t>package</w:t>
      </w:r>
      <w:r>
        <w:t xml:space="preserve">. We thank Paul Goldsmith-Pinkham, Isaac Sorkin, and Henry Swift for providing </w:t>
      </w:r>
      <w:r>
        <w:t xml:space="preserve">some of the </w:t>
      </w:r>
      <w:r>
        <w:t xml:space="preserve">code and data </w:t>
      </w:r>
      <w:r>
        <w:t>in</w:t>
      </w:r>
      <w:r>
        <w:t xml:space="preserve"> </w:t>
      </w:r>
      <w:r>
        <w:t>the</w:t>
      </w:r>
      <w:r>
        <w:t xml:space="preserve"> Bartik (1991) </w:t>
      </w:r>
      <w:r>
        <w:t>package.</w:t>
      </w:r>
    </w:p>
    <w:p w14:paraId="28B75768" w14:textId="77777777" w:rsidR="00101EC6" w:rsidRDefault="00101EC6" w:rsidP="00175222">
      <w:pPr>
        <w:pStyle w:val="Heading2"/>
        <w:spacing w:after="80"/>
        <w:jc w:val="both"/>
      </w:pPr>
    </w:p>
    <w:p w14:paraId="58902F60" w14:textId="27B3685C" w:rsidR="00FE40EF" w:rsidRDefault="008E35D5" w:rsidP="00175222">
      <w:pPr>
        <w:pStyle w:val="Heading2"/>
        <w:spacing w:after="80"/>
        <w:jc w:val="both"/>
      </w:pPr>
      <w:r>
        <w:t>References</w:t>
      </w:r>
      <w:bookmarkEnd w:id="4"/>
    </w:p>
    <w:p w14:paraId="0450D8A9" w14:textId="33587B8F" w:rsidR="00061CDC" w:rsidRDefault="00061CDC" w:rsidP="00175222">
      <w:pPr>
        <w:pStyle w:val="FirstParagraph"/>
        <w:spacing w:before="0" w:after="120"/>
        <w:jc w:val="both"/>
      </w:pPr>
      <w:r w:rsidRPr="00061CDC">
        <w:t xml:space="preserve">Acemoglu, Daron, David H. Autor, David Dorn, Gordon H. Hanson, and Brendard Price. 2016. “Import Competition and the Great U.S. Employment Sag of the 2000s.” </w:t>
      </w:r>
      <w:r w:rsidRPr="00061CDC">
        <w:rPr>
          <w:i/>
          <w:iCs/>
        </w:rPr>
        <w:t>Journal of Labor Economics</w:t>
      </w:r>
      <w:r w:rsidRPr="00061CDC">
        <w:t xml:space="preserve"> 34:S141–S198</w:t>
      </w:r>
    </w:p>
    <w:p w14:paraId="48595864" w14:textId="0D69D106" w:rsidR="00FF49B5" w:rsidRDefault="00FF49B5" w:rsidP="00175222">
      <w:pPr>
        <w:pStyle w:val="FirstParagraph"/>
        <w:spacing w:before="0" w:after="120"/>
        <w:jc w:val="both"/>
      </w:pPr>
      <w:r>
        <w:t xml:space="preserve">Adão, Rodrigo, Michal Kolesár, and Eduardo Morales. 2019. “Shift-Share Designs: Theory and Inference.” </w:t>
      </w:r>
      <w:r w:rsidRPr="00FF49B5">
        <w:rPr>
          <w:i/>
        </w:rPr>
        <w:t>The Quarterly Journal of Economics</w:t>
      </w:r>
      <w:r>
        <w:t xml:space="preserve"> 134:1949–2010</w:t>
      </w:r>
    </w:p>
    <w:p w14:paraId="5EF9E652" w14:textId="2B9D3079" w:rsidR="00CC4BCF" w:rsidRDefault="00CC4BCF" w:rsidP="00175222">
      <w:pPr>
        <w:pStyle w:val="FirstParagraph"/>
        <w:spacing w:before="0" w:after="120"/>
        <w:jc w:val="both"/>
      </w:pPr>
      <w:r>
        <w:t xml:space="preserve">Autor, David H., David Dorn, and Gordon H. Hanson. 2013. “The China Syndrome: Local Labor Market Effects of Import Competition in the United States.” </w:t>
      </w:r>
      <w:r>
        <w:rPr>
          <w:i/>
        </w:rPr>
        <w:t xml:space="preserve">American Economic Review </w:t>
      </w:r>
      <w:r>
        <w:t>103:2121-2168.</w:t>
      </w:r>
    </w:p>
    <w:p w14:paraId="26F7BCFC" w14:textId="7CA1D40C" w:rsidR="00644527" w:rsidRDefault="00644527" w:rsidP="00175222">
      <w:pPr>
        <w:pStyle w:val="BodyText"/>
        <w:spacing w:before="0" w:after="120"/>
      </w:pPr>
      <w:r>
        <w:lastRenderedPageBreak/>
        <w:t xml:space="preserve">Bartik, Timothy J. 1991 </w:t>
      </w:r>
      <w:r>
        <w:rPr>
          <w:i/>
        </w:rPr>
        <w:t>Who Benefits from State and Local Economic Development Policies?</w:t>
      </w:r>
      <w:r>
        <w:t xml:space="preserve"> Kalamazoo, MI: W.E. Upjohn Institute for Employment Research</w:t>
      </w:r>
    </w:p>
    <w:p w14:paraId="6750BD14" w14:textId="184ABEB9" w:rsidR="0019299B" w:rsidRDefault="0019299B" w:rsidP="000678D1">
      <w:pPr>
        <w:pStyle w:val="BodyText"/>
        <w:spacing w:before="0" w:after="120"/>
        <w:jc w:val="both"/>
      </w:pPr>
      <w:r>
        <w:t xml:space="preserve">Goldsmith-Pinkham, Paul, Isaac Sorkin, and Henry Swift. 2020. “Bartik Instruments: What, When, Why, and How.” </w:t>
      </w:r>
      <w:r>
        <w:rPr>
          <w:i/>
        </w:rPr>
        <w:t>American Economic Review</w:t>
      </w:r>
      <w:r>
        <w:t xml:space="preserve"> 110:2586-2624</w:t>
      </w:r>
    </w:p>
    <w:p w14:paraId="061E1AB8" w14:textId="65C38178" w:rsidR="000678D1" w:rsidRPr="0019299B" w:rsidRDefault="000678D1" w:rsidP="000678D1">
      <w:pPr>
        <w:pStyle w:val="BodyText"/>
        <w:spacing w:before="0" w:after="120"/>
        <w:jc w:val="both"/>
      </w:pPr>
      <w:r>
        <w:t xml:space="preserve">Pflueger, Carolin E. and Su Wang. 2015. “A Robust Test for Weak Instrument in Stata.” </w:t>
      </w:r>
      <w:r>
        <w:rPr>
          <w:i/>
          <w:iCs/>
        </w:rPr>
        <w:t xml:space="preserve">Stata </w:t>
      </w:r>
      <w:r w:rsidRPr="000678D1">
        <w:t>Journal</w:t>
      </w:r>
      <w:r>
        <w:t xml:space="preserve"> 15:216-225</w:t>
      </w:r>
    </w:p>
    <w:p w14:paraId="4ED66D28" w14:textId="0B8A3092" w:rsidR="008052C2" w:rsidRDefault="008E35D5" w:rsidP="008052C2">
      <w:pPr>
        <w:pStyle w:val="FirstParagraph"/>
        <w:spacing w:before="0" w:after="120"/>
        <w:jc w:val="both"/>
      </w:pPr>
      <w:r>
        <w:t xml:space="preserve">Ruggles, </w:t>
      </w:r>
      <w:r w:rsidR="00644527">
        <w:t xml:space="preserve">Steven, </w:t>
      </w:r>
      <w:r w:rsidR="002644CC">
        <w:t xml:space="preserve">Sarah Flood, Ronald Goeken, Josiah Grover, Erin Meyer, Jose Pacas, and Steven M. Manson. 2020. “IPUMS USA: Version 10.0 [dataset].” </w:t>
      </w:r>
      <w:r>
        <w:t xml:space="preserve">Minneapolis, MN: </w:t>
      </w:r>
      <w:r>
        <w:rPr>
          <w:i/>
        </w:rPr>
        <w:t>Minnesota Population Center, IPUMS</w:t>
      </w:r>
      <w:r w:rsidR="002644CC">
        <w:t xml:space="preserve">. </w:t>
      </w:r>
      <w:hyperlink r:id="rId15" w:history="1">
        <w:r w:rsidR="008052C2" w:rsidRPr="00E9653C">
          <w:rPr>
            <w:rStyle w:val="Hyperlink"/>
          </w:rPr>
          <w:t>https://doi.org/10.18128/D010.V10.0</w:t>
        </w:r>
      </w:hyperlink>
    </w:p>
    <w:sectPr w:rsidR="008052C2" w:rsidSect="007616CD">
      <w:pgSz w:w="12240" w:h="15840"/>
      <w:pgMar w:top="1080" w:right="1440" w:bottom="15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3BC60" w14:textId="77777777" w:rsidR="008A3777" w:rsidRDefault="008A3777">
      <w:pPr>
        <w:spacing w:after="0"/>
      </w:pPr>
      <w:r>
        <w:separator/>
      </w:r>
    </w:p>
  </w:endnote>
  <w:endnote w:type="continuationSeparator" w:id="0">
    <w:p w14:paraId="19D71105" w14:textId="77777777" w:rsidR="008A3777" w:rsidRDefault="008A3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F7DF6" w14:textId="77777777" w:rsidR="008A3777" w:rsidRDefault="008A3777">
      <w:r>
        <w:separator/>
      </w:r>
    </w:p>
  </w:footnote>
  <w:footnote w:type="continuationSeparator" w:id="0">
    <w:p w14:paraId="1674B9D6" w14:textId="77777777" w:rsidR="008A3777" w:rsidRDefault="008A3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AFA0BE0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bullet"/>
      <w:lvlText w:val="–"/>
      <w:lvlJc w:val="left"/>
      <w:pPr>
        <w:tabs>
          <w:tab w:val="num" w:pos="5520"/>
        </w:tabs>
        <w:ind w:left="6000" w:hanging="480"/>
      </w:pPr>
    </w:lvl>
    <w:lvl w:ilvl="8">
      <w:numFmt w:val="bullet"/>
      <w:lvlText w:val="•"/>
      <w:lvlJc w:val="left"/>
      <w:pPr>
        <w:tabs>
          <w:tab w:val="num" w:pos="6240"/>
        </w:tabs>
        <w:ind w:left="6720" w:hanging="480"/>
      </w:pPr>
    </w:lvl>
  </w:abstractNum>
  <w:abstractNum w:abstractNumId="1" w15:restartNumberingAfterBreak="0">
    <w:nsid w:val="0DD011AF"/>
    <w:multiLevelType w:val="hybridMultilevel"/>
    <w:tmpl w:val="22A6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1D99"/>
    <w:multiLevelType w:val="hybridMultilevel"/>
    <w:tmpl w:val="4C12C05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BCF81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48924A7"/>
    <w:multiLevelType w:val="hybridMultilevel"/>
    <w:tmpl w:val="9B40602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B520BCD"/>
    <w:multiLevelType w:val="hybridMultilevel"/>
    <w:tmpl w:val="C04E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931BE"/>
    <w:multiLevelType w:val="hybridMultilevel"/>
    <w:tmpl w:val="EAF2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1469D"/>
    <w:multiLevelType w:val="hybridMultilevel"/>
    <w:tmpl w:val="FC969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E7971"/>
    <w:multiLevelType w:val="hybridMultilevel"/>
    <w:tmpl w:val="195C2202"/>
    <w:lvl w:ilvl="0" w:tplc="0F8A5F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5FB44B62"/>
    <w:multiLevelType w:val="hybridMultilevel"/>
    <w:tmpl w:val="633A45CE"/>
    <w:lvl w:ilvl="0" w:tplc="C4A8FE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3237A86"/>
    <w:multiLevelType w:val="hybridMultilevel"/>
    <w:tmpl w:val="9544D02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FFA19FD"/>
    <w:multiLevelType w:val="hybridMultilevel"/>
    <w:tmpl w:val="53C8B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2758B"/>
    <w:multiLevelType w:val="hybridMultilevel"/>
    <w:tmpl w:val="4936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F5011"/>
    <w:multiLevelType w:val="hybridMultilevel"/>
    <w:tmpl w:val="9EEC38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4"/>
  </w:num>
  <w:num w:numId="15">
    <w:abstractNumId w:val="1"/>
  </w:num>
  <w:num w:numId="16">
    <w:abstractNumId w:val="2"/>
  </w:num>
  <w:num w:numId="17">
    <w:abstractNumId w:val="10"/>
  </w:num>
  <w:num w:numId="18">
    <w:abstractNumId w:val="13"/>
  </w:num>
  <w:num w:numId="19">
    <w:abstractNumId w:val="12"/>
  </w:num>
  <w:num w:numId="20">
    <w:abstractNumId w:val="7"/>
  </w:num>
  <w:num w:numId="21">
    <w:abstractNumId w:val="9"/>
  </w:num>
  <w:num w:numId="22">
    <w:abstractNumId w:val="6"/>
  </w:num>
  <w:num w:numId="23">
    <w:abstractNumId w:val="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0F76"/>
    <w:rsid w:val="00011C8B"/>
    <w:rsid w:val="000305BD"/>
    <w:rsid w:val="00033E14"/>
    <w:rsid w:val="00061CDC"/>
    <w:rsid w:val="000678D1"/>
    <w:rsid w:val="000D033E"/>
    <w:rsid w:val="000F0C4F"/>
    <w:rsid w:val="000F5D24"/>
    <w:rsid w:val="00101EC6"/>
    <w:rsid w:val="00106094"/>
    <w:rsid w:val="001261E5"/>
    <w:rsid w:val="001509CA"/>
    <w:rsid w:val="00152DCD"/>
    <w:rsid w:val="00157921"/>
    <w:rsid w:val="00175222"/>
    <w:rsid w:val="00180653"/>
    <w:rsid w:val="001818DA"/>
    <w:rsid w:val="00181E67"/>
    <w:rsid w:val="0019299B"/>
    <w:rsid w:val="001C332A"/>
    <w:rsid w:val="001E1D3E"/>
    <w:rsid w:val="0024526C"/>
    <w:rsid w:val="0025672D"/>
    <w:rsid w:val="002644CC"/>
    <w:rsid w:val="002645F5"/>
    <w:rsid w:val="00290BD5"/>
    <w:rsid w:val="002A00DE"/>
    <w:rsid w:val="002C3E5E"/>
    <w:rsid w:val="002D27EF"/>
    <w:rsid w:val="002D3C71"/>
    <w:rsid w:val="0032657D"/>
    <w:rsid w:val="00365361"/>
    <w:rsid w:val="003801A1"/>
    <w:rsid w:val="003B00E4"/>
    <w:rsid w:val="003F3318"/>
    <w:rsid w:val="00401F64"/>
    <w:rsid w:val="00410944"/>
    <w:rsid w:val="00416804"/>
    <w:rsid w:val="00417C09"/>
    <w:rsid w:val="00424B04"/>
    <w:rsid w:val="00433E59"/>
    <w:rsid w:val="004B5E8D"/>
    <w:rsid w:val="004C13AA"/>
    <w:rsid w:val="004E29B3"/>
    <w:rsid w:val="004F0A85"/>
    <w:rsid w:val="005723C9"/>
    <w:rsid w:val="00573011"/>
    <w:rsid w:val="00583723"/>
    <w:rsid w:val="0058618D"/>
    <w:rsid w:val="00590D07"/>
    <w:rsid w:val="005B6410"/>
    <w:rsid w:val="005C1E86"/>
    <w:rsid w:val="005E287E"/>
    <w:rsid w:val="005E564F"/>
    <w:rsid w:val="005E6158"/>
    <w:rsid w:val="005F62C6"/>
    <w:rsid w:val="006028C9"/>
    <w:rsid w:val="00644353"/>
    <w:rsid w:val="00644527"/>
    <w:rsid w:val="00644EA7"/>
    <w:rsid w:val="006719A4"/>
    <w:rsid w:val="006854B9"/>
    <w:rsid w:val="006953B4"/>
    <w:rsid w:val="006C222F"/>
    <w:rsid w:val="00710B77"/>
    <w:rsid w:val="00717C19"/>
    <w:rsid w:val="007321E7"/>
    <w:rsid w:val="00732898"/>
    <w:rsid w:val="00757099"/>
    <w:rsid w:val="007616CD"/>
    <w:rsid w:val="00784429"/>
    <w:rsid w:val="00784D58"/>
    <w:rsid w:val="0079374B"/>
    <w:rsid w:val="007B3907"/>
    <w:rsid w:val="007D4730"/>
    <w:rsid w:val="008052C2"/>
    <w:rsid w:val="008212E0"/>
    <w:rsid w:val="00824B1D"/>
    <w:rsid w:val="0089342B"/>
    <w:rsid w:val="00896EB1"/>
    <w:rsid w:val="008A3777"/>
    <w:rsid w:val="008D6863"/>
    <w:rsid w:val="008E35D5"/>
    <w:rsid w:val="0092725B"/>
    <w:rsid w:val="00932429"/>
    <w:rsid w:val="00933011"/>
    <w:rsid w:val="00936F22"/>
    <w:rsid w:val="00947200"/>
    <w:rsid w:val="00961140"/>
    <w:rsid w:val="00972039"/>
    <w:rsid w:val="00977ABC"/>
    <w:rsid w:val="00985B47"/>
    <w:rsid w:val="009E69D0"/>
    <w:rsid w:val="00A45DDB"/>
    <w:rsid w:val="00A91F2B"/>
    <w:rsid w:val="00AA07F8"/>
    <w:rsid w:val="00AA0F99"/>
    <w:rsid w:val="00AD601F"/>
    <w:rsid w:val="00AE256A"/>
    <w:rsid w:val="00AE4BCB"/>
    <w:rsid w:val="00B01088"/>
    <w:rsid w:val="00B05D21"/>
    <w:rsid w:val="00B1579D"/>
    <w:rsid w:val="00B369A1"/>
    <w:rsid w:val="00B422B8"/>
    <w:rsid w:val="00B53A62"/>
    <w:rsid w:val="00B86B75"/>
    <w:rsid w:val="00B87483"/>
    <w:rsid w:val="00BA21B2"/>
    <w:rsid w:val="00BC48D5"/>
    <w:rsid w:val="00C36279"/>
    <w:rsid w:val="00C501C6"/>
    <w:rsid w:val="00CC4BCF"/>
    <w:rsid w:val="00CC5167"/>
    <w:rsid w:val="00CC6005"/>
    <w:rsid w:val="00CD044D"/>
    <w:rsid w:val="00D06F94"/>
    <w:rsid w:val="00D2145D"/>
    <w:rsid w:val="00D279A0"/>
    <w:rsid w:val="00D3305E"/>
    <w:rsid w:val="00D82D83"/>
    <w:rsid w:val="00DE537A"/>
    <w:rsid w:val="00E17020"/>
    <w:rsid w:val="00E27E9D"/>
    <w:rsid w:val="00E315A3"/>
    <w:rsid w:val="00E50389"/>
    <w:rsid w:val="00E60197"/>
    <w:rsid w:val="00E768A4"/>
    <w:rsid w:val="00E83B88"/>
    <w:rsid w:val="00E8446C"/>
    <w:rsid w:val="00F127C0"/>
    <w:rsid w:val="00F72DCE"/>
    <w:rsid w:val="00F940BE"/>
    <w:rsid w:val="00FA1AA6"/>
    <w:rsid w:val="00FB5BCA"/>
    <w:rsid w:val="00FE40EF"/>
    <w:rsid w:val="00FF49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B39B"/>
  <w15:docId w15:val="{861AD80E-242A-4968-B51E-2A7EE1FF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7B390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2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CC516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C51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51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C5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C51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C516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C516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C5167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CC5167"/>
  </w:style>
  <w:style w:type="paragraph" w:styleId="ListParagraph">
    <w:name w:val="List Paragraph"/>
    <w:basedOn w:val="Normal"/>
    <w:uiPriority w:val="34"/>
    <w:qFormat/>
    <w:rsid w:val="00DE537A"/>
    <w:pPr>
      <w:spacing w:after="0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7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dorn.net/data.htm" TargetMode="External"/><Relationship Id="rId13" Type="http://schemas.openxmlformats.org/officeDocument/2006/relationships/hyperlink" Target="https://github.com/kolesarm/ShiftShare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dorn.net/data.htm" TargetMode="External"/><Relationship Id="rId12" Type="http://schemas.openxmlformats.org/officeDocument/2006/relationships/hyperlink" Target="https://www.ddorn.net/data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a.ipums.org/us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8128/D010.V10.0" TargetMode="External"/><Relationship Id="rId10" Type="http://schemas.openxmlformats.org/officeDocument/2006/relationships/hyperlink" Target="https://github.com/paulgp/gpss_replication/tree/master/data/r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nber.org/nberces/nberces5811/sic5811.dta" TargetMode="External"/><Relationship Id="rId14" Type="http://schemas.openxmlformats.org/officeDocument/2006/relationships/hyperlink" Target="https://michaelstepner.com/binsca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Peter Hull</cp:lastModifiedBy>
  <cp:revision>103</cp:revision>
  <dcterms:created xsi:type="dcterms:W3CDTF">2020-07-27T16:31:00Z</dcterms:created>
  <dcterms:modified xsi:type="dcterms:W3CDTF">2021-02-07T18:18:00Z</dcterms:modified>
</cp:coreProperties>
</file>