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bookmarkStart w:id="0" w:name="overview"/>
      <w:r>
        <w:rPr/>
        <w:t>Overview</w:t>
      </w:r>
      <w:bookmarkEnd w:id="0"/>
    </w:p>
    <w:p>
      <w:pPr>
        <w:pStyle w:val="FirstParagraph"/>
        <w:rPr>
          <w:b/>
          <w:b/>
        </w:rPr>
      </w:pPr>
      <w:r>
        <w:rPr>
          <w:b/>
        </w:rPr>
        <w:t xml:space="preserve">The code in this replication package constructs the analysis file from the Bloom, Draca and Van Reenen (2020) “A Reply to Campbell and Mau” using Stata. </w:t>
      </w:r>
    </w:p>
    <w:p>
      <w:pPr>
        <w:pStyle w:val="Normal"/>
        <w:rPr/>
      </w:pPr>
      <w:r>
        <w:rPr>
          <w:b/>
        </w:rPr>
        <w:t>Note that CM_Response_Revised_v2.do</w:t>
      </w:r>
      <w:r>
        <w:rPr/>
        <w:t xml:space="preserve"> creates all the outputs.</w:t>
      </w:r>
    </w:p>
    <w:p>
      <w:pPr>
        <w:pStyle w:val="Normal"/>
        <w:rPr/>
      </w:pPr>
      <w:r>
        <w:rPr/>
        <w:t xml:space="preserve">It creates </w:t>
      </w:r>
      <w:r>
        <w:rPr>
          <w:b/>
        </w:rPr>
        <w:t xml:space="preserve">CM_Response_Revised_v2.log </w:t>
      </w:r>
      <w:r>
        <w:rPr/>
        <w:t>and</w:t>
      </w:r>
      <w:r>
        <w:rPr>
          <w:b/>
        </w:rPr>
        <w:t xml:space="preserve"> </w:t>
      </w:r>
      <w:r>
        <w:rPr/>
        <w:t>the excel files</w:t>
      </w:r>
      <w:r>
        <w:rPr>
          <w:b/>
        </w:rPr>
        <w:t xml:space="preserve"> Tab1 and TabA1 </w:t>
      </w:r>
    </w:p>
    <w:p>
      <w:pPr>
        <w:pStyle w:val="FirstParagraph"/>
        <w:rPr/>
      </w:pPr>
      <w:r>
        <w:rPr/>
        <w:t>One master file run all of the code to generate the data for the 1 table in the paper and 1 in the appendix. The replicator should expect the code to run for about one hour.</w:t>
      </w:r>
    </w:p>
    <w:p>
      <w:pPr>
        <w:pStyle w:val="Heading2"/>
        <w:rPr/>
      </w:pPr>
      <w:bookmarkStart w:id="1" w:name="X2a26b784290afcf59b085c472e937fe0771d283"/>
      <w:r>
        <w:rPr/>
        <w:t>Data Availability and Provenance Statements</w:t>
      </w:r>
      <w:bookmarkEnd w:id="1"/>
    </w:p>
    <w:p>
      <w:pPr>
        <w:pStyle w:val="Normal"/>
        <w:rPr/>
      </w:pPr>
      <w:r>
        <w:rPr/>
        <w:t xml:space="preserve">All data is included in the replication package (including the original 2016 data). The secondary data is </w:t>
      </w:r>
      <w:r>
        <w:rPr>
          <w:b/>
        </w:rPr>
        <w:t>extra_vars.dta and</w:t>
      </w:r>
      <w:r>
        <w:rPr/>
        <w:t xml:space="preserve"> </w:t>
      </w:r>
      <w:r>
        <w:rPr>
          <w:b/>
        </w:rPr>
        <w:t>titc_bdvr_pat.dta (</w:t>
      </w:r>
      <w:r>
        <w:rPr/>
        <w:t xml:space="preserve">the latter was also in the original 2016 paper </w:t>
      </w:r>
      <w:r>
        <w:rPr/>
        <w:t xml:space="preserve">(Bloom, Draca and Van Reenen 2016a) </w:t>
      </w:r>
      <w:r>
        <w:rPr/>
        <w:t>and replication file</w:t>
      </w:r>
      <w:r>
        <w:rPr/>
        <w:t>(Bloom, Draca and Van Reenen 2016b)</w:t>
      </w:r>
      <w:r>
        <w:rPr/>
        <w:t xml:space="preserve">. </w:t>
      </w:r>
    </w:p>
    <w:p>
      <w:pPr>
        <w:pStyle w:val="Heading3"/>
        <w:rPr/>
      </w:pPr>
      <w:bookmarkStart w:id="2" w:name="statement-about-rights"/>
      <w:r>
        <w:rPr/>
        <w:t>Statement about Rights</w:t>
      </w:r>
      <w:bookmarkEnd w:id="2"/>
    </w:p>
    <w:p>
      <w:pPr>
        <w:pStyle w:val="Normal"/>
        <w:numPr>
          <w:ilvl w:val="0"/>
          <w:numId w:val="1"/>
        </w:numPr>
        <w:rPr/>
      </w:pPr>
      <w:r>
        <w:rPr/>
        <w:t>☐</w:t>
      </w:r>
      <w:r>
        <w:rPr/>
        <w:t>x I certify that the author(s) of the manuscript have legitimate access to and permission to use the data used in this manuscript.</w:t>
      </w:r>
    </w:p>
    <w:p>
      <w:pPr>
        <w:pStyle w:val="Heading3"/>
        <w:rPr/>
      </w:pPr>
      <w:bookmarkStart w:id="3" w:name="summary-of-availability"/>
      <w:r>
        <w:rPr/>
        <w:t>Summary of Availability</w:t>
      </w:r>
      <w:bookmarkEnd w:id="3"/>
    </w:p>
    <w:p>
      <w:pPr>
        <w:pStyle w:val="Normal"/>
        <w:numPr>
          <w:ilvl w:val="0"/>
          <w:numId w:val="2"/>
        </w:numPr>
        <w:rPr/>
      </w:pPr>
      <w:r>
        <w:rPr/>
        <w:t>☐</w:t>
      </w:r>
      <w:r>
        <w:rPr/>
        <w:t xml:space="preserve">x All data </w:t>
      </w:r>
      <w:r>
        <w:rPr>
          <w:b/>
        </w:rPr>
        <w:t>are</w:t>
      </w:r>
      <w:r>
        <w:rPr/>
        <w:t xml:space="preserve"> publicly available.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☐ </w:t>
      </w:r>
      <w:r>
        <w:rPr/>
        <w:t xml:space="preserve">Some data </w:t>
      </w:r>
      <w:r>
        <w:rPr>
          <w:b/>
        </w:rPr>
        <w:t>cannot be made</w:t>
      </w:r>
      <w:r>
        <w:rPr/>
        <w:t xml:space="preserve"> publicly available.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☐ </w:t>
      </w:r>
      <w:r>
        <w:rPr>
          <w:b/>
        </w:rPr>
        <w:t>No data can be made</w:t>
      </w:r>
      <w:r>
        <w:rPr/>
        <w:t xml:space="preserve"> publicly available.</w:t>
      </w:r>
    </w:p>
    <w:p>
      <w:pPr>
        <w:pStyle w:val="Heading3"/>
        <w:rPr/>
      </w:pPr>
      <w:bookmarkStart w:id="4" w:name="details-on-each-data-source"/>
      <w:r>
        <w:rPr/>
        <w:t>Details on each Data Source</w:t>
      </w:r>
      <w:bookmarkEnd w:id="4"/>
    </w:p>
    <w:p>
      <w:pPr>
        <w:pStyle w:val="Heading3"/>
        <w:rPr>
          <w:rFonts w:ascii="Cambria" w:hAnsi="Cambria" w:eastAsia="Cambria" w:cs="" w:asciiTheme="minorHAnsi" w:cstheme="minorBidi" w:eastAsiaTheme="minorHAnsi" w:hAnsiTheme="minorHAnsi"/>
          <w:b w:val="false"/>
          <w:b w:val="false"/>
          <w:bCs w:val="false"/>
          <w:color w:val="auto"/>
        </w:rPr>
      </w:pPr>
      <w:bookmarkStart w:id="5" w:name="X602800f1b15ea7ce0cec9c747ec89e031cc2aa8"/>
      <w:r>
        <w:rPr>
          <w:rFonts w:eastAsia="Cambria" w:cs="" w:ascii="Cambria" w:hAnsi="Cambria" w:asciiTheme="minorHAnsi" w:cstheme="minorBidi" w:eastAsiaTheme="minorHAnsi" w:hAnsiTheme="minorHAnsi"/>
          <w:b w:val="false"/>
          <w:bCs w:val="false"/>
          <w:color w:val="auto"/>
        </w:rPr>
        <w:t xml:space="preserve">The data is extra_vars.dta, and titc_bdvr_pat.dta </w:t>
      </w:r>
      <w:bookmarkEnd w:id="5"/>
    </w:p>
    <w:p>
      <w:pPr>
        <w:pStyle w:val="Heading2"/>
        <w:rPr/>
      </w:pPr>
      <w:bookmarkStart w:id="6" w:name="dataset-list"/>
      <w:r>
        <w:rPr/>
        <w:t>Dataset list</w:t>
      </w:r>
      <w:bookmarkEnd w:id="6"/>
    </w:p>
    <w:p>
      <w:pPr>
        <w:pStyle w:val="BlockText"/>
        <w:rPr/>
      </w:pPr>
      <w:r>
        <w:rPr/>
      </w:r>
    </w:p>
    <w:tbl>
      <w:tblPr>
        <w:tblStyle w:val="Table"/>
        <w:tblW w:w="495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7e0" w:noVBand="1" w:noHBand="1" w:lastColumn="1" w:firstColumn="1" w:lastRow="1" w:firstRow="1"/>
      </w:tblPr>
      <w:tblGrid>
        <w:gridCol w:w="2035"/>
        <w:gridCol w:w="4639"/>
        <w:gridCol w:w="1453"/>
        <w:gridCol w:w="1138"/>
      </w:tblGrid>
      <w:tr>
        <w:trPr/>
        <w:tc>
          <w:tcPr>
            <w:tcW w:w="203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Data file</w:t>
            </w:r>
          </w:p>
        </w:tc>
        <w:tc>
          <w:tcPr>
            <w:tcW w:w="463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Source</w:t>
            </w:r>
          </w:p>
        </w:tc>
        <w:tc>
          <w:tcPr>
            <w:tcW w:w="145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Notes</w:t>
            </w:r>
          </w:p>
        </w:tc>
        <w:tc>
          <w:tcPr>
            <w:tcW w:w="113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Provided</w:t>
            </w:r>
          </w:p>
        </w:tc>
      </w:tr>
      <w:tr>
        <w:trPr/>
        <w:tc>
          <w:tcPr>
            <w:tcW w:w="2035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>
                <w:b/>
              </w:rPr>
              <w:t>extra_vars.dta</w:t>
            </w:r>
          </w:p>
        </w:tc>
        <w:tc>
          <w:tcPr>
            <w:tcW w:w="4639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  <w:t>PATSTAT, ORBIS, UNCOMTRADE, PRODCOM</w:t>
            </w:r>
          </w:p>
        </w:tc>
        <w:tc>
          <w:tcPr>
            <w:tcW w:w="1453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  <w:t>Confidential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  <w:t>Yes</w:t>
            </w:r>
          </w:p>
        </w:tc>
      </w:tr>
      <w:tr>
        <w:trPr/>
        <w:tc>
          <w:tcPr>
            <w:tcW w:w="2035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>
                <w:b/>
              </w:rPr>
              <w:t>titc_bdvr_pat.dta</w:t>
            </w:r>
          </w:p>
        </w:tc>
        <w:tc>
          <w:tcPr>
            <w:tcW w:w="4639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  <w:t>PATSTAT, ORBIS, UNCOMTRADE, PRODCOM</w:t>
            </w:r>
          </w:p>
        </w:tc>
        <w:tc>
          <w:tcPr>
            <w:tcW w:w="1453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  <w:t>Confidential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  <w:t>Yes</w:t>
            </w:r>
          </w:p>
        </w:tc>
      </w:tr>
    </w:tbl>
    <w:p>
      <w:pPr>
        <w:pStyle w:val="Heading2"/>
        <w:rPr/>
      </w:pPr>
      <w:r>
        <w:rPr>
          <w:rFonts w:eastAsia="Cambria" w:cs="" w:ascii="Cambria" w:hAnsi="Cambria" w:asciiTheme="minorHAnsi" w:cstheme="minorBidi" w:eastAsiaTheme="minorHAnsi" w:hAnsiTheme="minorHAnsi"/>
          <w:b w:val="false"/>
          <w:bCs w:val="false"/>
          <w:color w:val="auto"/>
          <w:sz w:val="24"/>
          <w:szCs w:val="24"/>
        </w:rPr>
        <w:t>Please see references for data sources.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7" w:name="_GoBack"/>
      <w:bookmarkEnd w:id="7"/>
      <w:r>
        <w:rPr/>
        <w:t>Computational requirements</w:t>
      </w:r>
    </w:p>
    <w:p>
      <w:pPr>
        <w:pStyle w:val="BlockText"/>
        <w:rPr/>
      </w:pPr>
      <w:r>
        <w:rPr/>
        <w:t>Basic PC</w:t>
      </w:r>
    </w:p>
    <w:p>
      <w:pPr>
        <w:pStyle w:val="Heading3"/>
        <w:rPr/>
      </w:pPr>
      <w:bookmarkStart w:id="8" w:name="software-requirements"/>
      <w:r>
        <w:rPr/>
        <w:t>Software Requirements</w:t>
      </w:r>
      <w:bookmarkEnd w:id="8"/>
    </w:p>
    <w:p>
      <w:pPr>
        <w:pStyle w:val="Normal"/>
        <w:numPr>
          <w:ilvl w:val="0"/>
          <w:numId w:val="3"/>
        </w:numPr>
        <w:rPr/>
      </w:pPr>
      <w:r>
        <w:rPr/>
        <w:t>Stata (code was last run with version 15.1)</w:t>
      </w:r>
    </w:p>
    <w:p>
      <w:pPr>
        <w:pStyle w:val="Normal"/>
        <w:numPr>
          <w:ilvl w:val="1"/>
          <w:numId w:val="4"/>
        </w:numPr>
        <w:rPr/>
      </w:pPr>
      <w:r>
        <w:rPr>
          <w:rStyle w:val="VerbatimChar"/>
        </w:rPr>
        <w:t>estout</w:t>
      </w:r>
      <w:r>
        <w:rPr/>
        <w:t xml:space="preserve"> and estab are installed at line 7 of </w:t>
      </w:r>
      <w:r>
        <w:rPr>
          <w:b/>
        </w:rPr>
        <w:t xml:space="preserve">CM_Response_Revised_v2.do </w:t>
      </w:r>
      <w:r>
        <w:rPr/>
        <w:t>(currently commented out – take out comment if you have not installed them)</w:t>
      </w:r>
    </w:p>
    <w:p>
      <w:pPr>
        <w:pStyle w:val="Heading4"/>
        <w:rPr/>
      </w:pPr>
      <w:bookmarkStart w:id="9" w:name="summary"/>
      <w:r>
        <w:rPr/>
        <w:t>Summary</w:t>
      </w:r>
      <w:bookmarkEnd w:id="9"/>
    </w:p>
    <w:p>
      <w:pPr>
        <w:pStyle w:val="FirstParagraph"/>
        <w:rPr/>
      </w:pPr>
      <w:r>
        <w:rPr/>
        <w:t>Approximate time needed to reproduce the analyses on a standard (CURRENT YEAR) desktop machine: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☐ </w:t>
      </w:r>
      <w:r>
        <w:rPr/>
        <w:t>&lt;10 minutes</w:t>
      </w:r>
    </w:p>
    <w:p>
      <w:pPr>
        <w:pStyle w:val="Normal"/>
        <w:numPr>
          <w:ilvl w:val="0"/>
          <w:numId w:val="5"/>
        </w:numPr>
        <w:rPr/>
      </w:pPr>
      <w:r>
        <w:rPr/>
        <w:t>☐</w:t>
      </w:r>
      <w:r>
        <w:rPr/>
        <w:t>x 10-60 minutes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☐ </w:t>
      </w:r>
      <w:r>
        <w:rPr/>
        <w:t>1-8 hours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☐ </w:t>
      </w:r>
      <w:r>
        <w:rPr/>
        <w:t>8-24 hours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☐ </w:t>
      </w:r>
      <w:r>
        <w:rPr/>
        <w:t>1-3 days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☐ </w:t>
      </w:r>
      <w:r>
        <w:rPr/>
        <w:t>3-14 days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☐ </w:t>
      </w:r>
      <w:r>
        <w:rPr/>
        <w:t>&gt; 14 days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☐ </w:t>
      </w:r>
      <w:r>
        <w:rPr/>
        <w:t>Not feasible to run on a desktop machine, as described below.</w:t>
      </w:r>
    </w:p>
    <w:p>
      <w:pPr>
        <w:pStyle w:val="Heading4"/>
        <w:rPr/>
      </w:pPr>
      <w:bookmarkStart w:id="10" w:name="details"/>
      <w:r>
        <w:rPr/>
        <w:t>Details</w:t>
      </w:r>
      <w:bookmarkEnd w:id="10"/>
    </w:p>
    <w:p>
      <w:pPr>
        <w:pStyle w:val="FirstParagraph"/>
        <w:rPr/>
      </w:pPr>
      <w:r>
        <w:rPr/>
        <w:t>The code was last run on a 4-core Intel-based laptop with Windows version 10.</w:t>
      </w:r>
    </w:p>
    <w:p>
      <w:pPr>
        <w:pStyle w:val="Heading2"/>
        <w:rPr/>
      </w:pPr>
      <w:bookmarkStart w:id="11" w:name="description-of-programscode"/>
      <w:r>
        <w:rPr/>
        <w:t>Description of programs/code</w:t>
      </w:r>
      <w:bookmarkEnd w:id="11"/>
    </w:p>
    <w:p>
      <w:pPr>
        <w:pStyle w:val="Normal"/>
        <w:rPr/>
      </w:pPr>
      <w:bookmarkStart w:id="12" w:name="instructions-to-replicators"/>
      <w:r>
        <w:rPr>
          <w:b/>
        </w:rPr>
        <w:t>CM_Response_Revised_v2.do</w:t>
      </w:r>
      <w:r>
        <w:rPr/>
        <w:t xml:space="preserve"> creates all the outputs.</w:t>
      </w:r>
    </w:p>
    <w:p>
      <w:pPr>
        <w:pStyle w:val="Normal"/>
        <w:rPr/>
      </w:pPr>
      <w:r>
        <w:rPr/>
        <w:t xml:space="preserve">It creates </w:t>
      </w:r>
      <w:r>
        <w:rPr>
          <w:b/>
        </w:rPr>
        <w:t xml:space="preserve">CM_Response_Revised_v2.log </w:t>
      </w:r>
      <w:r>
        <w:rPr/>
        <w:t>and</w:t>
      </w:r>
      <w:r>
        <w:rPr>
          <w:b/>
        </w:rPr>
        <w:t xml:space="preserve"> </w:t>
      </w:r>
      <w:r>
        <w:rPr/>
        <w:t>the excel files</w:t>
      </w:r>
      <w:r>
        <w:rPr>
          <w:b/>
        </w:rPr>
        <w:t xml:space="preserve"> Tab1 and TabA1 </w:t>
      </w:r>
    </w:p>
    <w:p>
      <w:pPr>
        <w:pStyle w:val="Heading2"/>
        <w:rPr/>
      </w:pPr>
      <w:bookmarkStart w:id="13" w:name="instructions-to-replicators"/>
      <w:r>
        <w:rPr/>
        <w:t>Instructions to Replicators</w:t>
      </w:r>
      <w:bookmarkEnd w:id="13"/>
    </w:p>
    <w:p>
      <w:pPr>
        <w:pStyle w:val="Normal"/>
        <w:numPr>
          <w:ilvl w:val="0"/>
          <w:numId w:val="6"/>
        </w:numPr>
        <w:rPr/>
      </w:pPr>
      <w:r>
        <w:rPr/>
        <w:t>Edit line global dir "C:\Users\vanreene\Dropbox (WMS)\TITC_2019\_November2020\Replication\"</w:t>
      </w:r>
      <w:r>
        <w:rPr>
          <w:rStyle w:val="VerbatimChar"/>
        </w:rPr>
        <w:t>programs/config.do</w:t>
      </w:r>
      <w:r>
        <w:rPr/>
        <w:t xml:space="preserve"> to adjust the default path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Run </w:t>
      </w:r>
      <w:r>
        <w:rPr>
          <w:b/>
        </w:rPr>
        <w:t>CM_Response_Revised_v2.do</w:t>
      </w:r>
    </w:p>
    <w:p>
      <w:pPr>
        <w:pStyle w:val="Heading2"/>
        <w:rPr/>
      </w:pPr>
      <w:bookmarkStart w:id="14" w:name="list-of-tables-and-programs"/>
      <w:r>
        <w:rPr/>
        <w:t>List of tables and programs</w:t>
      </w:r>
      <w:bookmarkEnd w:id="14"/>
    </w:p>
    <w:p>
      <w:pPr>
        <w:pStyle w:val="FirstParagraph"/>
        <w:rPr/>
      </w:pPr>
      <w:r>
        <w:rPr/>
        <w:t>The provided code reproduces:</w:t>
      </w:r>
    </w:p>
    <w:p>
      <w:pPr>
        <w:pStyle w:val="Normal"/>
        <w:numPr>
          <w:ilvl w:val="0"/>
          <w:numId w:val="7"/>
        </w:numPr>
        <w:rPr/>
      </w:pPr>
      <w:r>
        <w:rPr/>
        <w:t>☐</w:t>
      </w:r>
      <w:r>
        <w:rPr/>
        <w:t>x All numbers provided in text in the paper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☐ </w:t>
      </w:r>
      <w:r>
        <w:rPr/>
        <w:t>All tables and figures in the paper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☐ </w:t>
      </w:r>
      <w:r>
        <w:rPr/>
        <w:t>Selected tables and figures in the paper, as explained and justified below.</w:t>
      </w:r>
    </w:p>
    <w:tbl>
      <w:tblPr>
        <w:tblStyle w:val="Table"/>
        <w:tblW w:w="500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7e0" w:noVBand="1" w:noHBand="1" w:lastColumn="1" w:firstColumn="1" w:lastRow="1" w:firstRow="1"/>
      </w:tblPr>
      <w:tblGrid>
        <w:gridCol w:w="1905"/>
        <w:gridCol w:w="3611"/>
        <w:gridCol w:w="1676"/>
        <w:gridCol w:w="1408"/>
        <w:gridCol w:w="760"/>
      </w:tblGrid>
      <w:tr>
        <w:trPr/>
        <w:tc>
          <w:tcPr>
            <w:tcW w:w="190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Figure/Table #</w:t>
            </w:r>
          </w:p>
        </w:tc>
        <w:tc>
          <w:tcPr>
            <w:tcW w:w="361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Program</w:t>
            </w:r>
          </w:p>
        </w:tc>
        <w:tc>
          <w:tcPr>
            <w:tcW w:w="167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Line Number</w:t>
            </w:r>
          </w:p>
        </w:tc>
        <w:tc>
          <w:tcPr>
            <w:tcW w:w="140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Output file</w:t>
            </w:r>
          </w:p>
        </w:tc>
        <w:tc>
          <w:tcPr>
            <w:tcW w:w="76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>Note</w:t>
            </w:r>
          </w:p>
        </w:tc>
      </w:tr>
      <w:tr>
        <w:trPr/>
        <w:tc>
          <w:tcPr>
            <w:tcW w:w="1905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  <w:t>Table 1</w:t>
            </w:r>
          </w:p>
        </w:tc>
        <w:tc>
          <w:tcPr>
            <w:tcW w:w="3611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>
                <w:b/>
              </w:rPr>
              <w:t>CM_Response_Revised_v2.do</w:t>
            </w:r>
          </w:p>
        </w:tc>
        <w:tc>
          <w:tcPr>
            <w:tcW w:w="167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  <w:t>51</w:t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  <w:t>Tab1.xls</w:t>
            </w:r>
          </w:p>
        </w:tc>
        <w:tc>
          <w:tcPr>
            <w:tcW w:w="7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05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  <w:t>Table A1</w:t>
            </w:r>
          </w:p>
        </w:tc>
        <w:tc>
          <w:tcPr>
            <w:tcW w:w="3611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>
                <w:b/>
              </w:rPr>
              <w:t>CM_Response_Revised_v2.do</w:t>
            </w:r>
          </w:p>
        </w:tc>
        <w:tc>
          <w:tcPr>
            <w:tcW w:w="1676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  <w:t>66</w:t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  <w:t>TabA1.xls</w:t>
            </w:r>
          </w:p>
        </w:tc>
        <w:tc>
          <w:tcPr>
            <w:tcW w:w="7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pStyle w:val="Heading2"/>
        <w:rPr/>
      </w:pPr>
      <w:r>
        <w:rPr/>
      </w:r>
    </w:p>
    <w:p>
      <w:pPr>
        <w:pStyle w:val="TextBody"/>
        <w:rPr>
          <w:rFonts w:ascii="Calibri" w:hAnsi="Calibri" w:eastAsia="" w:cs="" w:asciiTheme="majorHAnsi" w:cstheme="majorBidi" w:eastAsiaTheme="majorEastAsia" w:hAnsiTheme="majorHAnsi"/>
          <w:b/>
          <w:b/>
          <w:bCs/>
          <w:color w:val="4F81BD" w:themeColor="accent1"/>
          <w:sz w:val="28"/>
          <w:szCs w:val="28"/>
        </w:rPr>
      </w:pPr>
      <w:r>
        <w:rPr>
          <w:rFonts w:eastAsia="" w:cs="" w:cstheme="majorBidi" w:eastAsiaTheme="majorEastAsia" w:ascii="Calibri" w:hAnsi="Calibri"/>
          <w:b/>
          <w:bCs/>
          <w:color w:val="4F81BD" w:themeColor="accent1"/>
          <w:sz w:val="28"/>
          <w:szCs w:val="28"/>
        </w:rPr>
        <w:t>References</w:t>
      </w:r>
    </w:p>
    <w:p>
      <w:pPr>
        <w:pStyle w:val="TextBody"/>
        <w:rPr/>
      </w:pPr>
      <w:r>
        <w:rPr/>
        <w:t>Bloom, Nicholas, Draca, Mirko and Van Reenen, John (2016</w:t>
      </w:r>
      <w:r>
        <w:rPr/>
        <w:t>a</w:t>
      </w:r>
      <w:r>
        <w:rPr/>
        <w:t>), “Trade induced technical change? The Impact of Chinese Imports on Innovation, IT and Productivity, Review of Economic Studies 83(1), 87-117.</w:t>
      </w:r>
    </w:p>
    <w:p>
      <w:pPr>
        <w:pStyle w:val="TextBody"/>
        <w:rPr/>
      </w:pPr>
      <w:r>
        <w:rPr/>
        <w:t xml:space="preserve">Bloom, Nicholas, Mirko Draca, and John Van Reenen. </w:t>
      </w:r>
      <w:r>
        <w:rPr/>
        <w:t>(</w:t>
      </w:r>
      <w:r>
        <w:rPr/>
        <w:t>2016</w:t>
      </w:r>
      <w:r>
        <w:rPr/>
        <w:t>b)</w:t>
      </w:r>
      <w:r>
        <w:rPr/>
        <w:t xml:space="preserve">. "Supplementary data for: Trade Induced Technical Change? The Impact of Chinese imports on innovation, IT and productivity." [dataset] Retrieved from </w:t>
      </w:r>
      <w:hyperlink r:id="rId2">
        <w:r>
          <w:rPr>
            <w:rStyle w:val="InternetLink"/>
          </w:rPr>
          <w:t>https://doi.org/10.1093/restud/rdv039</w:t>
        </w:r>
      </w:hyperlink>
      <w:hyperlink r:id="rId3">
        <w:r>
          <w:rPr/>
          <w:t xml:space="preserve"> </w:t>
        </w:r>
      </w:hyperlink>
    </w:p>
    <w:p>
      <w:pPr>
        <w:pStyle w:val="TextBody"/>
        <w:rPr/>
      </w:pPr>
      <w:r>
        <w:rPr/>
        <w:t>Bloom, Nicholas, Mirko Draca and John Van Reenen, (2020) “A Reply to Campbell and Mau”</w:t>
      </w:r>
    </w:p>
    <w:p>
      <w:pPr>
        <w:pStyle w:val="TextBody"/>
        <w:rPr/>
      </w:pPr>
      <w:r>
        <w:rPr/>
        <w:t xml:space="preserve">Bureau Van Dijk (2020) Company Account Statistics (ORBIS) [dataset] Retrieved from </w:t>
      </w:r>
      <w:hyperlink r:id="rId4">
        <w:r>
          <w:rPr>
            <w:rStyle w:val="InternetLink"/>
          </w:rPr>
          <w:t>https://www.bvdinfo.com/en-gb/our-products/data/international/orbis</w:t>
        </w:r>
      </w:hyperlink>
      <w:r>
        <w:rPr/>
        <w:t xml:space="preserve"> </w:t>
      </w:r>
    </w:p>
    <w:p>
      <w:pPr>
        <w:pStyle w:val="TextBody"/>
        <w:rPr/>
      </w:pPr>
      <w:r>
        <w:rPr/>
        <w:t>Campbell, Douglas and Karsten Mau (2020) “On Trade Induced Technical Change: The impact of Chinese Imports on Innovation, IT and Productivity”, mimeo</w:t>
      </w:r>
    </w:p>
    <w:p>
      <w:pPr>
        <w:pStyle w:val="TextBody"/>
        <w:rPr/>
      </w:pPr>
      <w:r>
        <w:rPr/>
        <w:t xml:space="preserve">European Patent Office (2020) Patent Statistics (PATSTAT) [dataset] Retrieved from </w:t>
      </w:r>
      <w:hyperlink r:id="rId5">
        <w:r>
          <w:rPr>
            <w:rStyle w:val="InternetLink"/>
          </w:rPr>
          <w:t>https://www.epo.org/searching-for-patents/business/patstat.html</w:t>
        </w:r>
      </w:hyperlink>
      <w:r>
        <w:rPr/>
        <w:t xml:space="preserve"> </w:t>
      </w:r>
    </w:p>
    <w:p>
      <w:pPr>
        <w:pStyle w:val="TextBody"/>
        <w:rPr/>
      </w:pPr>
      <w:r>
        <w:rPr/>
        <w:t xml:space="preserve">Eurostat (2020) Statistics on the production of manufactured goods (PRODCOM). [Data set] Retrieved from </w:t>
      </w:r>
      <w:hyperlink r:id="rId6">
        <w:r>
          <w:rPr>
            <w:rStyle w:val="InternetLink"/>
          </w:rPr>
          <w:t>https://ec.europa.eu/eurostat/web/prodcom/data/database</w:t>
        </w:r>
      </w:hyperlink>
      <w:r>
        <w:rPr/>
        <w:t xml:space="preserve"> </w:t>
      </w:r>
    </w:p>
    <w:p>
      <w:pPr>
        <w:pStyle w:val="TextBody"/>
        <w:spacing w:before="180" w:after="180"/>
        <w:rPr/>
      </w:pPr>
      <w:r>
        <w:rPr/>
        <w:t xml:space="preserve">United Nations (2020) Statistics on trade (COMTRADE) [Data set] Retrieved from </w:t>
      </w:r>
      <w:hyperlink r:id="rId7">
        <w:r>
          <w:rPr>
            <w:rStyle w:val="InternetLink"/>
          </w:rPr>
          <w:t>https://comtrade.un.org/</w:t>
        </w:r>
      </w:hyperlink>
      <w:r>
        <w:rPr/>
        <w:t xml:space="preserve">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ListLabel1">
    <w:name w:val="ListLabel 1"/>
    <w:qFormat/>
    <w:rPr>
      <w:rFonts w:ascii="Cambria" w:hAnsi="Cambria" w:eastAsia="Cambria" w:cs="" w:asciiTheme="minorHAnsi" w:cstheme="minorBidi" w:eastAsiaTheme="minorHAnsi" w:hAnsiTheme="minorHAnsi"/>
      <w:b w:val="false"/>
      <w:bCs w:val="false"/>
      <w:sz w:val="24"/>
      <w:szCs w:val="24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093/restud/rdv039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bvdinfo.com/en-gb/our-products/data/international/orbis" TargetMode="External"/><Relationship Id="rId5" Type="http://schemas.openxmlformats.org/officeDocument/2006/relationships/hyperlink" Target="https://www.epo.org/searching-for-patents/business/patstat.html" TargetMode="External"/><Relationship Id="rId6" Type="http://schemas.openxmlformats.org/officeDocument/2006/relationships/hyperlink" Target="https://ec.europa.eu/eurostat/web/prodcom/data/database" TargetMode="External"/><Relationship Id="rId7" Type="http://schemas.openxmlformats.org/officeDocument/2006/relationships/hyperlink" Target="https://comtrade.un.org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LibreOffice/6.1.2.1$MacOSX_X86_64 LibreOffice_project/65905a128db06ba48db947242809d14d3f9a93fe</Application>
  <Pages>3</Pages>
  <Words>574</Words>
  <Characters>3431</Characters>
  <CharactersWithSpaces>3919</CharactersWithSpaces>
  <Paragraphs>79</Paragraphs>
  <Company>Massachusetts Institute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2020-12-28T20:57:00Z</dcterms:created>
  <dc:creator>John Van Reenen</dc:creator>
  <dc:description/>
  <dc:language>en-US</dc:language>
  <cp:lastModifiedBy/>
  <dcterms:modified xsi:type="dcterms:W3CDTF">2021-01-22T17:11:11Z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Massachusetts Institute of Technology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