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E526E" w14:textId="609584A0" w:rsidR="00F1449D" w:rsidRDefault="001B3956" w:rsidP="00F1449D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Informality, Consumption Taxes and Redistribution</w:t>
      </w:r>
    </w:p>
    <w:p w14:paraId="630DE5EF" w14:textId="77777777" w:rsidR="00883CC8" w:rsidRDefault="00883CC8" w:rsidP="00F1449D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6AC6F89E" w14:textId="6E3CAC0D" w:rsidR="001B3956" w:rsidRDefault="001B3956" w:rsidP="00F1449D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A2B0E7F" w14:textId="273AECAC" w:rsidR="003226A0" w:rsidRDefault="003226A0" w:rsidP="00000991">
      <w:pPr>
        <w:jc w:val="center"/>
        <w:rPr>
          <w:rFonts w:ascii="Times New Roman" w:hAnsi="Times New Roman" w:cs="Times New Roman"/>
          <w:lang w:val="en-US"/>
        </w:rPr>
      </w:pPr>
      <w:r w:rsidRPr="008802A6">
        <w:rPr>
          <w:rFonts w:ascii="Times New Roman" w:hAnsi="Times New Roman" w:cs="Times New Roman"/>
          <w:lang w:val="en-US"/>
        </w:rPr>
        <w:t>README</w:t>
      </w:r>
      <w:r w:rsidR="001B3956">
        <w:rPr>
          <w:rFonts w:ascii="Times New Roman" w:hAnsi="Times New Roman" w:cs="Times New Roman"/>
          <w:lang w:val="en-US"/>
        </w:rPr>
        <w:t xml:space="preserve"> FOR DATA-SETS AND ANALYIS RELATED TO MEXICO REFORM</w:t>
      </w:r>
    </w:p>
    <w:p w14:paraId="1A965D13" w14:textId="157D6C89" w:rsidR="00883CC8" w:rsidRDefault="00883CC8" w:rsidP="00000991">
      <w:pPr>
        <w:jc w:val="center"/>
        <w:rPr>
          <w:rFonts w:ascii="Times New Roman" w:hAnsi="Times New Roman" w:cs="Times New Roman"/>
          <w:lang w:val="en-US"/>
        </w:rPr>
      </w:pPr>
    </w:p>
    <w:p w14:paraId="07B973F4" w14:textId="77777777" w:rsidR="00883CC8" w:rsidRPr="008802A6" w:rsidRDefault="00883CC8" w:rsidP="00000991">
      <w:pPr>
        <w:jc w:val="center"/>
        <w:rPr>
          <w:rFonts w:ascii="Times New Roman" w:hAnsi="Times New Roman" w:cs="Times New Roman"/>
          <w:lang w:val="en-US"/>
        </w:rPr>
      </w:pPr>
    </w:p>
    <w:p w14:paraId="70D800AA" w14:textId="77777777" w:rsidR="007A134A" w:rsidRPr="008802A6" w:rsidRDefault="007A134A" w:rsidP="00551DC2">
      <w:pPr>
        <w:rPr>
          <w:rFonts w:ascii="Times New Roman" w:hAnsi="Times New Roman" w:cs="Times New Roman"/>
          <w:lang w:val="en-US"/>
        </w:rPr>
      </w:pPr>
    </w:p>
    <w:p w14:paraId="299E747E" w14:textId="689E808A" w:rsidR="00F27731" w:rsidRPr="00521C33" w:rsidRDefault="00F27731" w:rsidP="00521C33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521C33">
        <w:rPr>
          <w:rFonts w:ascii="Times New Roman" w:hAnsi="Times New Roman" w:cs="Times New Roman"/>
          <w:b/>
          <w:bCs/>
          <w:u w:val="single"/>
          <w:lang w:val="en-US"/>
        </w:rPr>
        <w:t>Data availability statement</w:t>
      </w:r>
    </w:p>
    <w:p w14:paraId="3EE7CDA1" w14:textId="77777777" w:rsidR="00F27731" w:rsidRPr="008802A6" w:rsidRDefault="00F27731" w:rsidP="00F27731">
      <w:pPr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eastAsia="da-DK"/>
        </w:rPr>
      </w:pPr>
    </w:p>
    <w:p w14:paraId="04BCF595" w14:textId="627FBBE0" w:rsidR="000C7B96" w:rsidRDefault="006D6E26" w:rsidP="00C02519">
      <w:pPr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</w:pPr>
      <w:r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Some of t</w:t>
      </w:r>
      <w:r w:rsidR="00F27731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he data</w:t>
      </w:r>
      <w:r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sets used</w:t>
      </w:r>
      <w:r w:rsidR="00F27731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for this project are confidential</w:t>
      </w:r>
      <w:r w:rsidR="009D25AB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and were accessed on-site at INEGI’s </w:t>
      </w:r>
      <w:r w:rsidR="00000991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m</w:t>
      </w:r>
      <w:r w:rsidR="009D25AB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icrodata lab</w:t>
      </w:r>
      <w:r w:rsidR="008802A6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.</w:t>
      </w:r>
      <w:r w:rsidR="00D11051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</w:t>
      </w:r>
      <w:r w:rsidR="00F34A0E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Specifically, confidential data from the micro data-lab was used to analyze the Mexican VAT reform (Section 6 of the paper</w:t>
      </w:r>
      <w:r w:rsidR="000C7B96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).</w:t>
      </w:r>
      <w:r w:rsidR="00604E83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This README document details the data for that analysis.</w:t>
      </w:r>
    </w:p>
    <w:p w14:paraId="2FB1A223" w14:textId="77777777" w:rsidR="000C7B96" w:rsidRDefault="000C7B96" w:rsidP="00C02519">
      <w:pPr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</w:pPr>
    </w:p>
    <w:p w14:paraId="1A40C30F" w14:textId="29B1FE2F" w:rsidR="007A08D1" w:rsidRPr="00D11051" w:rsidRDefault="00D11051" w:rsidP="00C02519">
      <w:pPr>
        <w:jc w:val="both"/>
      </w:pPr>
      <w:r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INEGI is the National Institute of Statistics and Geography (INEGI) in Mexico. </w:t>
      </w:r>
      <w:r w:rsidR="00000991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</w:t>
      </w:r>
      <w:r w:rsidR="00062A26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Access</w:t>
      </w:r>
      <w:r w:rsidR="00FC4051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to </w:t>
      </w:r>
      <w:r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the </w:t>
      </w:r>
      <w:r w:rsidR="009B7FCE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micro</w:t>
      </w:r>
      <w:r w:rsidR="00FC4051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data</w:t>
      </w:r>
      <w:r w:rsidR="009B7FCE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lab</w:t>
      </w:r>
      <w:r w:rsidR="008802A6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m</w:t>
      </w:r>
      <w:r w:rsidR="00F27731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ay be obtained</w:t>
      </w:r>
      <w:r w:rsidR="009A53DC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</w:t>
      </w:r>
      <w:r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upon registering with INEGI. </w:t>
      </w:r>
      <w:r w:rsidR="00B24DC6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Access to the microdata lab is only granted for public policy and academic research</w:t>
      </w:r>
      <w:r w:rsidR="000C7B96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purposes.</w:t>
      </w:r>
      <w:r w:rsidR="00B24DC6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</w:t>
      </w:r>
      <w:r w:rsidR="009A53DC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Researchers interested in access to the data may contact </w:t>
      </w:r>
      <w:hyperlink r:id="rId7" w:history="1">
        <w:r w:rsidR="00F446E9" w:rsidRPr="00D11051">
          <w:rPr>
            <w:rStyle w:val="Hyperlink"/>
            <w:rFonts w:ascii="Times New Roman" w:eastAsia="Times New Roman" w:hAnsi="Times New Roman" w:cs="Times New Roman"/>
            <w:shd w:val="clear" w:color="auto" w:fill="FFFFFF"/>
            <w:lang w:val="en-US" w:eastAsia="da-DK"/>
          </w:rPr>
          <w:t>microdatos@inegi.org.mx</w:t>
        </w:r>
      </w:hyperlink>
      <w:r w:rsidR="00F446E9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</w:t>
      </w:r>
      <w:r w:rsidR="00B34B9E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. More information on process to access can also be found here: </w:t>
      </w:r>
      <w:hyperlink r:id="rId8" w:history="1">
        <w:r w:rsidR="001D463C" w:rsidRPr="003B7793">
          <w:rPr>
            <w:rStyle w:val="Hyperlink"/>
          </w:rPr>
          <w:t>https://www.inegi.org.mx/app/microdatos/solicitud/</w:t>
        </w:r>
      </w:hyperlink>
    </w:p>
    <w:p w14:paraId="4A431101" w14:textId="77777777" w:rsidR="009A53DC" w:rsidRPr="00D11051" w:rsidRDefault="009A53DC" w:rsidP="00C02519">
      <w:pPr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</w:pPr>
    </w:p>
    <w:p w14:paraId="1611B248" w14:textId="41D84485" w:rsidR="007C2D81" w:rsidRDefault="007C2D81" w:rsidP="00C02519">
      <w:pPr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</w:pPr>
      <w:r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The process time that it takes to register with INEGI may vary </w:t>
      </w:r>
      <w:r w:rsidR="00052BEC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depending</w:t>
      </w:r>
      <w:r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</w:t>
      </w:r>
      <w:r w:rsidR="001D463C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on whether the university that the researcher is affiliated with has a pre-existing agreement with INEGI. If a pre-existing agreement is in place, registration likely takes one to two months. In case of no pre-existing university or institute agreement, </w:t>
      </w:r>
      <w:r w:rsidR="001817D7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the interested user </w:t>
      </w:r>
      <w:r w:rsidR="001D463C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needs to directly </w:t>
      </w:r>
      <w:r w:rsidR="001817D7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sign an agreement with </w:t>
      </w:r>
      <w:r w:rsidR="00052BEC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INEGI,</w:t>
      </w:r>
      <w:r w:rsidR="001817D7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and this may take several months</w:t>
      </w:r>
      <w:r w:rsidR="001D463C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to process.</w:t>
      </w:r>
    </w:p>
    <w:p w14:paraId="20C97976" w14:textId="77777777" w:rsidR="001D463C" w:rsidRPr="00D11051" w:rsidRDefault="001D463C" w:rsidP="00C02519">
      <w:pPr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</w:pPr>
    </w:p>
    <w:p w14:paraId="141AA996" w14:textId="7E6D8081" w:rsidR="00052BEC" w:rsidRPr="00D11051" w:rsidRDefault="00F907A4" w:rsidP="00C02519">
      <w:pPr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</w:pPr>
      <w:r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A</w:t>
      </w:r>
      <w:r w:rsidR="00052BEC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ccess to the microdata </w:t>
      </w:r>
      <w:r w:rsidR="00F34CEE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must</w:t>
      </w:r>
      <w:r w:rsidR="00052BEC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be done on-site at INEGI in Mexico City. There is also an option for remote execution of scripts and do files. This service was implemented </w:t>
      </w:r>
      <w:r w:rsidR="00F06ABA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during the global health pandemic, and it is </w:t>
      </w:r>
      <w:r w:rsidR="00052BEC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active</w:t>
      </w:r>
      <w:r w:rsidR="00F06ABA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at the time of this README (May 2023) though there is no official policy as to whether it will </w:t>
      </w:r>
      <w:r w:rsidR="00052BEC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remain active</w:t>
      </w:r>
      <w:r w:rsidR="00977684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on the future</w:t>
      </w:r>
      <w:r w:rsidR="00052BEC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. </w:t>
      </w:r>
      <w:r w:rsidR="00F06ABA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With the remote service, the researcher sends scripts via email; staff at INEGI execute the scripts. </w:t>
      </w:r>
      <w:r w:rsidR="00052BEC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There is no</w:t>
      </w:r>
      <w:r w:rsidR="00DA2605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option of remote</w:t>
      </w:r>
      <w:r w:rsidR="00052BEC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access to the </w:t>
      </w:r>
      <w:r w:rsidR="00F06ABA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data.</w:t>
      </w:r>
    </w:p>
    <w:p w14:paraId="1F5CA1AB" w14:textId="3FB2DA30" w:rsidR="00636E55" w:rsidRPr="00D11051" w:rsidRDefault="00636E55" w:rsidP="00C02519">
      <w:pPr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</w:pPr>
    </w:p>
    <w:p w14:paraId="170FEC78" w14:textId="468F8BD4" w:rsidR="00A04118" w:rsidRPr="00D11051" w:rsidRDefault="00636E55" w:rsidP="00C02519">
      <w:pPr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</w:pPr>
      <w:r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When the </w:t>
      </w:r>
      <w:r w:rsidR="00B33D7C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registration is done,</w:t>
      </w:r>
      <w:r w:rsidR="00E82725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</w:t>
      </w:r>
      <w:r w:rsidR="00034B9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but </w:t>
      </w:r>
      <w:r w:rsidR="00E82725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before access</w:t>
      </w:r>
      <w:r w:rsidR="00E64A3A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ing</w:t>
      </w:r>
      <w:r w:rsidR="00E82725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the data on-site or </w:t>
      </w:r>
      <w:r w:rsidR="00E64A3A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remotely, it is mandatory for the researcher to </w:t>
      </w:r>
      <w:r w:rsidR="00B33D7C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undertake an in-person training</w:t>
      </w:r>
      <w:r w:rsidR="00E64A3A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at the INEGI office in Mexico City. </w:t>
      </w:r>
      <w:r w:rsidR="00A04118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This is a group training </w:t>
      </w:r>
      <w:r w:rsidR="00D87143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with specific dates, depending on the </w:t>
      </w:r>
      <w:r w:rsidR="00A04118"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availability of the personnel at INEGI. For more information on the dates of the next training please reach out to: </w:t>
      </w:r>
      <w:hyperlink r:id="rId9" w:history="1">
        <w:r w:rsidR="00A04118" w:rsidRPr="00D11051">
          <w:rPr>
            <w:rStyle w:val="Hyperlink"/>
            <w:rFonts w:ascii="Times New Roman" w:eastAsia="Times New Roman" w:hAnsi="Times New Roman" w:cs="Times New Roman"/>
            <w:shd w:val="clear" w:color="auto" w:fill="FFFFFF"/>
            <w:lang w:val="en-US" w:eastAsia="da-DK"/>
          </w:rPr>
          <w:t>microdatos@inegi.org.mx</w:t>
        </w:r>
      </w:hyperlink>
    </w:p>
    <w:p w14:paraId="4B693EB3" w14:textId="5ACA1EE4" w:rsidR="00636E55" w:rsidRPr="00D11051" w:rsidRDefault="00C20AFD" w:rsidP="00F27731">
      <w:pPr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</w:pPr>
      <w:r w:rsidRPr="00D11051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</w:t>
      </w:r>
    </w:p>
    <w:p w14:paraId="1B444983" w14:textId="70A2033F" w:rsidR="00012B60" w:rsidRDefault="00012B60" w:rsidP="00F27731">
      <w:pPr>
        <w:rPr>
          <w:rFonts w:ascii="Times New Roman" w:eastAsia="Times New Roman" w:hAnsi="Times New Roman" w:cs="Times New Roman"/>
          <w:color w:val="222222"/>
          <w:shd w:val="clear" w:color="auto" w:fill="FFFFFF"/>
          <w:lang w:val="en-GB" w:eastAsia="da-DK"/>
        </w:rPr>
      </w:pPr>
      <w:r w:rsidRPr="00473404">
        <w:rPr>
          <w:rFonts w:ascii="Times New Roman" w:eastAsia="Times New Roman" w:hAnsi="Times New Roman" w:cs="Times New Roman"/>
          <w:color w:val="222222"/>
          <w:highlight w:val="yellow"/>
          <w:shd w:val="clear" w:color="auto" w:fill="FFFFFF"/>
          <w:lang w:val="en-GB" w:eastAsia="da-DK"/>
        </w:rPr>
        <w:t>All replication scripts, including detailed explanations of data construction, etc. are available at the following DOI</w:t>
      </w:r>
    </w:p>
    <w:p w14:paraId="12637D27" w14:textId="0DC4FEFD" w:rsidR="00883CC8" w:rsidRDefault="00883CC8" w:rsidP="00F27731">
      <w:pPr>
        <w:rPr>
          <w:rFonts w:ascii="Times New Roman" w:eastAsia="Times New Roman" w:hAnsi="Times New Roman" w:cs="Times New Roman"/>
          <w:color w:val="222222"/>
          <w:shd w:val="clear" w:color="auto" w:fill="FFFFFF"/>
          <w:lang w:val="en-GB" w:eastAsia="da-DK"/>
        </w:rPr>
      </w:pPr>
    </w:p>
    <w:p w14:paraId="5976DDC4" w14:textId="244F4069" w:rsidR="00883CC8" w:rsidRDefault="00883CC8" w:rsidP="00F27731">
      <w:pPr>
        <w:rPr>
          <w:rFonts w:ascii="Times New Roman" w:eastAsia="Times New Roman" w:hAnsi="Times New Roman" w:cs="Times New Roman"/>
          <w:color w:val="222222"/>
          <w:shd w:val="clear" w:color="auto" w:fill="FFFFFF"/>
          <w:lang w:val="en-GB" w:eastAsia="da-DK"/>
        </w:rPr>
      </w:pPr>
    </w:p>
    <w:p w14:paraId="1E6D0A5D" w14:textId="127378D3" w:rsidR="006B2063" w:rsidRDefault="006B2063" w:rsidP="00F27731">
      <w:pPr>
        <w:rPr>
          <w:rFonts w:ascii="Times New Roman" w:eastAsia="Times New Roman" w:hAnsi="Times New Roman" w:cs="Times New Roman"/>
          <w:color w:val="222222"/>
          <w:shd w:val="clear" w:color="auto" w:fill="FFFFFF"/>
          <w:lang w:val="en-GB" w:eastAsia="da-DK"/>
        </w:rPr>
      </w:pPr>
    </w:p>
    <w:p w14:paraId="72EEF07F" w14:textId="538D1AAB" w:rsidR="00697075" w:rsidRDefault="00697075" w:rsidP="00F27731">
      <w:pPr>
        <w:rPr>
          <w:rFonts w:ascii="Times New Roman" w:eastAsia="Times New Roman" w:hAnsi="Times New Roman" w:cs="Times New Roman"/>
          <w:color w:val="222222"/>
          <w:shd w:val="clear" w:color="auto" w:fill="FFFFFF"/>
          <w:lang w:val="en-GB" w:eastAsia="da-DK"/>
        </w:rPr>
      </w:pPr>
    </w:p>
    <w:p w14:paraId="6744E690" w14:textId="77777777" w:rsidR="00697075" w:rsidRDefault="00697075" w:rsidP="00F27731">
      <w:pPr>
        <w:rPr>
          <w:rFonts w:ascii="Times New Roman" w:eastAsia="Times New Roman" w:hAnsi="Times New Roman" w:cs="Times New Roman"/>
          <w:color w:val="222222"/>
          <w:shd w:val="clear" w:color="auto" w:fill="FFFFFF"/>
          <w:lang w:val="en-GB" w:eastAsia="da-DK"/>
        </w:rPr>
      </w:pPr>
    </w:p>
    <w:p w14:paraId="446D508F" w14:textId="30B8656D" w:rsidR="006B2063" w:rsidRDefault="006B2063" w:rsidP="00F27731">
      <w:pPr>
        <w:rPr>
          <w:rFonts w:ascii="Times New Roman" w:eastAsia="Times New Roman" w:hAnsi="Times New Roman" w:cs="Times New Roman"/>
          <w:color w:val="222222"/>
          <w:shd w:val="clear" w:color="auto" w:fill="FFFFFF"/>
          <w:lang w:val="en-GB" w:eastAsia="da-DK"/>
        </w:rPr>
      </w:pPr>
    </w:p>
    <w:p w14:paraId="2D17DA85" w14:textId="77777777" w:rsidR="006B2063" w:rsidRPr="00473404" w:rsidRDefault="006B2063" w:rsidP="00F27731">
      <w:pPr>
        <w:rPr>
          <w:rFonts w:ascii="Times New Roman" w:eastAsia="Times New Roman" w:hAnsi="Times New Roman" w:cs="Times New Roman"/>
          <w:color w:val="222222"/>
          <w:shd w:val="clear" w:color="auto" w:fill="FFFFFF"/>
          <w:lang w:val="en-GB" w:eastAsia="da-DK"/>
        </w:rPr>
      </w:pPr>
    </w:p>
    <w:p w14:paraId="0C086EB0" w14:textId="77777777" w:rsidR="00F27731" w:rsidRPr="008802A6" w:rsidRDefault="00F27731" w:rsidP="00551DC2">
      <w:pPr>
        <w:rPr>
          <w:rFonts w:ascii="Times New Roman" w:hAnsi="Times New Roman" w:cs="Times New Roman"/>
          <w:lang w:val="en-US"/>
        </w:rPr>
      </w:pPr>
    </w:p>
    <w:p w14:paraId="3A8B0A3D" w14:textId="77777777" w:rsidR="003226A0" w:rsidRPr="00521C33" w:rsidRDefault="00622E82" w:rsidP="00521C33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521C33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Registers</w:t>
      </w:r>
      <w:r w:rsidR="003226A0" w:rsidRPr="00521C33">
        <w:rPr>
          <w:rFonts w:ascii="Times New Roman" w:hAnsi="Times New Roman" w:cs="Times New Roman"/>
          <w:b/>
          <w:bCs/>
          <w:u w:val="single"/>
          <w:lang w:val="en-US"/>
        </w:rPr>
        <w:t xml:space="preserve"> used</w:t>
      </w:r>
    </w:p>
    <w:p w14:paraId="4CD342C9" w14:textId="5FB5E957" w:rsidR="001F51A3" w:rsidRDefault="001F51A3" w:rsidP="004968C9">
      <w:pPr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US" w:eastAsia="da-DK"/>
        </w:rPr>
      </w:pPr>
    </w:p>
    <w:p w14:paraId="60C5A404" w14:textId="1785FB7A" w:rsidR="001F51A3" w:rsidRPr="00AD245D" w:rsidRDefault="00A33144" w:rsidP="004968C9">
      <w:pPr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</w:pPr>
      <w:r w:rsidRPr="00AD245D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Economic Census, 2019 wave, INEGI, accessed </w:t>
      </w:r>
      <w:r w:rsidR="00B023E7" w:rsidRPr="00AD245D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2020</w:t>
      </w:r>
      <w:r w:rsidRPr="00AD245D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. (</w:t>
      </w:r>
      <w:hyperlink r:id="rId10" w:anchor="Informacion_general" w:history="1">
        <w:r w:rsidRPr="00AD245D">
          <w:rPr>
            <w:rStyle w:val="Hyperlink"/>
            <w:rFonts w:ascii="Times New Roman" w:eastAsia="Times New Roman" w:hAnsi="Times New Roman" w:cs="Times New Roman"/>
            <w:shd w:val="clear" w:color="auto" w:fill="FFFFFF"/>
            <w:lang w:val="en-US" w:eastAsia="da-DK"/>
          </w:rPr>
          <w:t>https://www.inegi.org.mx/programas/ce/2019</w:t>
        </w:r>
      </w:hyperlink>
      <w:r w:rsidRPr="00AD245D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)</w:t>
      </w:r>
    </w:p>
    <w:p w14:paraId="5107298B" w14:textId="3192318E" w:rsidR="00A33144" w:rsidRPr="00AD245D" w:rsidRDefault="00A33144" w:rsidP="004968C9">
      <w:pPr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</w:pPr>
    </w:p>
    <w:p w14:paraId="5083F16C" w14:textId="2A689805" w:rsidR="00A33144" w:rsidRPr="00AD245D" w:rsidRDefault="00A33144" w:rsidP="004968C9">
      <w:pPr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</w:pPr>
      <w:r w:rsidRPr="00AD245D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Economic Census, 2014 wave, INEGI, accessed </w:t>
      </w:r>
      <w:r w:rsidR="00B023E7" w:rsidRPr="00AD245D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2017</w:t>
      </w:r>
      <w:r w:rsidRPr="00AD245D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.</w:t>
      </w:r>
    </w:p>
    <w:p w14:paraId="78163CB6" w14:textId="5E4C4CD1" w:rsidR="00A33144" w:rsidRPr="00AD245D" w:rsidRDefault="00F56457" w:rsidP="004968C9">
      <w:pPr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</w:pPr>
      <w:r w:rsidRPr="00AD245D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(</w:t>
      </w:r>
      <w:hyperlink r:id="rId11" w:history="1">
        <w:r w:rsidR="00812D01" w:rsidRPr="00AD245D">
          <w:rPr>
            <w:rStyle w:val="Hyperlink"/>
            <w:rFonts w:ascii="Times New Roman" w:eastAsia="Times New Roman" w:hAnsi="Times New Roman" w:cs="Times New Roman"/>
            <w:shd w:val="clear" w:color="auto" w:fill="FFFFFF"/>
            <w:lang w:val="en-US" w:eastAsia="da-DK"/>
          </w:rPr>
          <w:t>https://www.inegi.org.mx/programas/ce/2014</w:t>
        </w:r>
      </w:hyperlink>
      <w:r w:rsidRPr="00AD245D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)</w:t>
      </w:r>
    </w:p>
    <w:p w14:paraId="542B1D37" w14:textId="150CA3D2" w:rsidR="008C2E29" w:rsidRPr="00AD245D" w:rsidRDefault="008C2E29" w:rsidP="004968C9">
      <w:pPr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</w:pPr>
    </w:p>
    <w:p w14:paraId="01286763" w14:textId="6DCB63F0" w:rsidR="008C2E29" w:rsidRPr="00AD245D" w:rsidRDefault="008C2E29" w:rsidP="008C2E29">
      <w:pPr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</w:pPr>
      <w:r w:rsidRPr="00AD245D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Economic Census, 20</w:t>
      </w:r>
      <w:r w:rsidR="00812D01" w:rsidRPr="00AD245D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09</w:t>
      </w:r>
      <w:r w:rsidRPr="00AD245D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wave, INEGI, accessed </w:t>
      </w:r>
      <w:r w:rsidR="00B023E7" w:rsidRPr="00AD245D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2017</w:t>
      </w:r>
      <w:r w:rsidRPr="00AD245D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.</w:t>
      </w:r>
    </w:p>
    <w:p w14:paraId="0612F7D1" w14:textId="0185A705" w:rsidR="008C2E29" w:rsidRPr="00AD245D" w:rsidRDefault="008C2E29" w:rsidP="008C2E29">
      <w:pPr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</w:pPr>
      <w:r w:rsidRPr="00AD245D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(</w:t>
      </w:r>
      <w:hyperlink r:id="rId12" w:history="1">
        <w:r w:rsidR="0063463D" w:rsidRPr="00AD245D">
          <w:rPr>
            <w:rStyle w:val="Hyperlink"/>
            <w:rFonts w:ascii="Times New Roman" w:eastAsia="Times New Roman" w:hAnsi="Times New Roman" w:cs="Times New Roman"/>
            <w:shd w:val="clear" w:color="auto" w:fill="FFFFFF"/>
            <w:lang w:val="en-US" w:eastAsia="da-DK"/>
          </w:rPr>
          <w:t>https://www.inegi.org.mx/programas/ce/2009</w:t>
        </w:r>
      </w:hyperlink>
      <w:r w:rsidRPr="00AD245D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)</w:t>
      </w:r>
    </w:p>
    <w:p w14:paraId="20F564CA" w14:textId="23BEEBAE" w:rsidR="008C2E29" w:rsidRPr="00AD245D" w:rsidRDefault="008C2E29" w:rsidP="004968C9">
      <w:pPr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</w:pPr>
    </w:p>
    <w:p w14:paraId="6E644082" w14:textId="1B10AC07" w:rsidR="007B4068" w:rsidRPr="00AD245D" w:rsidRDefault="007B4068" w:rsidP="004968C9">
      <w:pPr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</w:pPr>
      <w:r w:rsidRPr="00AD245D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Microdata </w:t>
      </w:r>
      <w:r w:rsidR="006A6701" w:rsidRPr="00AD245D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on Prices </w:t>
      </w:r>
      <w:r w:rsidR="008928E5" w:rsidRPr="00AD245D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for</w:t>
      </w:r>
      <w:r w:rsidR="002847D3" w:rsidRPr="00AD245D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the</w:t>
      </w:r>
      <w:r w:rsidR="008928E5" w:rsidRPr="00AD245D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Consumer Price Index</w:t>
      </w:r>
      <w:r w:rsidR="002847D3" w:rsidRPr="00AD245D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(CPI)</w:t>
      </w:r>
      <w:r w:rsidR="008928E5" w:rsidRPr="00AD245D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, 2012-2015, INEGI, accessed </w:t>
      </w:r>
      <w:r w:rsidR="00B023E7" w:rsidRPr="00AD245D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2017</w:t>
      </w:r>
      <w:r w:rsidR="008928E5" w:rsidRPr="00AD245D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.</w:t>
      </w:r>
    </w:p>
    <w:p w14:paraId="65DB88B0" w14:textId="1554E446" w:rsidR="00D92C9C" w:rsidRPr="00AD245D" w:rsidRDefault="00000000" w:rsidP="004968C9">
      <w:pPr>
        <w:rPr>
          <w:rStyle w:val="Hyperlink"/>
          <w:rFonts w:ascii="Times New Roman" w:eastAsia="Times New Roman" w:hAnsi="Times New Roman" w:cs="Times New Roman"/>
          <w:shd w:val="clear" w:color="auto" w:fill="FFFFFF"/>
          <w:lang w:val="en-US" w:eastAsia="da-DK"/>
        </w:rPr>
      </w:pPr>
      <w:hyperlink r:id="rId13" w:history="1">
        <w:r w:rsidR="002E0CDD" w:rsidRPr="00AD245D">
          <w:rPr>
            <w:rStyle w:val="Hyperlink"/>
            <w:rFonts w:ascii="Times New Roman" w:eastAsia="Times New Roman" w:hAnsi="Times New Roman" w:cs="Times New Roman"/>
            <w:shd w:val="clear" w:color="auto" w:fill="FFFFFF"/>
            <w:lang w:val="en-US" w:eastAsia="da-DK"/>
          </w:rPr>
          <w:t>https://www.inegi.org.mx/temas/inpc/</w:t>
        </w:r>
      </w:hyperlink>
    </w:p>
    <w:p w14:paraId="74C61264" w14:textId="6DBC72AC" w:rsidR="00C23EF9" w:rsidRDefault="00C23EF9" w:rsidP="004968C9">
      <w:pPr>
        <w:rPr>
          <w:rStyle w:val="Hyperlink"/>
          <w:rFonts w:ascii="Times New Roman" w:eastAsia="Times New Roman" w:hAnsi="Times New Roman" w:cs="Times New Roman"/>
          <w:i/>
          <w:iCs/>
          <w:shd w:val="clear" w:color="auto" w:fill="FFFFFF"/>
          <w:lang w:val="en-US" w:eastAsia="da-DK"/>
        </w:rPr>
      </w:pPr>
    </w:p>
    <w:p w14:paraId="173EFF82" w14:textId="36194578" w:rsidR="00B353E5" w:rsidRDefault="00D81104" w:rsidP="00B353E5">
      <w:pPr>
        <w:jc w:val="center"/>
        <w:rPr>
          <w:rFonts w:ascii="Times New Roman" w:eastAsia="Times New Roman" w:hAnsi="Times New Roman" w:cs="Times New Roman"/>
          <w:b/>
          <w:bCs/>
          <w:color w:val="222222"/>
          <w:u w:val="single"/>
          <w:shd w:val="clear" w:color="auto" w:fill="FFFFFF"/>
          <w:lang w:val="en-US" w:eastAsia="da-DK"/>
        </w:rPr>
      </w:pPr>
      <w:r>
        <w:rPr>
          <w:rFonts w:ascii="Times New Roman" w:eastAsia="Times New Roman" w:hAnsi="Times New Roman" w:cs="Times New Roman"/>
          <w:b/>
          <w:bCs/>
          <w:color w:val="222222"/>
          <w:u w:val="single"/>
          <w:shd w:val="clear" w:color="auto" w:fill="FFFFFF"/>
          <w:lang w:val="en-US" w:eastAsia="da-DK"/>
        </w:rPr>
        <w:t>Description of registers used</w:t>
      </w:r>
    </w:p>
    <w:p w14:paraId="650D2888" w14:textId="77777777" w:rsidR="00B353E5" w:rsidRDefault="00B353E5" w:rsidP="00B353E5">
      <w:pPr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US" w:eastAsia="da-DK"/>
        </w:rPr>
      </w:pPr>
    </w:p>
    <w:p w14:paraId="18535744" w14:textId="347C098E" w:rsidR="004D1C8F" w:rsidRPr="00AF7707" w:rsidRDefault="00B353E5" w:rsidP="00C3676F">
      <w:pPr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</w:pPr>
      <w:r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The Economic Census</w:t>
      </w:r>
      <w:r w:rsidR="001270D3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is </w:t>
      </w:r>
      <w:r w:rsidR="009259B3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the</w:t>
      </w:r>
      <w:r w:rsidR="001270D3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confidential Census of Mexico’s firms done by INEGI every five years. The</w:t>
      </w:r>
      <w:r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data sets include information </w:t>
      </w:r>
      <w:r w:rsidR="00685E70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on</w:t>
      </w:r>
      <w:r w:rsidR="00E800A2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</w:t>
      </w:r>
      <w:r w:rsidR="00C74FAA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the universe of </w:t>
      </w:r>
      <w:r w:rsidR="00CD6441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firm’s </w:t>
      </w:r>
      <w:r w:rsidR="00E800A2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sales, costs, </w:t>
      </w:r>
      <w:r w:rsidR="002151A4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economic activity</w:t>
      </w:r>
      <w:r w:rsidR="00E800A2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, taxes</w:t>
      </w:r>
      <w:r w:rsidR="00EE4095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, etc</w:t>
      </w:r>
      <w:r w:rsidR="00685E70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. This data includes all firms regardless of whether they are formally registered. </w:t>
      </w:r>
      <w:r w:rsidR="00C32CDA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The </w:t>
      </w:r>
      <w:r w:rsidR="00B54380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year of the wave corresponds to the year in which the results are presented. For example, the 2019 Economic Census was conducted </w:t>
      </w:r>
      <w:r w:rsidR="006E68E6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in</w:t>
      </w:r>
      <w:r w:rsidR="00B54380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2018.</w:t>
      </w:r>
    </w:p>
    <w:p w14:paraId="721612A2" w14:textId="77777777" w:rsidR="001946EB" w:rsidRPr="00AF7707" w:rsidRDefault="001946EB" w:rsidP="00C3676F">
      <w:pPr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</w:pPr>
    </w:p>
    <w:p w14:paraId="4F963387" w14:textId="77777777" w:rsidR="004952C8" w:rsidRDefault="002847D3" w:rsidP="00C3676F">
      <w:pPr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</w:pPr>
      <w:r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The Microdata on Prices for the Consumer Price Index</w:t>
      </w:r>
      <w:r w:rsidR="001270D3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is a confidential</w:t>
      </w:r>
      <w:r w:rsidR="006E68E6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microdata used by INEGI to construct Mexico’s Consumer Price Index</w:t>
      </w:r>
      <w:r w:rsidR="000D6C02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(CPI)</w:t>
      </w:r>
      <w:r w:rsidR="006E68E6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. The data </w:t>
      </w:r>
      <w:r w:rsidR="00056FFF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is obtained from </w:t>
      </w:r>
      <w:r w:rsidR="00133903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a selected set of good</w:t>
      </w:r>
      <w:r w:rsidR="00740718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s</w:t>
      </w:r>
      <w:r w:rsidR="00133903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in different </w:t>
      </w:r>
      <w:r w:rsidR="008E735E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stores</w:t>
      </w:r>
      <w:r w:rsidR="00056FFF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</w:t>
      </w:r>
      <w:r w:rsidR="00740718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from </w:t>
      </w:r>
      <w:r w:rsidR="00056FFF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selected </w:t>
      </w:r>
      <w:r w:rsidR="002B5290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cities and </w:t>
      </w:r>
      <w:r w:rsidR="0035208F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localities</w:t>
      </w:r>
      <w:r w:rsidR="009F21F5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</w:t>
      </w:r>
      <w:r w:rsidR="00654406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each </w:t>
      </w:r>
      <w:r w:rsidR="009F21F5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week</w:t>
      </w:r>
      <w:r w:rsidR="00056FFF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. </w:t>
      </w:r>
      <w:r w:rsidR="00E411D7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The observations are gathered at the </w:t>
      </w:r>
      <w:r w:rsidR="00326DFE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product per </w:t>
      </w:r>
      <w:r w:rsidR="00D675AC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store</w:t>
      </w:r>
      <w:r w:rsidR="00E411D7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</w:t>
      </w:r>
      <w:r w:rsidR="00BD30A2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per </w:t>
      </w:r>
      <w:r w:rsidR="009F21F5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week </w:t>
      </w:r>
      <w:r w:rsidR="00E411D7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level</w:t>
      </w:r>
      <w:r w:rsidR="00810936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and can be linked with the Economic Census data</w:t>
      </w:r>
      <w:r w:rsidR="00A73BB6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by</w:t>
      </w:r>
      <w:r w:rsidR="007F6154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the</w:t>
      </w:r>
      <w:r w:rsidR="00A73BB6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business</w:t>
      </w:r>
      <w:r w:rsidR="00E82A02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identifier</w:t>
      </w:r>
      <w:r w:rsidR="00A73BB6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.</w:t>
      </w:r>
    </w:p>
    <w:p w14:paraId="60065A06" w14:textId="1312B429" w:rsidR="005A03CB" w:rsidRPr="00AF7707" w:rsidRDefault="00A73BB6" w:rsidP="00C3676F">
      <w:pPr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</w:pPr>
      <w:r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</w:t>
      </w:r>
    </w:p>
    <w:p w14:paraId="704066E2" w14:textId="77777777" w:rsidR="00745AE3" w:rsidRDefault="00D37045" w:rsidP="00C3676F">
      <w:pPr>
        <w:jc w:val="both"/>
        <w:rPr>
          <w:rStyle w:val="Hyperlink"/>
          <w:rFonts w:ascii="Times New Roman" w:eastAsia="Times New Roman" w:hAnsi="Times New Roman" w:cs="Times New Roman"/>
          <w:shd w:val="clear" w:color="auto" w:fill="FFFFFF"/>
          <w:lang w:val="en-US" w:eastAsia="da-DK"/>
        </w:rPr>
      </w:pPr>
      <w:r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The </w:t>
      </w:r>
      <w:r w:rsidR="004952C8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CPI data is subject to on-going modifications, as INEGI </w:t>
      </w:r>
      <w:r w:rsidR="00DA758D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conducts revisions </w:t>
      </w:r>
      <w:r w:rsidR="004952C8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for data-quality purposes and to </w:t>
      </w:r>
      <w:r w:rsidR="0091206B"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comply with international best practices</w:t>
      </w:r>
      <w:r w:rsidRPr="00AF7707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. </w:t>
      </w:r>
      <w:r w:rsidR="004952C8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For more information on these revisions, please refer to the following methodology document (in Spanish): </w:t>
      </w:r>
      <w:hyperlink r:id="rId14" w:history="1">
        <w:r w:rsidR="004952C8" w:rsidRPr="00AF7707">
          <w:rPr>
            <w:rStyle w:val="Hyperlink"/>
            <w:rFonts w:ascii="Times New Roman" w:eastAsia="Times New Roman" w:hAnsi="Times New Roman" w:cs="Times New Roman"/>
            <w:shd w:val="clear" w:color="auto" w:fill="FFFFFF"/>
            <w:lang w:val="en-US" w:eastAsia="da-DK"/>
          </w:rPr>
          <w:t>https://www.inegi.org.mx/app/biblioteca/ficha.html?upc=702825104177</w:t>
        </w:r>
      </w:hyperlink>
      <w:r w:rsidR="004952C8">
        <w:rPr>
          <w:rStyle w:val="Hyperlink"/>
          <w:rFonts w:ascii="Times New Roman" w:eastAsia="Times New Roman" w:hAnsi="Times New Roman" w:cs="Times New Roman"/>
          <w:shd w:val="clear" w:color="auto" w:fill="FFFFFF"/>
          <w:lang w:val="en-US" w:eastAsia="da-DK"/>
        </w:rPr>
        <w:t>.</w:t>
      </w:r>
    </w:p>
    <w:p w14:paraId="36984D9A" w14:textId="77777777" w:rsidR="00745AE3" w:rsidRDefault="00745AE3" w:rsidP="00C3676F">
      <w:pPr>
        <w:jc w:val="both"/>
        <w:rPr>
          <w:rStyle w:val="Hyperlink"/>
          <w:rFonts w:ascii="Times New Roman" w:eastAsia="Times New Roman" w:hAnsi="Times New Roman" w:cs="Times New Roman"/>
          <w:shd w:val="clear" w:color="auto" w:fill="FFFFFF"/>
          <w:lang w:val="en-US" w:eastAsia="da-DK"/>
        </w:rPr>
      </w:pPr>
    </w:p>
    <w:p w14:paraId="105579F3" w14:textId="71B7E34F" w:rsidR="004952C8" w:rsidRDefault="004952C8" w:rsidP="00C3676F">
      <w:pPr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For information about the data-layout of the CPI and Census datasets, and changes to data-protocols at the micro data-lab over time, please contact </w:t>
      </w:r>
      <w:hyperlink r:id="rId15" w:history="1">
        <w:r w:rsidRPr="00D11051">
          <w:rPr>
            <w:rStyle w:val="Hyperlink"/>
            <w:rFonts w:ascii="Times New Roman" w:eastAsia="Times New Roman" w:hAnsi="Times New Roman" w:cs="Times New Roman"/>
            <w:shd w:val="clear" w:color="auto" w:fill="FFFFFF"/>
            <w:lang w:val="en-US" w:eastAsia="da-DK"/>
          </w:rPr>
          <w:t>microdatos@inegi.org.mx</w:t>
        </w:r>
      </w:hyperlink>
      <w:r>
        <w:rPr>
          <w:rStyle w:val="Hyperlink"/>
          <w:rFonts w:ascii="Times New Roman" w:eastAsia="Times New Roman" w:hAnsi="Times New Roman" w:cs="Times New Roman"/>
          <w:shd w:val="clear" w:color="auto" w:fill="FFFFFF"/>
          <w:lang w:val="en-US" w:eastAsia="da-DK"/>
        </w:rPr>
        <w:t>.</w:t>
      </w:r>
      <w:r w:rsidR="00DE7623" w:rsidRPr="00DE7623">
        <w:rPr>
          <w:rStyle w:val="Hyperlink"/>
          <w:rFonts w:ascii="Times New Roman" w:eastAsia="Times New Roman" w:hAnsi="Times New Roman" w:cs="Times New Roman"/>
          <w:u w:val="none"/>
          <w:shd w:val="clear" w:color="auto" w:fill="FFFFFF"/>
          <w:lang w:val="en-US" w:eastAsia="da-DK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Our research project at the micro data-lab has specifically been handled by Natalia </w:t>
      </w:r>
      <w:r w:rsidR="005C7769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Volkow (</w:t>
      </w:r>
      <w:hyperlink r:id="rId16" w:history="1">
        <w:r w:rsidR="005C7769" w:rsidRPr="003B7793">
          <w:rPr>
            <w:rStyle w:val="Hyperlink"/>
            <w:rFonts w:ascii="Times New Roman" w:eastAsia="Times New Roman" w:hAnsi="Times New Roman" w:cs="Times New Roman"/>
            <w:shd w:val="clear" w:color="auto" w:fill="FFFFFF"/>
            <w:lang w:val="en-US" w:eastAsia="da-DK"/>
          </w:rPr>
          <w:t>natalia.volkow@inegi.org.mx</w:t>
        </w:r>
      </w:hyperlink>
      <w:r w:rsidR="005C7769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).</w:t>
      </w:r>
    </w:p>
    <w:p w14:paraId="14878E7B" w14:textId="2F71C127" w:rsidR="00BB46CB" w:rsidRDefault="00BB46CB" w:rsidP="007000B6">
      <w:pPr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US" w:eastAsia="da-DK"/>
        </w:rPr>
      </w:pPr>
    </w:p>
    <w:p w14:paraId="3DAA11BE" w14:textId="18870773" w:rsidR="00BB46CB" w:rsidRDefault="00BB46CB" w:rsidP="007000B6">
      <w:pPr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US" w:eastAsia="da-DK"/>
        </w:rPr>
      </w:pPr>
    </w:p>
    <w:p w14:paraId="0F358259" w14:textId="0BE5E92F" w:rsidR="00743414" w:rsidRDefault="00743414" w:rsidP="007000B6">
      <w:pPr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US" w:eastAsia="da-DK"/>
        </w:rPr>
      </w:pPr>
    </w:p>
    <w:p w14:paraId="0E2F7A8E" w14:textId="77777777" w:rsidR="00745AE3" w:rsidRDefault="00745AE3" w:rsidP="007000B6">
      <w:pPr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US" w:eastAsia="da-DK"/>
        </w:rPr>
      </w:pPr>
    </w:p>
    <w:p w14:paraId="0A0C1838" w14:textId="06567F7E" w:rsidR="00A153F1" w:rsidRDefault="007A134A" w:rsidP="00521C33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521C33">
        <w:rPr>
          <w:rFonts w:ascii="Times New Roman" w:hAnsi="Times New Roman" w:cs="Times New Roman"/>
          <w:b/>
          <w:bCs/>
          <w:u w:val="single"/>
          <w:lang w:val="en-US"/>
        </w:rPr>
        <w:t xml:space="preserve">Stata </w:t>
      </w:r>
      <w:r w:rsidR="00A00D40" w:rsidRPr="00521C33">
        <w:rPr>
          <w:rFonts w:ascii="Times New Roman" w:hAnsi="Times New Roman" w:cs="Times New Roman"/>
          <w:b/>
          <w:bCs/>
          <w:u w:val="single"/>
          <w:lang w:val="en-US"/>
        </w:rPr>
        <w:t>dofiles / packages</w:t>
      </w:r>
      <w:r w:rsidRPr="00521C33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63143C">
        <w:rPr>
          <w:rFonts w:ascii="Times New Roman" w:hAnsi="Times New Roman" w:cs="Times New Roman"/>
          <w:b/>
          <w:bCs/>
          <w:u w:val="single"/>
          <w:lang w:val="en-US"/>
        </w:rPr>
        <w:t>installed and used</w:t>
      </w:r>
    </w:p>
    <w:p w14:paraId="109C868B" w14:textId="5FE23B71" w:rsidR="00355C9A" w:rsidRDefault="00355C9A" w:rsidP="0063143C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A08F5BA" w14:textId="77777777" w:rsidR="00BC1392" w:rsidRDefault="0080242C" w:rsidP="00355C9A">
      <w:pPr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</w:pPr>
      <w:r w:rsidRPr="00EE45FC">
        <w:rPr>
          <w:rFonts w:ascii="Times New Roman" w:eastAsia="Times New Roman" w:hAnsi="Times New Roman" w:cs="Times New Roman"/>
          <w:color w:val="222222"/>
          <w:u w:val="single"/>
          <w:shd w:val="clear" w:color="auto" w:fill="FFFFFF"/>
          <w:lang w:val="en-US" w:eastAsia="da-DK"/>
        </w:rPr>
        <w:t>outreg2</w:t>
      </w:r>
      <w:r w:rsidR="00EE45FC" w:rsidRPr="00EE45FC">
        <w:rPr>
          <w:rFonts w:ascii="Times New Roman" w:eastAsia="Times New Roman" w:hAnsi="Times New Roman" w:cs="Times New Roman"/>
          <w:color w:val="222222"/>
          <w:u w:val="single"/>
          <w:shd w:val="clear" w:color="auto" w:fill="FFFFFF"/>
          <w:lang w:val="en-US" w:eastAsia="da-DK"/>
        </w:rPr>
        <w:t>.do</w:t>
      </w:r>
      <w:r w:rsidR="00EE45FC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– </w:t>
      </w:r>
      <w:r w:rsidR="001F7B3C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>This package allows us to extract components of regression tables and insert them in .tex format</w:t>
      </w:r>
    </w:p>
    <w:p w14:paraId="1EB165C0" w14:textId="169936E4" w:rsidR="0080242C" w:rsidRPr="00EE45FC" w:rsidRDefault="0080242C" w:rsidP="00355C9A">
      <w:pPr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</w:pPr>
    </w:p>
    <w:p w14:paraId="0EDB8EE4" w14:textId="5E84533F" w:rsidR="0080242C" w:rsidRPr="00BC1392" w:rsidRDefault="0080242C" w:rsidP="00355C9A">
      <w:pPr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</w:pPr>
      <w:r w:rsidRPr="00BC1392">
        <w:rPr>
          <w:rFonts w:ascii="Times New Roman" w:eastAsia="Times New Roman" w:hAnsi="Times New Roman" w:cs="Times New Roman"/>
          <w:color w:val="222222"/>
          <w:u w:val="single"/>
          <w:shd w:val="clear" w:color="auto" w:fill="FFFFFF"/>
          <w:lang w:val="en-US" w:eastAsia="da-DK"/>
        </w:rPr>
        <w:t>reghdfe</w:t>
      </w:r>
      <w:r w:rsidR="00BC1392" w:rsidRPr="00BC1392">
        <w:rPr>
          <w:rFonts w:ascii="Times New Roman" w:eastAsia="Times New Roman" w:hAnsi="Times New Roman" w:cs="Times New Roman"/>
          <w:color w:val="222222"/>
          <w:u w:val="single"/>
          <w:shd w:val="clear" w:color="auto" w:fill="FFFFFF"/>
          <w:lang w:val="en-US" w:eastAsia="da-DK"/>
        </w:rPr>
        <w:t>.do</w:t>
      </w:r>
      <w:r w:rsidR="00BC1392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da-DK"/>
        </w:rPr>
        <w:t xml:space="preserve"> – This package allows for more computationally efficient estimation of a large number of fixed effects. </w:t>
      </w:r>
    </w:p>
    <w:p w14:paraId="4ED1DCB2" w14:textId="77036F83" w:rsidR="00355C9A" w:rsidRDefault="00355C9A" w:rsidP="00355C9A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02456B3" w14:textId="0BE75D91" w:rsidR="005273A2" w:rsidRDefault="00064CAB" w:rsidP="007B4882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 xml:space="preserve">Outline of </w:t>
      </w:r>
      <w:r w:rsidR="002A4F7F">
        <w:rPr>
          <w:rFonts w:ascii="Times New Roman" w:hAnsi="Times New Roman" w:cs="Times New Roman"/>
          <w:b/>
          <w:bCs/>
          <w:u w:val="single"/>
          <w:lang w:val="en-US"/>
        </w:rPr>
        <w:t>folder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structure</w:t>
      </w:r>
    </w:p>
    <w:p w14:paraId="60B4B906" w14:textId="102B00F0" w:rsidR="007B4882" w:rsidRDefault="007B4882" w:rsidP="007B488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CCF9DED" w14:textId="011E4F55" w:rsidR="007B4882" w:rsidRPr="00501E87" w:rsidRDefault="002A4F7F" w:rsidP="007B4882">
      <w:pPr>
        <w:rPr>
          <w:rFonts w:ascii="Times New Roman" w:hAnsi="Times New Roman" w:cs="Times New Roman"/>
          <w:u w:val="single"/>
          <w:lang w:val="en-US"/>
        </w:rPr>
      </w:pPr>
      <w:r w:rsidRPr="00501E87">
        <w:rPr>
          <w:rFonts w:ascii="Times New Roman" w:hAnsi="Times New Roman" w:cs="Times New Roman"/>
          <w:u w:val="single"/>
          <w:lang w:val="en-US"/>
        </w:rPr>
        <w:t>Do-files</w:t>
      </w:r>
    </w:p>
    <w:p w14:paraId="1E9D8765" w14:textId="077CF157" w:rsidR="002A4F7F" w:rsidRDefault="002A4F7F" w:rsidP="002A4F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do-file ‘Master_Mexico’ allows the user to run all do-files required for the full set of results. In addition, this do-file summarizes how </w:t>
      </w:r>
      <w:r w:rsidR="00361935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original data are used to generate analysis data-sets as well as how the analysis data-sets are used to generate all Figures and Tables</w:t>
      </w:r>
      <w:r w:rsidR="009330CE">
        <w:rPr>
          <w:rFonts w:ascii="Times New Roman" w:hAnsi="Times New Roman" w:cs="Times New Roman"/>
          <w:lang w:val="en-US"/>
        </w:rPr>
        <w:t>.</w:t>
      </w:r>
    </w:p>
    <w:p w14:paraId="6F63F6D9" w14:textId="3949AE0A" w:rsidR="00501E87" w:rsidRDefault="00501E87" w:rsidP="002A4F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remaining do-files in the DOFILES folder are the individual do-files that perform some specific tasks in order to create analysis data-sets and produce the Figures and Tables</w:t>
      </w:r>
    </w:p>
    <w:p w14:paraId="5AA68BCD" w14:textId="2F6217D9" w:rsidR="00413B0E" w:rsidRDefault="00413B0E" w:rsidP="0009118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the following section there is a detailed list of the analysis data-sets</w:t>
      </w:r>
      <w:r w:rsidR="0009118F">
        <w:rPr>
          <w:rFonts w:ascii="Times New Roman" w:hAnsi="Times New Roman" w:cs="Times New Roman"/>
          <w:lang w:val="en-US"/>
        </w:rPr>
        <w:t>.</w:t>
      </w:r>
    </w:p>
    <w:p w14:paraId="2BF592EE" w14:textId="77777777" w:rsidR="00501E87" w:rsidRDefault="00501E87" w:rsidP="00501E87">
      <w:pPr>
        <w:rPr>
          <w:rFonts w:ascii="Times New Roman" w:hAnsi="Times New Roman" w:cs="Times New Roman"/>
          <w:lang w:val="en-US"/>
        </w:rPr>
      </w:pPr>
    </w:p>
    <w:p w14:paraId="02D614BF" w14:textId="5C27A8AE" w:rsidR="002A4F7F" w:rsidRPr="00501E87" w:rsidRDefault="00501E87" w:rsidP="00501E87">
      <w:pPr>
        <w:rPr>
          <w:rFonts w:ascii="Times New Roman" w:hAnsi="Times New Roman" w:cs="Times New Roman"/>
          <w:u w:val="single"/>
          <w:lang w:val="en-US"/>
        </w:rPr>
      </w:pPr>
      <w:r w:rsidRPr="00501E87">
        <w:rPr>
          <w:rFonts w:ascii="Times New Roman" w:hAnsi="Times New Roman" w:cs="Times New Roman"/>
          <w:u w:val="single"/>
          <w:lang w:val="en-US"/>
        </w:rPr>
        <w:t>Folders</w:t>
      </w:r>
      <w:r w:rsidR="002A4F7F" w:rsidRPr="00501E87">
        <w:rPr>
          <w:rFonts w:ascii="Times New Roman" w:hAnsi="Times New Roman" w:cs="Times New Roman"/>
          <w:u w:val="single"/>
          <w:lang w:val="en-US"/>
        </w:rPr>
        <w:t xml:space="preserve"> </w:t>
      </w:r>
    </w:p>
    <w:p w14:paraId="46CBD0D2" w14:textId="010E765F" w:rsidR="005273A2" w:rsidRDefault="00501E87" w:rsidP="00501E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following folders follow the structure of the directories announced at the beginning of all do-files: DOFILES; ORIGINALDATA; CLEANDATA; WASTEDATA; RESULTS</w:t>
      </w:r>
      <w:r w:rsidR="0011734E">
        <w:rPr>
          <w:rFonts w:ascii="Times New Roman" w:hAnsi="Times New Roman" w:cs="Times New Roman"/>
          <w:lang w:val="en-US"/>
        </w:rPr>
        <w:t>.</w:t>
      </w:r>
    </w:p>
    <w:p w14:paraId="6772F078" w14:textId="311A70B3" w:rsidR="00501E87" w:rsidRDefault="00501E87" w:rsidP="00501E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Moreover, the folder ‘AUXILIARY’ contains</w:t>
      </w:r>
      <w:r w:rsidR="0011734E">
        <w:rPr>
          <w:rFonts w:ascii="Times New Roman" w:hAnsi="Times New Roman" w:cs="Times New Roman"/>
          <w:lang w:val="en-US"/>
        </w:rPr>
        <w:t xml:space="preserve"> documents that serve as additional information for various parts of the data-creation and analysis. These documents are referred to when applicable in the different do-files</w:t>
      </w:r>
    </w:p>
    <w:p w14:paraId="7A27D524" w14:textId="22C7C0E1" w:rsidR="0009118F" w:rsidRPr="0009118F" w:rsidRDefault="0009118F" w:rsidP="0009118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At the end of the document is a table which maps the </w:t>
      </w:r>
      <w:r w:rsidR="00D9381C">
        <w:rPr>
          <w:rFonts w:ascii="Times New Roman" w:hAnsi="Times New Roman" w:cs="Times New Roman"/>
          <w:lang w:val="en-US"/>
        </w:rPr>
        <w:t>Figures and Tables found in the RESULTS folder to</w:t>
      </w:r>
      <w:r w:rsidR="00F76403">
        <w:rPr>
          <w:rFonts w:ascii="Times New Roman" w:hAnsi="Times New Roman" w:cs="Times New Roman"/>
          <w:lang w:val="en-US"/>
        </w:rPr>
        <w:t xml:space="preserve"> their do-files and analysis data-sets</w:t>
      </w:r>
      <w:r w:rsidR="00154F47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05C34F84" w14:textId="7893B6EA" w:rsidR="0011734E" w:rsidRDefault="0011734E" w:rsidP="0011734E">
      <w:pPr>
        <w:rPr>
          <w:rFonts w:ascii="Times New Roman" w:hAnsi="Times New Roman" w:cs="Times New Roman"/>
          <w:lang w:val="en-US"/>
        </w:rPr>
      </w:pPr>
    </w:p>
    <w:p w14:paraId="55DD2DDC" w14:textId="77777777" w:rsidR="0011734E" w:rsidRPr="0011734E" w:rsidRDefault="0011734E" w:rsidP="0011734E">
      <w:pPr>
        <w:rPr>
          <w:rFonts w:ascii="Times New Roman" w:hAnsi="Times New Roman" w:cs="Times New Roman"/>
          <w:lang w:val="en-US"/>
        </w:rPr>
      </w:pPr>
    </w:p>
    <w:p w14:paraId="206FE15B" w14:textId="77777777" w:rsidR="00320E52" w:rsidRDefault="00320E52" w:rsidP="00521C33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FDAD8DE" w14:textId="77777777" w:rsidR="00320E52" w:rsidRDefault="00320E52" w:rsidP="00521C33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04C8353" w14:textId="77777777" w:rsidR="00320E52" w:rsidRDefault="00320E52" w:rsidP="00521C33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E83D947" w14:textId="0525D05E" w:rsidR="005273A2" w:rsidRPr="00521C33" w:rsidRDefault="00521C33" w:rsidP="00521C33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521C33">
        <w:rPr>
          <w:rFonts w:ascii="Times New Roman" w:hAnsi="Times New Roman" w:cs="Times New Roman"/>
          <w:b/>
          <w:bCs/>
          <w:u w:val="single"/>
          <w:lang w:val="en-US"/>
        </w:rPr>
        <w:t>List of analysis datasets</w:t>
      </w:r>
    </w:p>
    <w:p w14:paraId="747CD102" w14:textId="38AD1F91" w:rsidR="005273A2" w:rsidRDefault="005273A2" w:rsidP="00415956">
      <w:pPr>
        <w:rPr>
          <w:rFonts w:ascii="Times New Roman" w:hAnsi="Times New Roman" w:cs="Times New Roman"/>
          <w:lang w:val="en-US"/>
        </w:rPr>
      </w:pPr>
    </w:p>
    <w:p w14:paraId="55A20BDF" w14:textId="54ADB45F" w:rsidR="00A41B3D" w:rsidRPr="005273A2" w:rsidRDefault="000F61FC" w:rsidP="00A41B3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CPI_CE2014_merged</w:t>
      </w:r>
      <w:r w:rsidR="00A41B3D" w:rsidRPr="005273A2">
        <w:rPr>
          <w:rFonts w:ascii="Times New Roman" w:hAnsi="Times New Roman" w:cs="Times New Roman"/>
          <w:b/>
          <w:bCs/>
          <w:lang w:val="en-US"/>
        </w:rPr>
        <w:t>.dta</w:t>
      </w:r>
    </w:p>
    <w:p w14:paraId="44AE3DEE" w14:textId="77777777" w:rsidR="00A41B3D" w:rsidRDefault="00A41B3D" w:rsidP="00A41B3D">
      <w:pPr>
        <w:rPr>
          <w:rFonts w:ascii="Times New Roman" w:hAnsi="Times New Roman" w:cs="Times New Roman"/>
          <w:lang w:val="en-US"/>
        </w:rPr>
      </w:pPr>
    </w:p>
    <w:p w14:paraId="6B8ABE15" w14:textId="77777777" w:rsidR="00A41B3D" w:rsidRPr="00820E77" w:rsidRDefault="00A41B3D" w:rsidP="00A41B3D">
      <w:pPr>
        <w:rPr>
          <w:rFonts w:ascii="Times New Roman" w:hAnsi="Times New Roman" w:cs="Times New Roman"/>
          <w:u w:val="single"/>
          <w:lang w:val="en-US"/>
        </w:rPr>
      </w:pPr>
      <w:r w:rsidRPr="00820E77">
        <w:rPr>
          <w:rFonts w:ascii="Times New Roman" w:hAnsi="Times New Roman" w:cs="Times New Roman"/>
          <w:u w:val="single"/>
          <w:lang w:val="en-US"/>
        </w:rPr>
        <w:t xml:space="preserve">Population definition: </w:t>
      </w:r>
    </w:p>
    <w:p w14:paraId="44AB17AD" w14:textId="6BFFAE95" w:rsidR="00A41B3D" w:rsidRDefault="000F61FC" w:rsidP="00DE1C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Price data for all products sampled by INEGI, Mexico’s National Statistics Office, in the context of creating the national Consumer Price Index (CPI).</w:t>
      </w:r>
      <w:r w:rsidR="00810C15">
        <w:rPr>
          <w:rFonts w:ascii="Times New Roman" w:hAnsi="Times New Roman" w:cs="Times New Roman"/>
          <w:lang w:val="en-US"/>
        </w:rPr>
        <w:t xml:space="preserve"> Further information on sample is in AUXILIARY folder of this replication do-file.</w:t>
      </w:r>
    </w:p>
    <w:p w14:paraId="72B81EFD" w14:textId="77777777" w:rsidR="00A41B3D" w:rsidRPr="00820E77" w:rsidRDefault="00A41B3D" w:rsidP="00DE1CC8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1C89B344" w14:textId="77777777" w:rsidR="00A41B3D" w:rsidRPr="000F7FB5" w:rsidRDefault="00A41B3D" w:rsidP="00DE1CC8">
      <w:pPr>
        <w:jc w:val="both"/>
        <w:rPr>
          <w:rFonts w:ascii="Times New Roman" w:hAnsi="Times New Roman" w:cs="Times New Roman"/>
          <w:u w:val="single"/>
          <w:lang w:val="en-US"/>
        </w:rPr>
      </w:pPr>
      <w:r w:rsidRPr="000F7FB5">
        <w:rPr>
          <w:rFonts w:ascii="Times New Roman" w:hAnsi="Times New Roman" w:cs="Times New Roman"/>
          <w:u w:val="single"/>
          <w:lang w:val="en-US"/>
        </w:rPr>
        <w:t xml:space="preserve">Panel structure: </w:t>
      </w:r>
    </w:p>
    <w:p w14:paraId="69AF0C25" w14:textId="668D51AE" w:rsidR="00A41B3D" w:rsidRDefault="000F61FC" w:rsidP="00DE1C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Monthly </w:t>
      </w:r>
      <w:r w:rsidR="00A41B3D">
        <w:rPr>
          <w:rFonts w:ascii="Times New Roman" w:hAnsi="Times New Roman" w:cs="Times New Roman"/>
          <w:lang w:val="en-US"/>
        </w:rPr>
        <w:t xml:space="preserve">panel data </w:t>
      </w:r>
      <w:r>
        <w:rPr>
          <w:rFonts w:ascii="Times New Roman" w:hAnsi="Times New Roman" w:cs="Times New Roman"/>
          <w:lang w:val="en-US"/>
        </w:rPr>
        <w:t>2012</w:t>
      </w:r>
      <w:r w:rsidR="00A41B3D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2015</w:t>
      </w:r>
      <w:r w:rsidR="00A41B3D">
        <w:rPr>
          <w:rFonts w:ascii="Times New Roman" w:hAnsi="Times New Roman" w:cs="Times New Roman"/>
          <w:lang w:val="en-US"/>
        </w:rPr>
        <w:t xml:space="preserve">. Contains the following key variables: </w:t>
      </w:r>
    </w:p>
    <w:p w14:paraId="7B71DC7A" w14:textId="63E140C0" w:rsidR="00A41B3D" w:rsidRDefault="000F61FC" w:rsidP="00DE1CC8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Store-type (detailed store-type classification which we use to classify stores as ‘modern’ versus ‘traditional’</w:t>
      </w:r>
      <w:r w:rsidR="00A41B3D">
        <w:rPr>
          <w:rFonts w:ascii="Times New Roman" w:hAnsi="Times New Roman" w:cs="Times New Roman"/>
          <w:lang w:val="en-US"/>
        </w:rPr>
        <w:t>)</w:t>
      </w:r>
    </w:p>
    <w:p w14:paraId="537DEA87" w14:textId="62ACF6FE" w:rsidR="000F61FC" w:rsidRDefault="000F61FC" w:rsidP="00DE1CC8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Geographical location of store (used to define treatment and control groups)</w:t>
      </w:r>
    </w:p>
    <w:p w14:paraId="38679CCB" w14:textId="034A285A" w:rsidR="00A41B3D" w:rsidRPr="009D5DA1" w:rsidRDefault="000F61FC" w:rsidP="00DE1CC8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Price</w:t>
      </w:r>
      <w:r w:rsidR="007D6345">
        <w:rPr>
          <w:rFonts w:ascii="Times New Roman" w:hAnsi="Times New Roman" w:cs="Times New Roman"/>
          <w:lang w:val="en-US"/>
        </w:rPr>
        <w:t xml:space="preserve"> at product level</w:t>
      </w:r>
      <w:r w:rsidR="009D5DA1">
        <w:rPr>
          <w:rFonts w:ascii="Times New Roman" w:hAnsi="Times New Roman" w:cs="Times New Roman"/>
          <w:lang w:val="en-US"/>
        </w:rPr>
        <w:t xml:space="preserve"> (our main outcome variable)</w:t>
      </w:r>
    </w:p>
    <w:p w14:paraId="79F6DB7A" w14:textId="77777777" w:rsidR="00A41B3D" w:rsidRDefault="00A41B3D" w:rsidP="00DE1CC8">
      <w:pPr>
        <w:jc w:val="both"/>
        <w:rPr>
          <w:rFonts w:ascii="Times New Roman" w:hAnsi="Times New Roman" w:cs="Times New Roman"/>
          <w:lang w:val="en-US"/>
        </w:rPr>
      </w:pPr>
    </w:p>
    <w:p w14:paraId="0E4EDF52" w14:textId="77777777" w:rsidR="00A41B3D" w:rsidRPr="0042611B" w:rsidRDefault="00A41B3D" w:rsidP="00DE1CC8">
      <w:pPr>
        <w:jc w:val="both"/>
        <w:rPr>
          <w:rFonts w:ascii="Times New Roman" w:hAnsi="Times New Roman" w:cs="Times New Roman"/>
          <w:u w:val="single"/>
          <w:lang w:val="en-US"/>
        </w:rPr>
      </w:pPr>
      <w:r w:rsidRPr="0042611B">
        <w:rPr>
          <w:rFonts w:ascii="Times New Roman" w:hAnsi="Times New Roman" w:cs="Times New Roman"/>
          <w:u w:val="single"/>
          <w:lang w:val="en-US"/>
        </w:rPr>
        <w:t>Construction:</w:t>
      </w:r>
    </w:p>
    <w:p w14:paraId="02D9F3FB" w14:textId="6E1776B3" w:rsidR="00A41B3D" w:rsidRDefault="00A41B3D" w:rsidP="00DE1C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construct this dataset, start with the </w:t>
      </w:r>
      <w:r w:rsidR="00F877B4">
        <w:rPr>
          <w:rFonts w:ascii="Times New Roman" w:hAnsi="Times New Roman" w:cs="Times New Roman"/>
          <w:lang w:val="en-US"/>
        </w:rPr>
        <w:t>original CPI data. Prices are reported weekly, create monthly price variables by averaging across weeks.</w:t>
      </w:r>
      <w:r w:rsidR="00367887">
        <w:rPr>
          <w:rFonts w:ascii="Times New Roman" w:hAnsi="Times New Roman" w:cs="Times New Roman"/>
          <w:lang w:val="en-US"/>
        </w:rPr>
        <w:t xml:space="preserve"> Use product classification to define sample for analysis: taxed products and non-tradeable products. Information on both classifications is contained in documents in the AUXILIARY folder of this replication </w:t>
      </w:r>
      <w:r w:rsidR="005832AB">
        <w:rPr>
          <w:rFonts w:ascii="Times New Roman" w:hAnsi="Times New Roman" w:cs="Times New Roman"/>
          <w:lang w:val="en-US"/>
        </w:rPr>
        <w:t>package</w:t>
      </w:r>
      <w:r w:rsidR="00367887">
        <w:rPr>
          <w:rFonts w:ascii="Times New Roman" w:hAnsi="Times New Roman" w:cs="Times New Roman"/>
          <w:lang w:val="en-US"/>
        </w:rPr>
        <w:t>.</w:t>
      </w:r>
    </w:p>
    <w:p w14:paraId="248E3F2B" w14:textId="1F59A890" w:rsidR="00F877B4" w:rsidRDefault="00F877B4" w:rsidP="00DE1C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CPI data, define </w:t>
      </w:r>
      <w:r w:rsidR="00035A2D">
        <w:rPr>
          <w:rFonts w:ascii="Times New Roman" w:hAnsi="Times New Roman" w:cs="Times New Roman"/>
          <w:lang w:val="en-US"/>
        </w:rPr>
        <w:t xml:space="preserve">treatment versus control on the basis of border versus non-border location of city where price data is sampled. Border area includes: all cities within 20km of either the </w:t>
      </w:r>
      <w:r w:rsidR="00035A2D">
        <w:rPr>
          <w:rFonts w:ascii="Times New Roman" w:hAnsi="Times New Roman" w:cs="Times New Roman"/>
          <w:lang w:val="en-US"/>
        </w:rPr>
        <w:lastRenderedPageBreak/>
        <w:t>Northern border or the Southern border; and, all cities located in the states of Baja California, Baja California Sur, and Quintana Roo</w:t>
      </w:r>
      <w:r w:rsidR="00C30838">
        <w:rPr>
          <w:rFonts w:ascii="Times New Roman" w:hAnsi="Times New Roman" w:cs="Times New Roman"/>
          <w:lang w:val="en-US"/>
        </w:rPr>
        <w:t xml:space="preserve"> (see Figure A7).</w:t>
      </w:r>
      <w:r w:rsidR="00191BC5">
        <w:rPr>
          <w:rFonts w:ascii="Times New Roman" w:hAnsi="Times New Roman" w:cs="Times New Roman"/>
          <w:lang w:val="en-US"/>
        </w:rPr>
        <w:t xml:space="preserve"> Save cleaned version of CPI data.</w:t>
      </w:r>
    </w:p>
    <w:p w14:paraId="47C481E0" w14:textId="77777777" w:rsidR="00FA18F0" w:rsidRDefault="00987CCF" w:rsidP="00DE1C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Merge CPI data with 2014 Census </w:t>
      </w:r>
      <w:r w:rsidR="00345219">
        <w:rPr>
          <w:rFonts w:ascii="Times New Roman" w:hAnsi="Times New Roman" w:cs="Times New Roman"/>
          <w:lang w:val="en-US"/>
        </w:rPr>
        <w:t>data using the unique identifier CLEE.</w:t>
      </w:r>
    </w:p>
    <w:p w14:paraId="0D80B180" w14:textId="4F61804E" w:rsidR="00C30838" w:rsidRDefault="00FA18F0" w:rsidP="00DE1C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store-type information from Census to create store-classification (modern versus traditional).</w:t>
      </w:r>
      <w:r w:rsidR="00727C7A">
        <w:rPr>
          <w:rFonts w:ascii="Times New Roman" w:hAnsi="Times New Roman" w:cs="Times New Roman"/>
          <w:lang w:val="en-US"/>
        </w:rPr>
        <w:t xml:space="preserve"> Traditional stores contain the following store-types: public markets; other street vendors; specialized stores; convenience stores; grocery stores. Modern stores contain the following store-types: supermarkets, price clubs, </w:t>
      </w:r>
      <w:r w:rsidR="00DB5650">
        <w:rPr>
          <w:rFonts w:ascii="Times New Roman" w:hAnsi="Times New Roman" w:cs="Times New Roman"/>
          <w:lang w:val="en-US"/>
        </w:rPr>
        <w:t>department stores</w:t>
      </w:r>
      <w:r w:rsidR="00182DFA">
        <w:rPr>
          <w:rFonts w:ascii="Times New Roman" w:hAnsi="Times New Roman" w:cs="Times New Roman"/>
          <w:lang w:val="en-US"/>
        </w:rPr>
        <w:t>.</w:t>
      </w:r>
      <w:r w:rsidR="00DB5650">
        <w:rPr>
          <w:rFonts w:ascii="Times New Roman" w:hAnsi="Times New Roman" w:cs="Times New Roman"/>
          <w:lang w:val="en-US"/>
        </w:rPr>
        <w:t xml:space="preserve"> </w:t>
      </w:r>
      <w:r w:rsidR="00727C7A">
        <w:rPr>
          <w:rFonts w:ascii="Times New Roman" w:hAnsi="Times New Roman" w:cs="Times New Roman"/>
          <w:lang w:val="en-US"/>
        </w:rPr>
        <w:t xml:space="preserve"> </w:t>
      </w:r>
    </w:p>
    <w:p w14:paraId="03046722" w14:textId="14713269" w:rsidR="00A678F5" w:rsidRDefault="00A678F5" w:rsidP="00A678F5">
      <w:pPr>
        <w:rPr>
          <w:rFonts w:ascii="Times New Roman" w:hAnsi="Times New Roman" w:cs="Times New Roman"/>
          <w:lang w:val="en-US"/>
        </w:rPr>
      </w:pPr>
    </w:p>
    <w:p w14:paraId="55A7ABE7" w14:textId="77777777" w:rsidR="009D24C3" w:rsidRDefault="009D24C3" w:rsidP="00A678F5">
      <w:pPr>
        <w:rPr>
          <w:rFonts w:ascii="Times New Roman" w:hAnsi="Times New Roman" w:cs="Times New Roman"/>
          <w:lang w:val="en-US"/>
        </w:rPr>
      </w:pPr>
    </w:p>
    <w:p w14:paraId="2F442950" w14:textId="77777777" w:rsidR="001A7AE3" w:rsidRDefault="001A7AE3" w:rsidP="001A7AE3">
      <w:pPr>
        <w:rPr>
          <w:rFonts w:ascii="Times New Roman" w:hAnsi="Times New Roman" w:cs="Times New Roman"/>
          <w:b/>
          <w:bCs/>
          <w:lang w:val="en-US"/>
        </w:rPr>
      </w:pPr>
    </w:p>
    <w:p w14:paraId="362AEC13" w14:textId="7E8429CA" w:rsidR="001A7AE3" w:rsidRPr="005273A2" w:rsidRDefault="001A7AE3" w:rsidP="001A7AE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Censos_2009-2014</w:t>
      </w:r>
      <w:r w:rsidRPr="005273A2">
        <w:rPr>
          <w:rFonts w:ascii="Times New Roman" w:hAnsi="Times New Roman" w:cs="Times New Roman"/>
          <w:b/>
          <w:bCs/>
          <w:lang w:val="en-US"/>
        </w:rPr>
        <w:t>.dta</w:t>
      </w:r>
    </w:p>
    <w:p w14:paraId="1A6E6D4C" w14:textId="77777777" w:rsidR="001A7AE3" w:rsidRDefault="001A7AE3" w:rsidP="001A7AE3">
      <w:pPr>
        <w:rPr>
          <w:rFonts w:ascii="Times New Roman" w:hAnsi="Times New Roman" w:cs="Times New Roman"/>
          <w:u w:val="single"/>
          <w:lang w:val="en-US"/>
        </w:rPr>
      </w:pPr>
    </w:p>
    <w:p w14:paraId="64F1B083" w14:textId="57D17B27" w:rsidR="001A7AE3" w:rsidRPr="00820E77" w:rsidRDefault="001A7AE3" w:rsidP="001A7AE3">
      <w:pPr>
        <w:rPr>
          <w:rFonts w:ascii="Times New Roman" w:hAnsi="Times New Roman" w:cs="Times New Roman"/>
          <w:u w:val="single"/>
          <w:lang w:val="en-US"/>
        </w:rPr>
      </w:pPr>
      <w:r w:rsidRPr="00820E77">
        <w:rPr>
          <w:rFonts w:ascii="Times New Roman" w:hAnsi="Times New Roman" w:cs="Times New Roman"/>
          <w:u w:val="single"/>
          <w:lang w:val="en-US"/>
        </w:rPr>
        <w:t xml:space="preserve">Population definition: </w:t>
      </w:r>
    </w:p>
    <w:p w14:paraId="270D7240" w14:textId="26FE33F9" w:rsidR="001A7AE3" w:rsidRDefault="001A7AE3" w:rsidP="00DE1C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Retail Census for the years 2009 and 2014, containing information on all retailers operating in the country at the time.</w:t>
      </w:r>
    </w:p>
    <w:p w14:paraId="49E4C0DD" w14:textId="77777777" w:rsidR="001A7AE3" w:rsidRPr="005A2055" w:rsidRDefault="001A7AE3" w:rsidP="00DE1CC8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67C7C04A" w14:textId="77777777" w:rsidR="001A7AE3" w:rsidRPr="000F7FB5" w:rsidRDefault="001A7AE3" w:rsidP="00DE1CC8">
      <w:pPr>
        <w:jc w:val="both"/>
        <w:rPr>
          <w:rFonts w:ascii="Times New Roman" w:hAnsi="Times New Roman" w:cs="Times New Roman"/>
          <w:u w:val="single"/>
          <w:lang w:val="en-US"/>
        </w:rPr>
      </w:pPr>
      <w:r w:rsidRPr="000F7FB5">
        <w:rPr>
          <w:rFonts w:ascii="Times New Roman" w:hAnsi="Times New Roman" w:cs="Times New Roman"/>
          <w:u w:val="single"/>
          <w:lang w:val="en-US"/>
        </w:rPr>
        <w:t xml:space="preserve">Panel structure: </w:t>
      </w:r>
    </w:p>
    <w:p w14:paraId="7528C733" w14:textId="606291EA" w:rsidR="001A7AE3" w:rsidRDefault="005A2055" w:rsidP="00DE1C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Panel at the yearly level, connecting the 2009 Census to the 2014 Census (no data in intermediate years)</w:t>
      </w:r>
      <w:r w:rsidR="001A7AE3">
        <w:rPr>
          <w:rFonts w:ascii="Times New Roman" w:hAnsi="Times New Roman" w:cs="Times New Roman"/>
          <w:lang w:val="en-US"/>
        </w:rPr>
        <w:t xml:space="preserve">. Contains the following key variables: </w:t>
      </w:r>
    </w:p>
    <w:p w14:paraId="386ED415" w14:textId="77777777" w:rsidR="001A7AE3" w:rsidRDefault="001A7AE3" w:rsidP="00DE1CC8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Store-type (detailed store-type classification which we use to classify stores as ‘modern’ versus ‘traditional’)</w:t>
      </w:r>
    </w:p>
    <w:p w14:paraId="0ECAFA7B" w14:textId="77777777" w:rsidR="001A7AE3" w:rsidRDefault="001A7AE3" w:rsidP="00DE1CC8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Geographical location of store (used to define treatment and control groups)</w:t>
      </w:r>
    </w:p>
    <w:p w14:paraId="1BF7F3CA" w14:textId="583E06C7" w:rsidR="001A7AE3" w:rsidRPr="009D5DA1" w:rsidRDefault="005A2055" w:rsidP="00DE1CC8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Indicator variable for whether a unique store (identified by its identifier CLEE) is present in a particular Census </w:t>
      </w:r>
    </w:p>
    <w:p w14:paraId="12503B37" w14:textId="77777777" w:rsidR="001A7AE3" w:rsidRDefault="001A7AE3" w:rsidP="00DE1CC8">
      <w:pPr>
        <w:jc w:val="both"/>
        <w:rPr>
          <w:rFonts w:ascii="Times New Roman" w:hAnsi="Times New Roman" w:cs="Times New Roman"/>
          <w:lang w:val="en-US"/>
        </w:rPr>
      </w:pPr>
    </w:p>
    <w:p w14:paraId="2AFC749D" w14:textId="77777777" w:rsidR="001A7AE3" w:rsidRPr="0042611B" w:rsidRDefault="001A7AE3" w:rsidP="00DE1CC8">
      <w:pPr>
        <w:jc w:val="both"/>
        <w:rPr>
          <w:rFonts w:ascii="Times New Roman" w:hAnsi="Times New Roman" w:cs="Times New Roman"/>
          <w:u w:val="single"/>
          <w:lang w:val="en-US"/>
        </w:rPr>
      </w:pPr>
      <w:r w:rsidRPr="0042611B">
        <w:rPr>
          <w:rFonts w:ascii="Times New Roman" w:hAnsi="Times New Roman" w:cs="Times New Roman"/>
          <w:u w:val="single"/>
          <w:lang w:val="en-US"/>
        </w:rPr>
        <w:t>Construction:</w:t>
      </w:r>
    </w:p>
    <w:p w14:paraId="258F18DE" w14:textId="77777777" w:rsidR="008D323B" w:rsidRDefault="001A7AE3" w:rsidP="00DE1C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construct this dataset, start with the </w:t>
      </w:r>
      <w:r w:rsidR="008D323B">
        <w:rPr>
          <w:rFonts w:ascii="Times New Roman" w:hAnsi="Times New Roman" w:cs="Times New Roman"/>
          <w:lang w:val="en-US"/>
        </w:rPr>
        <w:t>2009 Census</w:t>
      </w:r>
      <w:r>
        <w:rPr>
          <w:rFonts w:ascii="Times New Roman" w:hAnsi="Times New Roman" w:cs="Times New Roman"/>
          <w:lang w:val="en-US"/>
        </w:rPr>
        <w:t>.</w:t>
      </w:r>
      <w:r w:rsidR="008D323B">
        <w:rPr>
          <w:rFonts w:ascii="Times New Roman" w:hAnsi="Times New Roman" w:cs="Times New Roman"/>
          <w:lang w:val="en-US"/>
        </w:rPr>
        <w:t xml:space="preserve"> Since variables are pre-harmonized across Censuses, directly append with the 20014 Census.</w:t>
      </w:r>
    </w:p>
    <w:p w14:paraId="097AEE54" w14:textId="7B90CA69" w:rsidR="001A7AE3" w:rsidRDefault="004A0C98" w:rsidP="00DE1C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  <w:r w:rsidR="001A7AE3">
        <w:rPr>
          <w:rFonts w:ascii="Times New Roman" w:hAnsi="Times New Roman" w:cs="Times New Roman"/>
          <w:lang w:val="en-US"/>
        </w:rPr>
        <w:t xml:space="preserve">efine treatment versus control on the basis of border versus non-border location of </w:t>
      </w:r>
      <w:r w:rsidR="00881B33">
        <w:rPr>
          <w:rFonts w:ascii="Times New Roman" w:hAnsi="Times New Roman" w:cs="Times New Roman"/>
          <w:lang w:val="en-US"/>
        </w:rPr>
        <w:t>municipality</w:t>
      </w:r>
      <w:r w:rsidR="001A7AE3">
        <w:rPr>
          <w:rFonts w:ascii="Times New Roman" w:hAnsi="Times New Roman" w:cs="Times New Roman"/>
          <w:lang w:val="en-US"/>
        </w:rPr>
        <w:t xml:space="preserve"> where price data is sampled. Border area includes: all </w:t>
      </w:r>
      <w:r w:rsidR="003F50A1">
        <w:rPr>
          <w:rFonts w:ascii="Times New Roman" w:hAnsi="Times New Roman" w:cs="Times New Roman"/>
          <w:lang w:val="en-US"/>
        </w:rPr>
        <w:t xml:space="preserve">municipalities </w:t>
      </w:r>
      <w:r w:rsidR="001A7AE3">
        <w:rPr>
          <w:rFonts w:ascii="Times New Roman" w:hAnsi="Times New Roman" w:cs="Times New Roman"/>
          <w:lang w:val="en-US"/>
        </w:rPr>
        <w:t xml:space="preserve">within 20km of either the Northern border or the Southern border; and, all </w:t>
      </w:r>
      <w:r w:rsidR="005B5902">
        <w:rPr>
          <w:rFonts w:ascii="Times New Roman" w:hAnsi="Times New Roman" w:cs="Times New Roman"/>
          <w:lang w:val="en-US"/>
        </w:rPr>
        <w:t>municipalities</w:t>
      </w:r>
      <w:r w:rsidR="001A7AE3">
        <w:rPr>
          <w:rFonts w:ascii="Times New Roman" w:hAnsi="Times New Roman" w:cs="Times New Roman"/>
          <w:lang w:val="en-US"/>
        </w:rPr>
        <w:t xml:space="preserve"> located in the states of Baja California, Baja California Sur, and Quintana Roo (see Figure A7).</w:t>
      </w:r>
    </w:p>
    <w:p w14:paraId="0B905F6A" w14:textId="77777777" w:rsidR="00052BA9" w:rsidRDefault="001A7AE3" w:rsidP="00DE1C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 store-type information from </w:t>
      </w:r>
      <w:r w:rsidR="00930FD8">
        <w:rPr>
          <w:rFonts w:ascii="Times New Roman" w:hAnsi="Times New Roman" w:cs="Times New Roman"/>
          <w:lang w:val="en-US"/>
        </w:rPr>
        <w:t xml:space="preserve">either </w:t>
      </w:r>
      <w:r>
        <w:rPr>
          <w:rFonts w:ascii="Times New Roman" w:hAnsi="Times New Roman" w:cs="Times New Roman"/>
          <w:lang w:val="en-US"/>
        </w:rPr>
        <w:t>Census to create store-classification (modern versus traditional). Traditional stores contain the following store-types: public markets; other street vendors; specialized stores; convenience stores; grocery stores. Modern stores contain the following store-types: supermarkets, price clubs, department stores.</w:t>
      </w:r>
    </w:p>
    <w:p w14:paraId="65B7D7B5" w14:textId="4C653162" w:rsidR="00052BA9" w:rsidRPr="00052BA9" w:rsidRDefault="00052BA9" w:rsidP="00DE1C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Define the panel structure of the data by declaring the store ID (CLEE) and the time-variable (year)</w:t>
      </w:r>
    </w:p>
    <w:p w14:paraId="7B506F79" w14:textId="626C77EB" w:rsidR="001A7AE3" w:rsidRDefault="00052BA9" w:rsidP="00DE1C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When the appended 2009-2014 Census</w:t>
      </w:r>
      <w:r w:rsidR="001A7AE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is declared as a panel, </w:t>
      </w:r>
      <w:r w:rsidR="00FB6872">
        <w:rPr>
          <w:rFonts w:ascii="Times New Roman" w:hAnsi="Times New Roman" w:cs="Times New Roman"/>
          <w:lang w:val="en-US"/>
        </w:rPr>
        <w:t xml:space="preserve">fill out cases where the store is present in one Census but not in the other. In turn, </w:t>
      </w:r>
      <w:r>
        <w:rPr>
          <w:rFonts w:ascii="Times New Roman" w:hAnsi="Times New Roman" w:cs="Times New Roman"/>
          <w:lang w:val="en-US"/>
        </w:rPr>
        <w:t>define the main outcome variable: a dummy which equals 1 if the store is present in a particular Census, and 0 otherwise.</w:t>
      </w:r>
      <w:r w:rsidR="001A7AE3">
        <w:rPr>
          <w:rFonts w:ascii="Times New Roman" w:hAnsi="Times New Roman" w:cs="Times New Roman"/>
          <w:lang w:val="en-US"/>
        </w:rPr>
        <w:t xml:space="preserve"> </w:t>
      </w:r>
    </w:p>
    <w:p w14:paraId="667C378B" w14:textId="186A0412" w:rsidR="001A7AE3" w:rsidRDefault="001A7AE3" w:rsidP="00A678F5">
      <w:pPr>
        <w:rPr>
          <w:rFonts w:ascii="Times New Roman" w:hAnsi="Times New Roman" w:cs="Times New Roman"/>
          <w:lang w:val="en-US"/>
        </w:rPr>
      </w:pPr>
    </w:p>
    <w:p w14:paraId="1F9CED8F" w14:textId="62523EEB" w:rsidR="00A678F5" w:rsidRDefault="00A678F5" w:rsidP="00A678F5">
      <w:pPr>
        <w:rPr>
          <w:rFonts w:ascii="Times New Roman" w:hAnsi="Times New Roman" w:cs="Times New Roman"/>
          <w:lang w:val="en-US"/>
        </w:rPr>
      </w:pPr>
    </w:p>
    <w:p w14:paraId="0844B183" w14:textId="31759916" w:rsidR="00A678F5" w:rsidRDefault="00A678F5" w:rsidP="00A678F5">
      <w:pPr>
        <w:rPr>
          <w:rFonts w:ascii="Times New Roman" w:hAnsi="Times New Roman" w:cs="Times New Roman"/>
          <w:lang w:val="en-US"/>
        </w:rPr>
      </w:pPr>
    </w:p>
    <w:p w14:paraId="077EA10F" w14:textId="1FF57B8B" w:rsidR="00F8780C" w:rsidRDefault="00F8780C" w:rsidP="00A678F5">
      <w:pPr>
        <w:rPr>
          <w:rFonts w:ascii="Times New Roman" w:hAnsi="Times New Roman" w:cs="Times New Roman"/>
          <w:lang w:val="en-US"/>
        </w:rPr>
      </w:pPr>
    </w:p>
    <w:p w14:paraId="279134BA" w14:textId="08A08403" w:rsidR="00F8780C" w:rsidRDefault="00F8780C" w:rsidP="00A678F5">
      <w:pPr>
        <w:rPr>
          <w:rFonts w:ascii="Times New Roman" w:hAnsi="Times New Roman" w:cs="Times New Roman"/>
          <w:lang w:val="en-US"/>
        </w:rPr>
      </w:pPr>
    </w:p>
    <w:p w14:paraId="10F522A9" w14:textId="273F7062" w:rsidR="00F8780C" w:rsidRDefault="00F8780C" w:rsidP="00A678F5">
      <w:pPr>
        <w:rPr>
          <w:rFonts w:ascii="Times New Roman" w:hAnsi="Times New Roman" w:cs="Times New Roman"/>
          <w:lang w:val="en-US"/>
        </w:rPr>
      </w:pPr>
    </w:p>
    <w:p w14:paraId="47C721EA" w14:textId="77777777" w:rsidR="00F8780C" w:rsidRDefault="00F8780C" w:rsidP="00A678F5">
      <w:pPr>
        <w:rPr>
          <w:rFonts w:ascii="Times New Roman" w:hAnsi="Times New Roman" w:cs="Times New Roman"/>
          <w:lang w:val="en-US"/>
        </w:rPr>
      </w:pPr>
    </w:p>
    <w:p w14:paraId="1FCDE72B" w14:textId="67ED6FE0" w:rsidR="0088486D" w:rsidRPr="005273A2" w:rsidRDefault="0088486D" w:rsidP="0088486D">
      <w:pPr>
        <w:rPr>
          <w:rFonts w:ascii="Times New Roman" w:hAnsi="Times New Roman" w:cs="Times New Roman"/>
          <w:b/>
          <w:bCs/>
          <w:lang w:val="en-US"/>
        </w:rPr>
      </w:pPr>
      <w:r w:rsidRPr="0088486D">
        <w:rPr>
          <w:rFonts w:ascii="Times New Roman" w:hAnsi="Times New Roman" w:cs="Times New Roman"/>
          <w:b/>
          <w:bCs/>
          <w:lang w:val="en-US"/>
        </w:rPr>
        <w:lastRenderedPageBreak/>
        <w:t>Censos_2014-2019_id_uelm</w:t>
      </w:r>
      <w:r w:rsidRPr="005273A2">
        <w:rPr>
          <w:rFonts w:ascii="Times New Roman" w:hAnsi="Times New Roman" w:cs="Times New Roman"/>
          <w:b/>
          <w:bCs/>
          <w:lang w:val="en-US"/>
        </w:rPr>
        <w:t>.dta</w:t>
      </w:r>
    </w:p>
    <w:p w14:paraId="392A2334" w14:textId="77777777" w:rsidR="0088486D" w:rsidRDefault="0088486D" w:rsidP="0088486D">
      <w:pPr>
        <w:rPr>
          <w:rFonts w:ascii="Times New Roman" w:hAnsi="Times New Roman" w:cs="Times New Roman"/>
          <w:u w:val="single"/>
          <w:lang w:val="en-US"/>
        </w:rPr>
      </w:pPr>
    </w:p>
    <w:p w14:paraId="20955FC7" w14:textId="77777777" w:rsidR="0088486D" w:rsidRPr="00820E77" w:rsidRDefault="0088486D" w:rsidP="0088486D">
      <w:pPr>
        <w:rPr>
          <w:rFonts w:ascii="Times New Roman" w:hAnsi="Times New Roman" w:cs="Times New Roman"/>
          <w:u w:val="single"/>
          <w:lang w:val="en-US"/>
        </w:rPr>
      </w:pPr>
      <w:r w:rsidRPr="00820E77">
        <w:rPr>
          <w:rFonts w:ascii="Times New Roman" w:hAnsi="Times New Roman" w:cs="Times New Roman"/>
          <w:u w:val="single"/>
          <w:lang w:val="en-US"/>
        </w:rPr>
        <w:t xml:space="preserve">Population definition: </w:t>
      </w:r>
    </w:p>
    <w:p w14:paraId="1D881FA0" w14:textId="75C1B050" w:rsidR="0088486D" w:rsidRDefault="0088486D" w:rsidP="00DE1C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Retail Census for the years 20</w:t>
      </w:r>
      <w:r w:rsidR="00A432E1">
        <w:rPr>
          <w:rFonts w:ascii="Times New Roman" w:hAnsi="Times New Roman" w:cs="Times New Roman"/>
          <w:lang w:val="en-US"/>
        </w:rPr>
        <w:t>14</w:t>
      </w:r>
      <w:r>
        <w:rPr>
          <w:rFonts w:ascii="Times New Roman" w:hAnsi="Times New Roman" w:cs="Times New Roman"/>
          <w:lang w:val="en-US"/>
        </w:rPr>
        <w:t xml:space="preserve"> and </w:t>
      </w:r>
      <w:r w:rsidR="00A432E1">
        <w:rPr>
          <w:rFonts w:ascii="Times New Roman" w:hAnsi="Times New Roman" w:cs="Times New Roman"/>
          <w:lang w:val="en-US"/>
        </w:rPr>
        <w:t>2019</w:t>
      </w:r>
      <w:r>
        <w:rPr>
          <w:rFonts w:ascii="Times New Roman" w:hAnsi="Times New Roman" w:cs="Times New Roman"/>
          <w:lang w:val="en-US"/>
        </w:rPr>
        <w:t>, containing information on all retailers operating in the country at the time.</w:t>
      </w:r>
    </w:p>
    <w:p w14:paraId="0A31F7CC" w14:textId="77777777" w:rsidR="0088486D" w:rsidRPr="005A2055" w:rsidRDefault="0088486D" w:rsidP="00DE1CC8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39FC0934" w14:textId="77777777" w:rsidR="0088486D" w:rsidRPr="000F7FB5" w:rsidRDefault="0088486D" w:rsidP="00DE1CC8">
      <w:pPr>
        <w:jc w:val="both"/>
        <w:rPr>
          <w:rFonts w:ascii="Times New Roman" w:hAnsi="Times New Roman" w:cs="Times New Roman"/>
          <w:u w:val="single"/>
          <w:lang w:val="en-US"/>
        </w:rPr>
      </w:pPr>
      <w:r w:rsidRPr="000F7FB5">
        <w:rPr>
          <w:rFonts w:ascii="Times New Roman" w:hAnsi="Times New Roman" w:cs="Times New Roman"/>
          <w:u w:val="single"/>
          <w:lang w:val="en-US"/>
        </w:rPr>
        <w:t xml:space="preserve">Panel structure: </w:t>
      </w:r>
    </w:p>
    <w:p w14:paraId="14F9DD4B" w14:textId="4E1570F4" w:rsidR="0088486D" w:rsidRDefault="0088486D" w:rsidP="00DE1C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Panel at the yearly level, connecting the 20</w:t>
      </w:r>
      <w:r w:rsidR="00331FC5">
        <w:rPr>
          <w:rFonts w:ascii="Times New Roman" w:hAnsi="Times New Roman" w:cs="Times New Roman"/>
          <w:lang w:val="en-US"/>
        </w:rPr>
        <w:t>14</w:t>
      </w:r>
      <w:r>
        <w:rPr>
          <w:rFonts w:ascii="Times New Roman" w:hAnsi="Times New Roman" w:cs="Times New Roman"/>
          <w:lang w:val="en-US"/>
        </w:rPr>
        <w:t xml:space="preserve"> Census to the 201</w:t>
      </w:r>
      <w:r w:rsidR="00331FC5">
        <w:rPr>
          <w:rFonts w:ascii="Times New Roman" w:hAnsi="Times New Roman" w:cs="Times New Roman"/>
          <w:lang w:val="en-US"/>
        </w:rPr>
        <w:t>9</w:t>
      </w:r>
      <w:r>
        <w:rPr>
          <w:rFonts w:ascii="Times New Roman" w:hAnsi="Times New Roman" w:cs="Times New Roman"/>
          <w:lang w:val="en-US"/>
        </w:rPr>
        <w:t xml:space="preserve"> Census (no data in intermediate years). Contains the following key variables: </w:t>
      </w:r>
    </w:p>
    <w:p w14:paraId="50AB5213" w14:textId="77777777" w:rsidR="0088486D" w:rsidRDefault="0088486D" w:rsidP="00DE1CC8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Store-type (detailed store-type classification which we use to classify stores as ‘modern’ versus ‘traditional’)</w:t>
      </w:r>
    </w:p>
    <w:p w14:paraId="577875D9" w14:textId="77777777" w:rsidR="0088486D" w:rsidRDefault="0088486D" w:rsidP="00DE1CC8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Geographical location of store (used to define treatment and control groups)</w:t>
      </w:r>
    </w:p>
    <w:p w14:paraId="434DE298" w14:textId="77777777" w:rsidR="0088486D" w:rsidRPr="009D5DA1" w:rsidRDefault="0088486D" w:rsidP="00DE1CC8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Indicator variable for whether a unique store (identified by its identifier CLEE) is present in a particular Census </w:t>
      </w:r>
    </w:p>
    <w:p w14:paraId="1DFAB61D" w14:textId="77777777" w:rsidR="0088486D" w:rsidRDefault="0088486D" w:rsidP="00DE1CC8">
      <w:pPr>
        <w:jc w:val="both"/>
        <w:rPr>
          <w:rFonts w:ascii="Times New Roman" w:hAnsi="Times New Roman" w:cs="Times New Roman"/>
          <w:lang w:val="en-US"/>
        </w:rPr>
      </w:pPr>
    </w:p>
    <w:p w14:paraId="362948A8" w14:textId="77777777" w:rsidR="0088486D" w:rsidRPr="0042611B" w:rsidRDefault="0088486D" w:rsidP="00DE1CC8">
      <w:pPr>
        <w:jc w:val="both"/>
        <w:rPr>
          <w:rFonts w:ascii="Times New Roman" w:hAnsi="Times New Roman" w:cs="Times New Roman"/>
          <w:u w:val="single"/>
          <w:lang w:val="en-US"/>
        </w:rPr>
      </w:pPr>
      <w:r w:rsidRPr="0042611B">
        <w:rPr>
          <w:rFonts w:ascii="Times New Roman" w:hAnsi="Times New Roman" w:cs="Times New Roman"/>
          <w:u w:val="single"/>
          <w:lang w:val="en-US"/>
        </w:rPr>
        <w:t>Construction:</w:t>
      </w:r>
    </w:p>
    <w:p w14:paraId="68D531DE" w14:textId="616BE136" w:rsidR="0088486D" w:rsidRDefault="0088486D" w:rsidP="00DE1C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construct this dataset, start with the 20</w:t>
      </w:r>
      <w:r w:rsidR="00337325">
        <w:rPr>
          <w:rFonts w:ascii="Times New Roman" w:hAnsi="Times New Roman" w:cs="Times New Roman"/>
          <w:lang w:val="en-US"/>
        </w:rPr>
        <w:t>14</w:t>
      </w:r>
      <w:r>
        <w:rPr>
          <w:rFonts w:ascii="Times New Roman" w:hAnsi="Times New Roman" w:cs="Times New Roman"/>
          <w:lang w:val="en-US"/>
        </w:rPr>
        <w:t xml:space="preserve"> Census. Since variables are pre-harmonized across Censuses, directly append with the </w:t>
      </w:r>
      <w:r w:rsidR="00337325">
        <w:rPr>
          <w:rFonts w:ascii="Times New Roman" w:hAnsi="Times New Roman" w:cs="Times New Roman"/>
          <w:lang w:val="en-US"/>
        </w:rPr>
        <w:t xml:space="preserve">2019 </w:t>
      </w:r>
      <w:r>
        <w:rPr>
          <w:rFonts w:ascii="Times New Roman" w:hAnsi="Times New Roman" w:cs="Times New Roman"/>
          <w:lang w:val="en-US"/>
        </w:rPr>
        <w:t>Census.</w:t>
      </w:r>
    </w:p>
    <w:p w14:paraId="55E6ED82" w14:textId="77777777" w:rsidR="0088486D" w:rsidRDefault="0088486D" w:rsidP="00DE1C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Define treatment versus control on the basis of border versus non-border location of municipality where price data is sampled. Border area includes: all municipalities within 20km of either the Northern border or the Southern border; and, all municipalities located in the states of Baja California, Baja California Sur, and Quintana Roo (see Figure A7).</w:t>
      </w:r>
    </w:p>
    <w:p w14:paraId="17328898" w14:textId="77777777" w:rsidR="0088486D" w:rsidRDefault="0088486D" w:rsidP="00DE1C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store-type information from either Census to create store-classification (modern versus traditional). Traditional stores contain the following store-types: public markets; other street vendors; specialized stores; convenience stores; grocery stores. Modern stores contain the following store-types: supermarkets, price clubs, department stores.</w:t>
      </w:r>
    </w:p>
    <w:p w14:paraId="08AEE612" w14:textId="6F7C75C6" w:rsidR="0088486D" w:rsidRPr="00052BA9" w:rsidRDefault="0088486D" w:rsidP="00DE1C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Define the panel structure of the data by declaring the store </w:t>
      </w:r>
      <w:r w:rsidR="00C04ED7"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  <w:lang w:val="en-US"/>
        </w:rPr>
        <w:t xml:space="preserve"> (</w:t>
      </w:r>
      <w:r w:rsidR="00C04ED7">
        <w:rPr>
          <w:rFonts w:ascii="Times New Roman" w:hAnsi="Times New Roman" w:cs="Times New Roman"/>
          <w:lang w:val="en-US"/>
        </w:rPr>
        <w:t>ID_UELM</w:t>
      </w:r>
      <w:r>
        <w:rPr>
          <w:rFonts w:ascii="Times New Roman" w:hAnsi="Times New Roman" w:cs="Times New Roman"/>
          <w:lang w:val="en-US"/>
        </w:rPr>
        <w:t>) and the time-variable (year)</w:t>
      </w:r>
    </w:p>
    <w:p w14:paraId="38BCF284" w14:textId="45542BC4" w:rsidR="0088486D" w:rsidRDefault="0088486D" w:rsidP="00DE1C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When the appended 20</w:t>
      </w:r>
      <w:r w:rsidR="00D75F4E">
        <w:rPr>
          <w:rFonts w:ascii="Times New Roman" w:hAnsi="Times New Roman" w:cs="Times New Roman"/>
          <w:lang w:val="en-US"/>
        </w:rPr>
        <w:t>14</w:t>
      </w:r>
      <w:r>
        <w:rPr>
          <w:rFonts w:ascii="Times New Roman" w:hAnsi="Times New Roman" w:cs="Times New Roman"/>
          <w:lang w:val="en-US"/>
        </w:rPr>
        <w:t>-20</w:t>
      </w:r>
      <w:r w:rsidR="00D75F4E">
        <w:rPr>
          <w:rFonts w:ascii="Times New Roman" w:hAnsi="Times New Roman" w:cs="Times New Roman"/>
          <w:lang w:val="en-US"/>
        </w:rPr>
        <w:t>19</w:t>
      </w:r>
      <w:r>
        <w:rPr>
          <w:rFonts w:ascii="Times New Roman" w:hAnsi="Times New Roman" w:cs="Times New Roman"/>
          <w:lang w:val="en-US"/>
        </w:rPr>
        <w:t xml:space="preserve"> Census is declared as a panel, fill out cases where the store is present in one Census but not in the other. In turn, define the main outcome variable: a dummy which equals 1 if the store is present in a particular Census, and 0 otherwise. </w:t>
      </w:r>
    </w:p>
    <w:p w14:paraId="092753E6" w14:textId="44CA56D3" w:rsidR="00A678F5" w:rsidRDefault="00A678F5" w:rsidP="00A678F5">
      <w:pPr>
        <w:rPr>
          <w:rFonts w:ascii="Times New Roman" w:hAnsi="Times New Roman" w:cs="Times New Roman"/>
          <w:lang w:val="en-US"/>
        </w:rPr>
      </w:pPr>
    </w:p>
    <w:p w14:paraId="2171C64E" w14:textId="24D15629" w:rsidR="00A678F5" w:rsidRDefault="00A678F5" w:rsidP="00A678F5">
      <w:pPr>
        <w:rPr>
          <w:rFonts w:ascii="Times New Roman" w:hAnsi="Times New Roman" w:cs="Times New Roman"/>
          <w:lang w:val="en-US"/>
        </w:rPr>
      </w:pPr>
    </w:p>
    <w:p w14:paraId="0DE322BD" w14:textId="5DB856D8" w:rsidR="00A678F5" w:rsidRDefault="00A678F5" w:rsidP="00A678F5">
      <w:pPr>
        <w:rPr>
          <w:rFonts w:ascii="Times New Roman" w:hAnsi="Times New Roman" w:cs="Times New Roman"/>
          <w:lang w:val="en-US"/>
        </w:rPr>
      </w:pPr>
    </w:p>
    <w:p w14:paraId="03E8806D" w14:textId="099394EA" w:rsidR="00A678F5" w:rsidRDefault="00A678F5" w:rsidP="00A678F5">
      <w:pPr>
        <w:rPr>
          <w:rFonts w:ascii="Times New Roman" w:hAnsi="Times New Roman" w:cs="Times New Roman"/>
          <w:lang w:val="en-US"/>
        </w:rPr>
      </w:pPr>
    </w:p>
    <w:p w14:paraId="7DC49B23" w14:textId="7A808E83" w:rsidR="00A678F5" w:rsidRDefault="00A678F5" w:rsidP="00A678F5">
      <w:pPr>
        <w:rPr>
          <w:rFonts w:ascii="Times New Roman" w:hAnsi="Times New Roman" w:cs="Times New Roman"/>
          <w:lang w:val="en-US"/>
        </w:rPr>
      </w:pPr>
    </w:p>
    <w:p w14:paraId="30E84116" w14:textId="5915A875" w:rsidR="00A678F5" w:rsidRDefault="00A678F5" w:rsidP="00A678F5">
      <w:pPr>
        <w:rPr>
          <w:rFonts w:ascii="Times New Roman" w:hAnsi="Times New Roman" w:cs="Times New Roman"/>
          <w:lang w:val="en-US"/>
        </w:rPr>
      </w:pPr>
    </w:p>
    <w:p w14:paraId="371AC756" w14:textId="195E010A" w:rsidR="00A678F5" w:rsidRDefault="00A678F5" w:rsidP="00A678F5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41" w:rightFromText="141" w:vertAnchor="page" w:horzAnchor="margin" w:tblpXSpec="center" w:tblpY="2274"/>
        <w:tblW w:w="5512" w:type="pct"/>
        <w:tblLook w:val="04A0" w:firstRow="1" w:lastRow="0" w:firstColumn="1" w:lastColumn="0" w:noHBand="0" w:noVBand="1"/>
      </w:tblPr>
      <w:tblGrid>
        <w:gridCol w:w="3919"/>
        <w:gridCol w:w="1562"/>
        <w:gridCol w:w="1728"/>
        <w:gridCol w:w="2237"/>
        <w:gridCol w:w="1168"/>
      </w:tblGrid>
      <w:tr w:rsidR="00F827BF" w:rsidRPr="008802A6" w14:paraId="45BAC167" w14:textId="77777777" w:rsidTr="00FD6B00">
        <w:trPr>
          <w:trHeight w:val="1865"/>
        </w:trPr>
        <w:tc>
          <w:tcPr>
            <w:tcW w:w="1846" w:type="pct"/>
            <w:tcBorders>
              <w:bottom w:val="single" w:sz="4" w:space="0" w:color="auto"/>
            </w:tcBorders>
          </w:tcPr>
          <w:p w14:paraId="3F66E804" w14:textId="77777777" w:rsidR="00F827BF" w:rsidRPr="008802A6" w:rsidRDefault="00F827BF" w:rsidP="00FD6B0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List of analysis datasets</w:t>
            </w:r>
          </w:p>
        </w:tc>
        <w:tc>
          <w:tcPr>
            <w:tcW w:w="736" w:type="pct"/>
            <w:tcBorders>
              <w:bottom w:val="single" w:sz="4" w:space="0" w:color="auto"/>
            </w:tcBorders>
          </w:tcPr>
          <w:p w14:paraId="69DFBB97" w14:textId="77777777" w:rsidR="00F827BF" w:rsidRPr="008802A6" w:rsidRDefault="00F827BF" w:rsidP="00FD6B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Nr of obs</w:t>
            </w:r>
          </w:p>
        </w:tc>
        <w:tc>
          <w:tcPr>
            <w:tcW w:w="814" w:type="pct"/>
            <w:tcBorders>
              <w:bottom w:val="single" w:sz="4" w:space="0" w:color="auto"/>
            </w:tcBorders>
          </w:tcPr>
          <w:p w14:paraId="472C7D67" w14:textId="77777777" w:rsidR="00F827BF" w:rsidRDefault="00F827BF" w:rsidP="00FD6B00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Unique identifier</w:t>
            </w: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14:paraId="10D3A154" w14:textId="77777777" w:rsidR="00F827BF" w:rsidRPr="008802A6" w:rsidRDefault="00F827BF" w:rsidP="00FD6B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Inputs</w:t>
            </w:r>
          </w:p>
        </w:tc>
        <w:tc>
          <w:tcPr>
            <w:tcW w:w="550" w:type="pct"/>
            <w:tcBorders>
              <w:bottom w:val="single" w:sz="4" w:space="0" w:color="auto"/>
            </w:tcBorders>
          </w:tcPr>
          <w:p w14:paraId="21E0BCE1" w14:textId="77777777" w:rsidR="00F827BF" w:rsidRDefault="00F827BF" w:rsidP="00FD6B00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Years</w:t>
            </w:r>
          </w:p>
        </w:tc>
      </w:tr>
      <w:tr w:rsidR="00F827BF" w:rsidRPr="006F3205" w14:paraId="1684B1A0" w14:textId="77777777" w:rsidTr="00FD6B00">
        <w:trPr>
          <w:trHeight w:val="462"/>
        </w:trPr>
        <w:tc>
          <w:tcPr>
            <w:tcW w:w="1846" w:type="pct"/>
          </w:tcPr>
          <w:p w14:paraId="289A7911" w14:textId="77777777" w:rsidR="00F827BF" w:rsidRPr="005043F7" w:rsidRDefault="00F827BF" w:rsidP="00FD6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07D3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CPI_CE2014_merged.dta</w:t>
            </w:r>
          </w:p>
        </w:tc>
        <w:tc>
          <w:tcPr>
            <w:tcW w:w="736" w:type="pct"/>
          </w:tcPr>
          <w:p w14:paraId="49234330" w14:textId="77777777" w:rsidR="00F827BF" w:rsidRPr="005043F7" w:rsidRDefault="00F827BF" w:rsidP="00FD6B00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1,584,900</w:t>
            </w:r>
          </w:p>
        </w:tc>
        <w:tc>
          <w:tcPr>
            <w:tcW w:w="814" w:type="pct"/>
          </w:tcPr>
          <w:p w14:paraId="68D56340" w14:textId="77777777" w:rsidR="00F827BF" w:rsidRPr="005043F7" w:rsidRDefault="00F827BF" w:rsidP="00FD6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CLEE, calendar month-year  </w:t>
            </w:r>
          </w:p>
        </w:tc>
        <w:tc>
          <w:tcPr>
            <w:tcW w:w="1054" w:type="pct"/>
          </w:tcPr>
          <w:p w14:paraId="5D4D6DC8" w14:textId="77777777" w:rsidR="00F827BF" w:rsidRPr="005043F7" w:rsidRDefault="00F827BF" w:rsidP="00FD6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CPI, 2014 Census</w:t>
            </w:r>
          </w:p>
        </w:tc>
        <w:tc>
          <w:tcPr>
            <w:tcW w:w="550" w:type="pct"/>
          </w:tcPr>
          <w:p w14:paraId="7E798232" w14:textId="77777777" w:rsidR="00F827BF" w:rsidRPr="005043F7" w:rsidRDefault="00F827BF" w:rsidP="00FD6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2012-2015</w:t>
            </w:r>
          </w:p>
        </w:tc>
      </w:tr>
      <w:tr w:rsidR="00F827BF" w:rsidRPr="006F3205" w14:paraId="68861E6E" w14:textId="77777777" w:rsidTr="00FD6B00">
        <w:trPr>
          <w:trHeight w:val="462"/>
        </w:trPr>
        <w:tc>
          <w:tcPr>
            <w:tcW w:w="1846" w:type="pct"/>
          </w:tcPr>
          <w:p w14:paraId="7B9F0B88" w14:textId="77777777" w:rsidR="00F827BF" w:rsidRPr="005043F7" w:rsidRDefault="00F827BF" w:rsidP="00FD6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678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Censos_2009-2014.dta</w:t>
            </w:r>
          </w:p>
        </w:tc>
        <w:tc>
          <w:tcPr>
            <w:tcW w:w="736" w:type="pct"/>
          </w:tcPr>
          <w:p w14:paraId="1F8A5A64" w14:textId="77777777" w:rsidR="00F827BF" w:rsidRPr="005043F7" w:rsidRDefault="00F827BF" w:rsidP="00FD6B00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7,126,866</w:t>
            </w:r>
          </w:p>
        </w:tc>
        <w:tc>
          <w:tcPr>
            <w:tcW w:w="814" w:type="pct"/>
          </w:tcPr>
          <w:p w14:paraId="19BA7D15" w14:textId="77777777" w:rsidR="00F827BF" w:rsidRPr="005043F7" w:rsidRDefault="00F827BF" w:rsidP="00FD6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CLEE, year</w:t>
            </w:r>
          </w:p>
        </w:tc>
        <w:tc>
          <w:tcPr>
            <w:tcW w:w="1054" w:type="pct"/>
          </w:tcPr>
          <w:p w14:paraId="225D3E6F" w14:textId="77777777" w:rsidR="00F827BF" w:rsidRPr="005043F7" w:rsidRDefault="00F827BF" w:rsidP="00FD6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2009 Census, 2014 Census</w:t>
            </w:r>
          </w:p>
        </w:tc>
        <w:tc>
          <w:tcPr>
            <w:tcW w:w="550" w:type="pct"/>
          </w:tcPr>
          <w:p w14:paraId="6E30FDD1" w14:textId="77777777" w:rsidR="00F827BF" w:rsidRPr="005043F7" w:rsidRDefault="00F827BF" w:rsidP="00FD6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2009 and 2014</w:t>
            </w:r>
          </w:p>
        </w:tc>
      </w:tr>
      <w:tr w:rsidR="00F827BF" w:rsidRPr="006F3205" w14:paraId="57ABC3B7" w14:textId="77777777" w:rsidTr="00FD6B00">
        <w:trPr>
          <w:trHeight w:val="462"/>
        </w:trPr>
        <w:tc>
          <w:tcPr>
            <w:tcW w:w="1846" w:type="pct"/>
          </w:tcPr>
          <w:p w14:paraId="7C4A4430" w14:textId="77777777" w:rsidR="00F827BF" w:rsidRPr="005043F7" w:rsidRDefault="00F827BF" w:rsidP="00FD6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678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Censos_2014-2019_id_uelm.dta</w:t>
            </w:r>
          </w:p>
        </w:tc>
        <w:tc>
          <w:tcPr>
            <w:tcW w:w="736" w:type="pct"/>
          </w:tcPr>
          <w:p w14:paraId="4826EAA9" w14:textId="77777777" w:rsidR="00F827BF" w:rsidRPr="005043F7" w:rsidRDefault="00F827BF" w:rsidP="00FD6B00">
            <w:pPr>
              <w:rPr>
                <w:rFonts w:ascii="Times New Roman" w:hAnsi="Times New Roman" w:cs="Times New Roman"/>
                <w:i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sv-SE"/>
              </w:rPr>
              <w:t>7,894,170</w:t>
            </w:r>
          </w:p>
        </w:tc>
        <w:tc>
          <w:tcPr>
            <w:tcW w:w="814" w:type="pct"/>
          </w:tcPr>
          <w:p w14:paraId="18052DBD" w14:textId="77777777" w:rsidR="00F827BF" w:rsidRPr="005043F7" w:rsidRDefault="00F827BF" w:rsidP="00FD6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ID_UELM*, </w:t>
            </w:r>
            <w:r w:rsidRPr="005043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year </w:t>
            </w:r>
          </w:p>
        </w:tc>
        <w:tc>
          <w:tcPr>
            <w:tcW w:w="1054" w:type="pct"/>
          </w:tcPr>
          <w:p w14:paraId="19B8650F" w14:textId="77777777" w:rsidR="00F827BF" w:rsidRPr="005043F7" w:rsidRDefault="00F827BF" w:rsidP="00FD6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2014 Census, 2019 Census</w:t>
            </w:r>
          </w:p>
        </w:tc>
        <w:tc>
          <w:tcPr>
            <w:tcW w:w="550" w:type="pct"/>
          </w:tcPr>
          <w:p w14:paraId="5209A92B" w14:textId="77777777" w:rsidR="00F827BF" w:rsidRPr="005043F7" w:rsidRDefault="00F827BF" w:rsidP="00FD6B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2014 and 2019</w:t>
            </w:r>
          </w:p>
        </w:tc>
      </w:tr>
    </w:tbl>
    <w:p w14:paraId="6DDA30D9" w14:textId="77777777" w:rsidR="0005136E" w:rsidRDefault="0005136E" w:rsidP="008D323B">
      <w:pPr>
        <w:rPr>
          <w:rFonts w:ascii="Times New Roman" w:hAnsi="Times New Roman" w:cs="Times New Roman"/>
          <w:lang w:val="en-US"/>
        </w:rPr>
      </w:pPr>
    </w:p>
    <w:p w14:paraId="5E0D3A5E" w14:textId="14CD5773" w:rsidR="0005136E" w:rsidRPr="0005136E" w:rsidRDefault="0005136E" w:rsidP="0005136E">
      <w:pPr>
        <w:jc w:val="center"/>
        <w:rPr>
          <w:rFonts w:ascii="Times New Roman" w:hAnsi="Times New Roman" w:cs="Times New Roman"/>
          <w:u w:val="single"/>
          <w:lang w:val="en-US"/>
        </w:rPr>
      </w:pPr>
      <w:r w:rsidRPr="0005136E">
        <w:rPr>
          <w:rFonts w:ascii="Times New Roman" w:hAnsi="Times New Roman" w:cs="Times New Roman"/>
          <w:u w:val="single"/>
          <w:lang w:val="en-US"/>
        </w:rPr>
        <w:t>Table of analysis datasets</w:t>
      </w:r>
    </w:p>
    <w:p w14:paraId="578C739C" w14:textId="6690DA22" w:rsidR="008D323B" w:rsidRPr="00A678F5" w:rsidRDefault="008D323B" w:rsidP="008D32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Footnote *: ID_UELM corresponds to the new ID variables that INEGI is transitioning towards, which replaces CLEE. We used ID_UELM for the 2014-2019 Census analysis in Table A6 to conform with INEGI’s data-protocols.</w:t>
      </w:r>
    </w:p>
    <w:p w14:paraId="0ABB6FEB" w14:textId="53C13275" w:rsidR="00A678F5" w:rsidRDefault="00A678F5" w:rsidP="00A678F5">
      <w:pPr>
        <w:rPr>
          <w:rFonts w:ascii="Times New Roman" w:hAnsi="Times New Roman" w:cs="Times New Roman"/>
          <w:lang w:val="en-US"/>
        </w:rPr>
      </w:pPr>
    </w:p>
    <w:p w14:paraId="35B9932A" w14:textId="2B4F71E0" w:rsidR="00A678F5" w:rsidRDefault="00A678F5" w:rsidP="00A678F5">
      <w:pPr>
        <w:rPr>
          <w:rFonts w:ascii="Times New Roman" w:hAnsi="Times New Roman" w:cs="Times New Roman"/>
          <w:lang w:val="en-US"/>
        </w:rPr>
      </w:pPr>
    </w:p>
    <w:p w14:paraId="21D05A05" w14:textId="46A397AD" w:rsidR="00A678F5" w:rsidRDefault="00A678F5" w:rsidP="00A678F5">
      <w:pPr>
        <w:rPr>
          <w:rFonts w:ascii="Times New Roman" w:hAnsi="Times New Roman" w:cs="Times New Roman"/>
          <w:lang w:val="en-US"/>
        </w:rPr>
      </w:pPr>
    </w:p>
    <w:p w14:paraId="0CFEB579" w14:textId="22848C78" w:rsidR="0005136E" w:rsidRDefault="0005136E" w:rsidP="00A678F5">
      <w:pPr>
        <w:rPr>
          <w:rFonts w:ascii="Times New Roman" w:hAnsi="Times New Roman" w:cs="Times New Roman"/>
          <w:lang w:val="en-US"/>
        </w:rPr>
      </w:pPr>
    </w:p>
    <w:p w14:paraId="520DA332" w14:textId="703A9991" w:rsidR="0005136E" w:rsidRDefault="0005136E" w:rsidP="00A678F5">
      <w:pPr>
        <w:rPr>
          <w:rFonts w:ascii="Times New Roman" w:hAnsi="Times New Roman" w:cs="Times New Roman"/>
          <w:lang w:val="en-US"/>
        </w:rPr>
      </w:pPr>
    </w:p>
    <w:p w14:paraId="132238CE" w14:textId="22E9E452" w:rsidR="0005136E" w:rsidRDefault="0005136E" w:rsidP="00A678F5">
      <w:pPr>
        <w:rPr>
          <w:rFonts w:ascii="Times New Roman" w:hAnsi="Times New Roman" w:cs="Times New Roman"/>
          <w:lang w:val="en-US"/>
        </w:rPr>
      </w:pPr>
    </w:p>
    <w:p w14:paraId="01E8DB16" w14:textId="5D297E6F" w:rsidR="0005136E" w:rsidRDefault="0005136E" w:rsidP="00A678F5">
      <w:pPr>
        <w:rPr>
          <w:rFonts w:ascii="Times New Roman" w:hAnsi="Times New Roman" w:cs="Times New Roman"/>
          <w:lang w:val="en-US"/>
        </w:rPr>
      </w:pPr>
    </w:p>
    <w:p w14:paraId="1BE43EF2" w14:textId="77777777" w:rsidR="0005136E" w:rsidRDefault="0005136E" w:rsidP="00A678F5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41" w:rightFromText="141" w:vertAnchor="page" w:horzAnchor="margin" w:tblpXSpec="center" w:tblpY="9733"/>
        <w:tblW w:w="5300" w:type="pct"/>
        <w:tblLook w:val="04A0" w:firstRow="1" w:lastRow="0" w:firstColumn="1" w:lastColumn="0" w:noHBand="0" w:noVBand="1"/>
      </w:tblPr>
      <w:tblGrid>
        <w:gridCol w:w="2095"/>
        <w:gridCol w:w="4924"/>
        <w:gridCol w:w="3187"/>
      </w:tblGrid>
      <w:tr w:rsidR="0005136E" w:rsidRPr="008802A6" w14:paraId="604F18EA" w14:textId="77777777" w:rsidTr="0005136E">
        <w:trPr>
          <w:trHeight w:val="219"/>
        </w:trPr>
        <w:tc>
          <w:tcPr>
            <w:tcW w:w="1026" w:type="pct"/>
          </w:tcPr>
          <w:p w14:paraId="76DF2775" w14:textId="77777777" w:rsidR="0005136E" w:rsidRPr="008802A6" w:rsidRDefault="0005136E" w:rsidP="0005136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02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Do-files</w:t>
            </w:r>
          </w:p>
        </w:tc>
        <w:tc>
          <w:tcPr>
            <w:tcW w:w="2412" w:type="pct"/>
          </w:tcPr>
          <w:p w14:paraId="69F9ACD0" w14:textId="77777777" w:rsidR="0005136E" w:rsidRPr="008802A6" w:rsidRDefault="0005136E" w:rsidP="0005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Analysis data i</w:t>
            </w:r>
            <w:r w:rsidRPr="008802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nput</w:t>
            </w:r>
          </w:p>
        </w:tc>
        <w:tc>
          <w:tcPr>
            <w:tcW w:w="1561" w:type="pct"/>
          </w:tcPr>
          <w:p w14:paraId="2A678466" w14:textId="77777777" w:rsidR="0005136E" w:rsidRPr="008802A6" w:rsidRDefault="0005136E" w:rsidP="0005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Results</w:t>
            </w:r>
          </w:p>
        </w:tc>
      </w:tr>
      <w:tr w:rsidR="0005136E" w:rsidRPr="008802A6" w14:paraId="72D361A1" w14:textId="77777777" w:rsidTr="0005136E">
        <w:trPr>
          <w:trHeight w:val="54"/>
        </w:trPr>
        <w:tc>
          <w:tcPr>
            <w:tcW w:w="1026" w:type="pct"/>
          </w:tcPr>
          <w:p w14:paraId="557BBD5F" w14:textId="7D6007EE" w:rsidR="0005136E" w:rsidRPr="00CB214A" w:rsidRDefault="0005136E" w:rsidP="000513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21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Fig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CB21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.do</w:t>
            </w:r>
          </w:p>
        </w:tc>
        <w:tc>
          <w:tcPr>
            <w:tcW w:w="2412" w:type="pct"/>
          </w:tcPr>
          <w:p w14:paraId="071CC2BA" w14:textId="77777777" w:rsidR="0005136E" w:rsidRPr="00CB214A" w:rsidRDefault="0005136E" w:rsidP="0005136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3E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CPI_CE2014_merged.dta</w:t>
            </w:r>
          </w:p>
          <w:p w14:paraId="75670B8B" w14:textId="77777777" w:rsidR="0005136E" w:rsidRPr="00CB214A" w:rsidRDefault="0005136E" w:rsidP="000513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61" w:type="pct"/>
          </w:tcPr>
          <w:p w14:paraId="0D32D99F" w14:textId="77777777" w:rsidR="0005136E" w:rsidRPr="00CB214A" w:rsidRDefault="0005136E" w:rsidP="000513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21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Figure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6A</w:t>
            </w:r>
            <w:r w:rsidRPr="00CB21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.eps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 Figure6B.eps;  Figure 6C.eps; Figure6D.eps;  Figure 6E.eps;  Figure6F.eps</w:t>
            </w:r>
          </w:p>
        </w:tc>
      </w:tr>
      <w:tr w:rsidR="0005136E" w:rsidRPr="008802A6" w14:paraId="74969725" w14:textId="77777777" w:rsidTr="0005136E">
        <w:trPr>
          <w:trHeight w:val="54"/>
        </w:trPr>
        <w:tc>
          <w:tcPr>
            <w:tcW w:w="1026" w:type="pct"/>
          </w:tcPr>
          <w:p w14:paraId="32555886" w14:textId="327AEE51" w:rsidR="0005136E" w:rsidRPr="00CB214A" w:rsidRDefault="0005136E" w:rsidP="000513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21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Fig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A8</w:t>
            </w:r>
            <w:r w:rsidRPr="00CB21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.do</w:t>
            </w:r>
          </w:p>
        </w:tc>
        <w:tc>
          <w:tcPr>
            <w:tcW w:w="2412" w:type="pct"/>
          </w:tcPr>
          <w:p w14:paraId="0F31CA0D" w14:textId="77777777" w:rsidR="0005136E" w:rsidRPr="002A3C6C" w:rsidRDefault="0005136E" w:rsidP="0005136E">
            <w:pP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2A3C6C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CPI_CE2014_merged.dta</w:t>
            </w:r>
          </w:p>
        </w:tc>
        <w:tc>
          <w:tcPr>
            <w:tcW w:w="1561" w:type="pct"/>
          </w:tcPr>
          <w:p w14:paraId="0420FF23" w14:textId="77777777" w:rsidR="0005136E" w:rsidRPr="00CB214A" w:rsidRDefault="0005136E" w:rsidP="000513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21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Figure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A8A</w:t>
            </w:r>
            <w:r w:rsidRPr="00CB21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.eps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; </w:t>
            </w:r>
            <w:r w:rsidRPr="00CB21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Figure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A8B</w:t>
            </w:r>
            <w:r w:rsidRPr="00CB21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.eps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</w:p>
          <w:p w14:paraId="00E88DDA" w14:textId="77777777" w:rsidR="0005136E" w:rsidRPr="00CB214A" w:rsidRDefault="0005136E" w:rsidP="000513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5136E" w:rsidRPr="006F3205" w14:paraId="2B796A53" w14:textId="77777777" w:rsidTr="0005136E">
        <w:trPr>
          <w:trHeight w:val="54"/>
        </w:trPr>
        <w:tc>
          <w:tcPr>
            <w:tcW w:w="1026" w:type="pct"/>
          </w:tcPr>
          <w:p w14:paraId="50315410" w14:textId="77777777" w:rsidR="0005136E" w:rsidRPr="00CB214A" w:rsidRDefault="0005136E" w:rsidP="000513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TableA6</w:t>
            </w:r>
            <w:r w:rsidRPr="00CB21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.do</w:t>
            </w:r>
          </w:p>
        </w:tc>
        <w:tc>
          <w:tcPr>
            <w:tcW w:w="2412" w:type="pct"/>
          </w:tcPr>
          <w:p w14:paraId="0F72C54E" w14:textId="77777777" w:rsidR="0005136E" w:rsidRPr="00090DD3" w:rsidRDefault="0005136E" w:rsidP="0005136E">
            <w:pP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090DD3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Censos_2014-2019_id_uelm.dta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; </w:t>
            </w:r>
            <w:r>
              <w:t xml:space="preserve"> </w:t>
            </w:r>
            <w:r w:rsidRPr="00090DD3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Censos_2009-2014.dta</w:t>
            </w:r>
          </w:p>
        </w:tc>
        <w:tc>
          <w:tcPr>
            <w:tcW w:w="1561" w:type="pct"/>
          </w:tcPr>
          <w:p w14:paraId="4107EC7F" w14:textId="77777777" w:rsidR="0005136E" w:rsidRDefault="0005136E" w:rsidP="000513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67D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TableA6_PanelA.te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x; </w:t>
            </w:r>
            <w:r>
              <w:t xml:space="preserve"> </w:t>
            </w:r>
            <w:r w:rsidRPr="00867D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TableA6_PanelB.tex </w:t>
            </w:r>
          </w:p>
          <w:p w14:paraId="68088F96" w14:textId="77777777" w:rsidR="0005136E" w:rsidRPr="00CB214A" w:rsidRDefault="0005136E" w:rsidP="000513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5136E" w:rsidRPr="008802A6" w14:paraId="50577801" w14:textId="77777777" w:rsidTr="0005136E">
        <w:trPr>
          <w:trHeight w:val="200"/>
        </w:trPr>
        <w:tc>
          <w:tcPr>
            <w:tcW w:w="1026" w:type="pct"/>
          </w:tcPr>
          <w:p w14:paraId="6BF0BD27" w14:textId="09FDB5B2" w:rsidR="0005136E" w:rsidRPr="00CB214A" w:rsidRDefault="0005136E" w:rsidP="000513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21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Fig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A7</w:t>
            </w:r>
            <w:r w:rsidRPr="00CB21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.do</w:t>
            </w:r>
          </w:p>
        </w:tc>
        <w:tc>
          <w:tcPr>
            <w:tcW w:w="2412" w:type="pct"/>
          </w:tcPr>
          <w:p w14:paraId="0D957A8E" w14:textId="77777777" w:rsidR="0005136E" w:rsidRPr="00CB214A" w:rsidRDefault="0005136E" w:rsidP="000513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[no pre-loaded data input, instructions for creating map] </w:t>
            </w:r>
          </w:p>
        </w:tc>
        <w:tc>
          <w:tcPr>
            <w:tcW w:w="1561" w:type="pct"/>
          </w:tcPr>
          <w:p w14:paraId="3A8B56F4" w14:textId="77777777" w:rsidR="0005136E" w:rsidRPr="00CB214A" w:rsidRDefault="0005136E" w:rsidP="000513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21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FigureA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CB21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</w:p>
          <w:p w14:paraId="0E939F6B" w14:textId="77777777" w:rsidR="0005136E" w:rsidRPr="00CB214A" w:rsidRDefault="0005136E" w:rsidP="000513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738E0" w:rsidRPr="008802A6" w14:paraId="220D3BF4" w14:textId="77777777" w:rsidTr="0005136E">
        <w:trPr>
          <w:trHeight w:val="200"/>
        </w:trPr>
        <w:tc>
          <w:tcPr>
            <w:tcW w:w="1026" w:type="pct"/>
          </w:tcPr>
          <w:p w14:paraId="35353D08" w14:textId="554C2BC6" w:rsidR="003738E0" w:rsidRPr="00CB214A" w:rsidRDefault="003738E0" w:rsidP="000513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FigC1.do</w:t>
            </w:r>
          </w:p>
        </w:tc>
        <w:tc>
          <w:tcPr>
            <w:tcW w:w="2412" w:type="pct"/>
          </w:tcPr>
          <w:p w14:paraId="56731992" w14:textId="130FA96E" w:rsidR="003738E0" w:rsidRDefault="003738E0" w:rsidP="000513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A3C6C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CPI_CE2014_merged.dta</w:t>
            </w:r>
          </w:p>
        </w:tc>
        <w:tc>
          <w:tcPr>
            <w:tcW w:w="1561" w:type="pct"/>
          </w:tcPr>
          <w:p w14:paraId="18A8E2B0" w14:textId="5FB69FC9" w:rsidR="003738E0" w:rsidRPr="00CB214A" w:rsidRDefault="003738E0" w:rsidP="000513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FigC1A.eps, FigC1B.eps</w:t>
            </w:r>
          </w:p>
        </w:tc>
      </w:tr>
    </w:tbl>
    <w:p w14:paraId="7673D91E" w14:textId="555D4AF5" w:rsidR="00A678F5" w:rsidRDefault="00A678F5" w:rsidP="00A678F5">
      <w:pPr>
        <w:rPr>
          <w:rFonts w:ascii="Times New Roman" w:hAnsi="Times New Roman" w:cs="Times New Roman"/>
          <w:lang w:val="en-US"/>
        </w:rPr>
      </w:pPr>
    </w:p>
    <w:p w14:paraId="77118AF8" w14:textId="770D307F" w:rsidR="00A678F5" w:rsidRDefault="00A678F5" w:rsidP="00A678F5">
      <w:pPr>
        <w:rPr>
          <w:rFonts w:ascii="Times New Roman" w:hAnsi="Times New Roman" w:cs="Times New Roman"/>
          <w:lang w:val="en-US"/>
        </w:rPr>
      </w:pPr>
    </w:p>
    <w:p w14:paraId="500A6143" w14:textId="0696776C" w:rsidR="00A678F5" w:rsidRPr="001E1798" w:rsidRDefault="00E70A82" w:rsidP="001E1798">
      <w:pPr>
        <w:jc w:val="center"/>
        <w:rPr>
          <w:rFonts w:ascii="Times New Roman" w:hAnsi="Times New Roman" w:cs="Times New Roman"/>
          <w:u w:val="single"/>
          <w:lang w:val="en-US"/>
        </w:rPr>
      </w:pPr>
      <w:r w:rsidRPr="001E1798">
        <w:rPr>
          <w:rFonts w:ascii="Times New Roman" w:hAnsi="Times New Roman" w:cs="Times New Roman"/>
          <w:u w:val="single"/>
          <w:lang w:val="en-US"/>
        </w:rPr>
        <w:t>Figures and Tables in RESULTS folder with corresponding do-files and analysis data-sets</w:t>
      </w:r>
    </w:p>
    <w:p w14:paraId="34C0A531" w14:textId="5D8E0BEF" w:rsidR="00A678F5" w:rsidRDefault="00A678F5" w:rsidP="00A678F5">
      <w:pPr>
        <w:rPr>
          <w:rFonts w:ascii="Times New Roman" w:hAnsi="Times New Roman" w:cs="Times New Roman"/>
          <w:lang w:val="en-US"/>
        </w:rPr>
      </w:pPr>
    </w:p>
    <w:p w14:paraId="2D6CC670" w14:textId="41057EC5" w:rsidR="00A678F5" w:rsidRDefault="00A678F5" w:rsidP="00A678F5">
      <w:pPr>
        <w:rPr>
          <w:rFonts w:ascii="Times New Roman" w:hAnsi="Times New Roman" w:cs="Times New Roman"/>
          <w:lang w:val="en-US"/>
        </w:rPr>
      </w:pPr>
    </w:p>
    <w:p w14:paraId="0ADD1B5E" w14:textId="5F6FA9C8" w:rsidR="00A678F5" w:rsidRDefault="00A678F5" w:rsidP="00A678F5">
      <w:pPr>
        <w:rPr>
          <w:rFonts w:ascii="Times New Roman" w:hAnsi="Times New Roman" w:cs="Times New Roman"/>
          <w:lang w:val="en-US"/>
        </w:rPr>
      </w:pPr>
    </w:p>
    <w:p w14:paraId="59D1462E" w14:textId="4C7E3B76" w:rsidR="00A678F5" w:rsidRDefault="00A678F5" w:rsidP="00A678F5">
      <w:pPr>
        <w:rPr>
          <w:rFonts w:ascii="Times New Roman" w:hAnsi="Times New Roman" w:cs="Times New Roman"/>
          <w:lang w:val="en-US"/>
        </w:rPr>
      </w:pPr>
    </w:p>
    <w:p w14:paraId="21BBF529" w14:textId="42B8F0D3" w:rsidR="00A678F5" w:rsidRDefault="00A678F5" w:rsidP="00A678F5">
      <w:pPr>
        <w:rPr>
          <w:rFonts w:ascii="Times New Roman" w:hAnsi="Times New Roman" w:cs="Times New Roman"/>
          <w:lang w:val="en-US"/>
        </w:rPr>
      </w:pPr>
    </w:p>
    <w:p w14:paraId="4C32A3B8" w14:textId="4DBFB391" w:rsidR="00E0779B" w:rsidRDefault="00E0779B" w:rsidP="00415956">
      <w:pPr>
        <w:rPr>
          <w:rFonts w:ascii="Times New Roman" w:hAnsi="Times New Roman" w:cs="Times New Roman"/>
          <w:lang w:val="en-US"/>
        </w:rPr>
      </w:pPr>
    </w:p>
    <w:p w14:paraId="4E58A6D4" w14:textId="77777777" w:rsidR="00E0779B" w:rsidRPr="008802A6" w:rsidRDefault="00E0779B" w:rsidP="00415956">
      <w:pPr>
        <w:rPr>
          <w:rFonts w:ascii="Times New Roman" w:hAnsi="Times New Roman" w:cs="Times New Roman"/>
          <w:lang w:val="en-US"/>
        </w:rPr>
      </w:pPr>
    </w:p>
    <w:p w14:paraId="59DA1E7C" w14:textId="0B19E989" w:rsidR="007E0194" w:rsidRDefault="007E0194" w:rsidP="00415956">
      <w:pPr>
        <w:rPr>
          <w:rFonts w:ascii="Times New Roman" w:hAnsi="Times New Roman" w:cs="Times New Roman"/>
          <w:lang w:val="en-US"/>
        </w:rPr>
      </w:pPr>
    </w:p>
    <w:p w14:paraId="7C20E63C" w14:textId="41CEA4CB" w:rsidR="00391ED2" w:rsidRDefault="00391ED2" w:rsidP="00415956">
      <w:pPr>
        <w:rPr>
          <w:rFonts w:ascii="Times New Roman" w:hAnsi="Times New Roman" w:cs="Times New Roman"/>
          <w:lang w:val="en-US"/>
        </w:rPr>
      </w:pPr>
    </w:p>
    <w:p w14:paraId="2F94DC6F" w14:textId="7CD95C3F" w:rsidR="00391ED2" w:rsidRDefault="00391ED2" w:rsidP="00415956">
      <w:pPr>
        <w:rPr>
          <w:rFonts w:ascii="Times New Roman" w:hAnsi="Times New Roman" w:cs="Times New Roman"/>
          <w:lang w:val="en-US"/>
        </w:rPr>
      </w:pPr>
    </w:p>
    <w:sectPr w:rsidR="00391ED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25649" w14:textId="77777777" w:rsidR="00706063" w:rsidRDefault="00706063" w:rsidP="00862D61">
      <w:r>
        <w:separator/>
      </w:r>
    </w:p>
  </w:endnote>
  <w:endnote w:type="continuationSeparator" w:id="0">
    <w:p w14:paraId="212FB3AA" w14:textId="77777777" w:rsidR="00706063" w:rsidRDefault="00706063" w:rsidP="00862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A1340" w14:textId="77777777" w:rsidR="00706063" w:rsidRDefault="00706063" w:rsidP="00862D61">
      <w:r>
        <w:separator/>
      </w:r>
    </w:p>
  </w:footnote>
  <w:footnote w:type="continuationSeparator" w:id="0">
    <w:p w14:paraId="111C627B" w14:textId="77777777" w:rsidR="00706063" w:rsidRDefault="00706063" w:rsidP="00862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49A0"/>
    <w:multiLevelType w:val="hybridMultilevel"/>
    <w:tmpl w:val="B030B50E"/>
    <w:lvl w:ilvl="0" w:tplc="431848F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D7ACE"/>
    <w:multiLevelType w:val="hybridMultilevel"/>
    <w:tmpl w:val="8BEA0F06"/>
    <w:lvl w:ilvl="0" w:tplc="1FF08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98F8CC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  <w:color w:val="auto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25EE2"/>
    <w:multiLevelType w:val="hybridMultilevel"/>
    <w:tmpl w:val="119E443A"/>
    <w:lvl w:ilvl="0" w:tplc="A5D2F650">
      <w:start w:val="199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62E460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E96344E"/>
    <w:multiLevelType w:val="hybridMultilevel"/>
    <w:tmpl w:val="54666558"/>
    <w:lvl w:ilvl="0" w:tplc="8792607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44BA7"/>
    <w:multiLevelType w:val="hybridMultilevel"/>
    <w:tmpl w:val="6CA21002"/>
    <w:lvl w:ilvl="0" w:tplc="7FB01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B6ACA"/>
    <w:multiLevelType w:val="hybridMultilevel"/>
    <w:tmpl w:val="07268D14"/>
    <w:lvl w:ilvl="0" w:tplc="C5DE7CB8">
      <w:start w:val="2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63401"/>
    <w:multiLevelType w:val="hybridMultilevel"/>
    <w:tmpl w:val="711A8334"/>
    <w:lvl w:ilvl="0" w:tplc="3516DB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C330D"/>
    <w:multiLevelType w:val="hybridMultilevel"/>
    <w:tmpl w:val="C36EDA86"/>
    <w:lvl w:ilvl="0" w:tplc="8304B8A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16756"/>
    <w:multiLevelType w:val="hybridMultilevel"/>
    <w:tmpl w:val="9802FB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C763CB"/>
    <w:multiLevelType w:val="hybridMultilevel"/>
    <w:tmpl w:val="2FECF39E"/>
    <w:lvl w:ilvl="0" w:tplc="1666B520">
      <w:start w:val="200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BE4A96"/>
    <w:multiLevelType w:val="hybridMultilevel"/>
    <w:tmpl w:val="5A2EF6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147505">
    <w:abstractNumId w:val="9"/>
  </w:num>
  <w:num w:numId="2" w16cid:durableId="2042247753">
    <w:abstractNumId w:val="3"/>
  </w:num>
  <w:num w:numId="3" w16cid:durableId="1134248406">
    <w:abstractNumId w:val="6"/>
  </w:num>
  <w:num w:numId="4" w16cid:durableId="1835875732">
    <w:abstractNumId w:val="8"/>
  </w:num>
  <w:num w:numId="5" w16cid:durableId="1205556875">
    <w:abstractNumId w:val="4"/>
  </w:num>
  <w:num w:numId="6" w16cid:durableId="1761442731">
    <w:abstractNumId w:val="11"/>
  </w:num>
  <w:num w:numId="7" w16cid:durableId="1433354843">
    <w:abstractNumId w:val="7"/>
  </w:num>
  <w:num w:numId="8" w16cid:durableId="528417986">
    <w:abstractNumId w:val="5"/>
  </w:num>
  <w:num w:numId="9" w16cid:durableId="224224306">
    <w:abstractNumId w:val="1"/>
  </w:num>
  <w:num w:numId="10" w16cid:durableId="1610625415">
    <w:abstractNumId w:val="10"/>
  </w:num>
  <w:num w:numId="11" w16cid:durableId="556667385">
    <w:abstractNumId w:val="2"/>
  </w:num>
  <w:num w:numId="12" w16cid:durableId="193157520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7F"/>
    <w:rsid w:val="00000820"/>
    <w:rsid w:val="00000991"/>
    <w:rsid w:val="00005D71"/>
    <w:rsid w:val="000061EE"/>
    <w:rsid w:val="00012B60"/>
    <w:rsid w:val="0002738F"/>
    <w:rsid w:val="00034B91"/>
    <w:rsid w:val="00035135"/>
    <w:rsid w:val="00035A2D"/>
    <w:rsid w:val="0004741C"/>
    <w:rsid w:val="00047869"/>
    <w:rsid w:val="0005136E"/>
    <w:rsid w:val="00052BA9"/>
    <w:rsid w:val="00052BEC"/>
    <w:rsid w:val="00056FFF"/>
    <w:rsid w:val="00061F55"/>
    <w:rsid w:val="0006264E"/>
    <w:rsid w:val="00062A26"/>
    <w:rsid w:val="00063E23"/>
    <w:rsid w:val="00064CAB"/>
    <w:rsid w:val="00065731"/>
    <w:rsid w:val="00072EE3"/>
    <w:rsid w:val="000740F9"/>
    <w:rsid w:val="000761A7"/>
    <w:rsid w:val="0007730E"/>
    <w:rsid w:val="00081CBC"/>
    <w:rsid w:val="000848CE"/>
    <w:rsid w:val="00090DD3"/>
    <w:rsid w:val="0009118F"/>
    <w:rsid w:val="00097C3A"/>
    <w:rsid w:val="000A18BB"/>
    <w:rsid w:val="000B68B7"/>
    <w:rsid w:val="000C0675"/>
    <w:rsid w:val="000C1325"/>
    <w:rsid w:val="000C7B96"/>
    <w:rsid w:val="000D6C02"/>
    <w:rsid w:val="000F0EA2"/>
    <w:rsid w:val="000F61FC"/>
    <w:rsid w:val="000F7FB5"/>
    <w:rsid w:val="00114F08"/>
    <w:rsid w:val="0011734E"/>
    <w:rsid w:val="00123EA1"/>
    <w:rsid w:val="001270D3"/>
    <w:rsid w:val="00131F18"/>
    <w:rsid w:val="00133903"/>
    <w:rsid w:val="00140832"/>
    <w:rsid w:val="00151641"/>
    <w:rsid w:val="0015255B"/>
    <w:rsid w:val="00154F47"/>
    <w:rsid w:val="00163EE8"/>
    <w:rsid w:val="0017046C"/>
    <w:rsid w:val="00170DA3"/>
    <w:rsid w:val="00172548"/>
    <w:rsid w:val="001817D7"/>
    <w:rsid w:val="00182DFA"/>
    <w:rsid w:val="00191BC5"/>
    <w:rsid w:val="00194344"/>
    <w:rsid w:val="001946EB"/>
    <w:rsid w:val="001974A7"/>
    <w:rsid w:val="001A023E"/>
    <w:rsid w:val="001A7AE3"/>
    <w:rsid w:val="001B3956"/>
    <w:rsid w:val="001B7C26"/>
    <w:rsid w:val="001B7D39"/>
    <w:rsid w:val="001C230F"/>
    <w:rsid w:val="001D0CF3"/>
    <w:rsid w:val="001D463C"/>
    <w:rsid w:val="001E1798"/>
    <w:rsid w:val="001F51A3"/>
    <w:rsid w:val="001F7835"/>
    <w:rsid w:val="001F7B3C"/>
    <w:rsid w:val="00201256"/>
    <w:rsid w:val="00210B61"/>
    <w:rsid w:val="00212A14"/>
    <w:rsid w:val="002151A4"/>
    <w:rsid w:val="00216FF9"/>
    <w:rsid w:val="00231379"/>
    <w:rsid w:val="0024245A"/>
    <w:rsid w:val="00244C76"/>
    <w:rsid w:val="00246C70"/>
    <w:rsid w:val="002600C4"/>
    <w:rsid w:val="00260751"/>
    <w:rsid w:val="002628A9"/>
    <w:rsid w:val="00282E8C"/>
    <w:rsid w:val="002847D3"/>
    <w:rsid w:val="0028762D"/>
    <w:rsid w:val="00294B75"/>
    <w:rsid w:val="00295D41"/>
    <w:rsid w:val="0029757D"/>
    <w:rsid w:val="002A3C6C"/>
    <w:rsid w:val="002A4F7F"/>
    <w:rsid w:val="002B5290"/>
    <w:rsid w:val="002C24D3"/>
    <w:rsid w:val="002C4E67"/>
    <w:rsid w:val="002C5D71"/>
    <w:rsid w:val="002D3B46"/>
    <w:rsid w:val="002E0CDD"/>
    <w:rsid w:val="002E3CA4"/>
    <w:rsid w:val="002E699E"/>
    <w:rsid w:val="003035D6"/>
    <w:rsid w:val="003036F9"/>
    <w:rsid w:val="00320E52"/>
    <w:rsid w:val="003226A0"/>
    <w:rsid w:val="00323706"/>
    <w:rsid w:val="00323743"/>
    <w:rsid w:val="00326DFE"/>
    <w:rsid w:val="00331FC5"/>
    <w:rsid w:val="00337325"/>
    <w:rsid w:val="00337447"/>
    <w:rsid w:val="00337554"/>
    <w:rsid w:val="00345219"/>
    <w:rsid w:val="0035074C"/>
    <w:rsid w:val="0035208F"/>
    <w:rsid w:val="003526F6"/>
    <w:rsid w:val="00355C9A"/>
    <w:rsid w:val="00356263"/>
    <w:rsid w:val="00360E51"/>
    <w:rsid w:val="00361935"/>
    <w:rsid w:val="00365BD6"/>
    <w:rsid w:val="00367887"/>
    <w:rsid w:val="003738E0"/>
    <w:rsid w:val="0037434F"/>
    <w:rsid w:val="00381246"/>
    <w:rsid w:val="00382CAE"/>
    <w:rsid w:val="00383262"/>
    <w:rsid w:val="00384958"/>
    <w:rsid w:val="00391ED2"/>
    <w:rsid w:val="003970A1"/>
    <w:rsid w:val="003A1A90"/>
    <w:rsid w:val="003B5F96"/>
    <w:rsid w:val="003C2194"/>
    <w:rsid w:val="003C2C23"/>
    <w:rsid w:val="003D2F4C"/>
    <w:rsid w:val="003D5F08"/>
    <w:rsid w:val="003D6C8B"/>
    <w:rsid w:val="003E70BA"/>
    <w:rsid w:val="003F0C22"/>
    <w:rsid w:val="003F50A1"/>
    <w:rsid w:val="00411800"/>
    <w:rsid w:val="00413B0E"/>
    <w:rsid w:val="00415956"/>
    <w:rsid w:val="00423A6A"/>
    <w:rsid w:val="0042611B"/>
    <w:rsid w:val="0043524A"/>
    <w:rsid w:val="00451A45"/>
    <w:rsid w:val="004640A4"/>
    <w:rsid w:val="00471210"/>
    <w:rsid w:val="004716B9"/>
    <w:rsid w:val="00473404"/>
    <w:rsid w:val="004762D8"/>
    <w:rsid w:val="00481524"/>
    <w:rsid w:val="00486D44"/>
    <w:rsid w:val="004952C8"/>
    <w:rsid w:val="004968C9"/>
    <w:rsid w:val="004A0C98"/>
    <w:rsid w:val="004B75CE"/>
    <w:rsid w:val="004B7C40"/>
    <w:rsid w:val="004C0E04"/>
    <w:rsid w:val="004D1C8F"/>
    <w:rsid w:val="004D216B"/>
    <w:rsid w:val="004D3A5C"/>
    <w:rsid w:val="004D3B18"/>
    <w:rsid w:val="004E10F2"/>
    <w:rsid w:val="004E753A"/>
    <w:rsid w:val="004F5994"/>
    <w:rsid w:val="00501E87"/>
    <w:rsid w:val="00502590"/>
    <w:rsid w:val="005043F7"/>
    <w:rsid w:val="00504D8E"/>
    <w:rsid w:val="0051107A"/>
    <w:rsid w:val="00521C33"/>
    <w:rsid w:val="005273A2"/>
    <w:rsid w:val="005452BF"/>
    <w:rsid w:val="00551DC2"/>
    <w:rsid w:val="0055504C"/>
    <w:rsid w:val="005635FD"/>
    <w:rsid w:val="00564248"/>
    <w:rsid w:val="00580FE6"/>
    <w:rsid w:val="005832AB"/>
    <w:rsid w:val="005869BD"/>
    <w:rsid w:val="00586ED4"/>
    <w:rsid w:val="005936E3"/>
    <w:rsid w:val="005959FD"/>
    <w:rsid w:val="005A03CB"/>
    <w:rsid w:val="005A2055"/>
    <w:rsid w:val="005A6008"/>
    <w:rsid w:val="005B1D41"/>
    <w:rsid w:val="005B3525"/>
    <w:rsid w:val="005B5902"/>
    <w:rsid w:val="005C7769"/>
    <w:rsid w:val="005E0B29"/>
    <w:rsid w:val="005F2943"/>
    <w:rsid w:val="005F5EE4"/>
    <w:rsid w:val="00604E83"/>
    <w:rsid w:val="00606200"/>
    <w:rsid w:val="00606B72"/>
    <w:rsid w:val="00611289"/>
    <w:rsid w:val="006223AC"/>
    <w:rsid w:val="00622E82"/>
    <w:rsid w:val="0063143C"/>
    <w:rsid w:val="0063463D"/>
    <w:rsid w:val="00636E55"/>
    <w:rsid w:val="00643520"/>
    <w:rsid w:val="00654406"/>
    <w:rsid w:val="0065740E"/>
    <w:rsid w:val="006676F3"/>
    <w:rsid w:val="0067636B"/>
    <w:rsid w:val="00685E70"/>
    <w:rsid w:val="00697075"/>
    <w:rsid w:val="006A6701"/>
    <w:rsid w:val="006B0ECB"/>
    <w:rsid w:val="006B2063"/>
    <w:rsid w:val="006B2350"/>
    <w:rsid w:val="006C14BC"/>
    <w:rsid w:val="006C4FA7"/>
    <w:rsid w:val="006C6419"/>
    <w:rsid w:val="006D10C3"/>
    <w:rsid w:val="006D1C2D"/>
    <w:rsid w:val="006D658C"/>
    <w:rsid w:val="006D6E26"/>
    <w:rsid w:val="006E3543"/>
    <w:rsid w:val="006E68E6"/>
    <w:rsid w:val="006E7046"/>
    <w:rsid w:val="006F3205"/>
    <w:rsid w:val="007000B6"/>
    <w:rsid w:val="0070240A"/>
    <w:rsid w:val="0070257F"/>
    <w:rsid w:val="00702690"/>
    <w:rsid w:val="00706063"/>
    <w:rsid w:val="007062F2"/>
    <w:rsid w:val="0071095E"/>
    <w:rsid w:val="00716D7D"/>
    <w:rsid w:val="00720E07"/>
    <w:rsid w:val="00727C7A"/>
    <w:rsid w:val="0073337E"/>
    <w:rsid w:val="00740718"/>
    <w:rsid w:val="00743414"/>
    <w:rsid w:val="00743E30"/>
    <w:rsid w:val="00745AE3"/>
    <w:rsid w:val="00767D4A"/>
    <w:rsid w:val="00780A22"/>
    <w:rsid w:val="007908DB"/>
    <w:rsid w:val="007A08D1"/>
    <w:rsid w:val="007A134A"/>
    <w:rsid w:val="007B4068"/>
    <w:rsid w:val="007B4882"/>
    <w:rsid w:val="007C29F9"/>
    <w:rsid w:val="007C2D81"/>
    <w:rsid w:val="007C765A"/>
    <w:rsid w:val="007D3BBD"/>
    <w:rsid w:val="007D430F"/>
    <w:rsid w:val="007D6345"/>
    <w:rsid w:val="007E0194"/>
    <w:rsid w:val="007E6336"/>
    <w:rsid w:val="007F4649"/>
    <w:rsid w:val="007F57F4"/>
    <w:rsid w:val="007F5D1C"/>
    <w:rsid w:val="007F6154"/>
    <w:rsid w:val="007F7618"/>
    <w:rsid w:val="00801C92"/>
    <w:rsid w:val="0080242C"/>
    <w:rsid w:val="00803751"/>
    <w:rsid w:val="0080634B"/>
    <w:rsid w:val="00807D38"/>
    <w:rsid w:val="00810936"/>
    <w:rsid w:val="00810C15"/>
    <w:rsid w:val="00812D01"/>
    <w:rsid w:val="0081516B"/>
    <w:rsid w:val="00815BBD"/>
    <w:rsid w:val="00817F7C"/>
    <w:rsid w:val="00820E77"/>
    <w:rsid w:val="008303BD"/>
    <w:rsid w:val="008371EA"/>
    <w:rsid w:val="0084610F"/>
    <w:rsid w:val="00862D61"/>
    <w:rsid w:val="00867DBC"/>
    <w:rsid w:val="008727D1"/>
    <w:rsid w:val="008802A6"/>
    <w:rsid w:val="00881B33"/>
    <w:rsid w:val="00882E8A"/>
    <w:rsid w:val="00883CC8"/>
    <w:rsid w:val="0088486D"/>
    <w:rsid w:val="00891C5A"/>
    <w:rsid w:val="008928E5"/>
    <w:rsid w:val="008B205E"/>
    <w:rsid w:val="008C13E1"/>
    <w:rsid w:val="008C2E29"/>
    <w:rsid w:val="008D323B"/>
    <w:rsid w:val="008E735E"/>
    <w:rsid w:val="00900417"/>
    <w:rsid w:val="00911FFA"/>
    <w:rsid w:val="0091206B"/>
    <w:rsid w:val="009259B3"/>
    <w:rsid w:val="00926D30"/>
    <w:rsid w:val="00930FD8"/>
    <w:rsid w:val="00931E73"/>
    <w:rsid w:val="009330CE"/>
    <w:rsid w:val="009517A3"/>
    <w:rsid w:val="0095586D"/>
    <w:rsid w:val="00977684"/>
    <w:rsid w:val="00980FD5"/>
    <w:rsid w:val="0098794D"/>
    <w:rsid w:val="00987CCF"/>
    <w:rsid w:val="00991A03"/>
    <w:rsid w:val="009964EF"/>
    <w:rsid w:val="009A44F6"/>
    <w:rsid w:val="009A53DC"/>
    <w:rsid w:val="009B7FCE"/>
    <w:rsid w:val="009C02AD"/>
    <w:rsid w:val="009D10CC"/>
    <w:rsid w:val="009D1E59"/>
    <w:rsid w:val="009D24C3"/>
    <w:rsid w:val="009D25AB"/>
    <w:rsid w:val="009D5DA1"/>
    <w:rsid w:val="009E0195"/>
    <w:rsid w:val="009E087F"/>
    <w:rsid w:val="009E3359"/>
    <w:rsid w:val="009F21F5"/>
    <w:rsid w:val="009F519C"/>
    <w:rsid w:val="009F66E9"/>
    <w:rsid w:val="009F7EF1"/>
    <w:rsid w:val="00A00D40"/>
    <w:rsid w:val="00A01131"/>
    <w:rsid w:val="00A04118"/>
    <w:rsid w:val="00A05AD2"/>
    <w:rsid w:val="00A12618"/>
    <w:rsid w:val="00A14378"/>
    <w:rsid w:val="00A153F1"/>
    <w:rsid w:val="00A15913"/>
    <w:rsid w:val="00A329A0"/>
    <w:rsid w:val="00A33144"/>
    <w:rsid w:val="00A33361"/>
    <w:rsid w:val="00A3592F"/>
    <w:rsid w:val="00A40A05"/>
    <w:rsid w:val="00A41B3D"/>
    <w:rsid w:val="00A432E1"/>
    <w:rsid w:val="00A45694"/>
    <w:rsid w:val="00A55901"/>
    <w:rsid w:val="00A56B06"/>
    <w:rsid w:val="00A64EF6"/>
    <w:rsid w:val="00A678F5"/>
    <w:rsid w:val="00A73BB6"/>
    <w:rsid w:val="00A77BDE"/>
    <w:rsid w:val="00A91BDD"/>
    <w:rsid w:val="00AA05AB"/>
    <w:rsid w:val="00AC0953"/>
    <w:rsid w:val="00AD0349"/>
    <w:rsid w:val="00AD245D"/>
    <w:rsid w:val="00AD71F2"/>
    <w:rsid w:val="00AE302E"/>
    <w:rsid w:val="00AF3221"/>
    <w:rsid w:val="00AF5F54"/>
    <w:rsid w:val="00AF7707"/>
    <w:rsid w:val="00B00C47"/>
    <w:rsid w:val="00B023E7"/>
    <w:rsid w:val="00B0472B"/>
    <w:rsid w:val="00B06D96"/>
    <w:rsid w:val="00B10D0B"/>
    <w:rsid w:val="00B120A6"/>
    <w:rsid w:val="00B16DA0"/>
    <w:rsid w:val="00B24DC6"/>
    <w:rsid w:val="00B32910"/>
    <w:rsid w:val="00B33D7C"/>
    <w:rsid w:val="00B34B9E"/>
    <w:rsid w:val="00B351ED"/>
    <w:rsid w:val="00B353E5"/>
    <w:rsid w:val="00B54380"/>
    <w:rsid w:val="00B84524"/>
    <w:rsid w:val="00B8699E"/>
    <w:rsid w:val="00B87300"/>
    <w:rsid w:val="00BA4849"/>
    <w:rsid w:val="00BB46CB"/>
    <w:rsid w:val="00BB535F"/>
    <w:rsid w:val="00BB57CF"/>
    <w:rsid w:val="00BC1392"/>
    <w:rsid w:val="00BD30A2"/>
    <w:rsid w:val="00BE08AC"/>
    <w:rsid w:val="00BE7ADD"/>
    <w:rsid w:val="00C02283"/>
    <w:rsid w:val="00C024A9"/>
    <w:rsid w:val="00C02519"/>
    <w:rsid w:val="00C0268F"/>
    <w:rsid w:val="00C03503"/>
    <w:rsid w:val="00C04ED7"/>
    <w:rsid w:val="00C16C03"/>
    <w:rsid w:val="00C1757C"/>
    <w:rsid w:val="00C20AFD"/>
    <w:rsid w:val="00C23EF9"/>
    <w:rsid w:val="00C30838"/>
    <w:rsid w:val="00C31DA2"/>
    <w:rsid w:val="00C32CDA"/>
    <w:rsid w:val="00C35136"/>
    <w:rsid w:val="00C36766"/>
    <w:rsid w:val="00C3676F"/>
    <w:rsid w:val="00C45A4F"/>
    <w:rsid w:val="00C568B5"/>
    <w:rsid w:val="00C65030"/>
    <w:rsid w:val="00C740EB"/>
    <w:rsid w:val="00C74FAA"/>
    <w:rsid w:val="00C75B2F"/>
    <w:rsid w:val="00C9546E"/>
    <w:rsid w:val="00CA0755"/>
    <w:rsid w:val="00CA61BE"/>
    <w:rsid w:val="00CB1731"/>
    <w:rsid w:val="00CB214A"/>
    <w:rsid w:val="00CB5049"/>
    <w:rsid w:val="00CB5D60"/>
    <w:rsid w:val="00CC6395"/>
    <w:rsid w:val="00CC7405"/>
    <w:rsid w:val="00CD4F22"/>
    <w:rsid w:val="00CD6441"/>
    <w:rsid w:val="00CE2323"/>
    <w:rsid w:val="00CE6FA6"/>
    <w:rsid w:val="00D03502"/>
    <w:rsid w:val="00D0629E"/>
    <w:rsid w:val="00D07F9C"/>
    <w:rsid w:val="00D11051"/>
    <w:rsid w:val="00D134FA"/>
    <w:rsid w:val="00D1486B"/>
    <w:rsid w:val="00D3377B"/>
    <w:rsid w:val="00D367C3"/>
    <w:rsid w:val="00D37045"/>
    <w:rsid w:val="00D5293A"/>
    <w:rsid w:val="00D675AC"/>
    <w:rsid w:val="00D70910"/>
    <w:rsid w:val="00D75F4E"/>
    <w:rsid w:val="00D81104"/>
    <w:rsid w:val="00D81E4B"/>
    <w:rsid w:val="00D83193"/>
    <w:rsid w:val="00D86F15"/>
    <w:rsid w:val="00D87143"/>
    <w:rsid w:val="00D92C9C"/>
    <w:rsid w:val="00D9381C"/>
    <w:rsid w:val="00D94123"/>
    <w:rsid w:val="00DA2605"/>
    <w:rsid w:val="00DA758D"/>
    <w:rsid w:val="00DB4304"/>
    <w:rsid w:val="00DB5650"/>
    <w:rsid w:val="00DC1891"/>
    <w:rsid w:val="00DC20BC"/>
    <w:rsid w:val="00DC472F"/>
    <w:rsid w:val="00DD7441"/>
    <w:rsid w:val="00DE1CC8"/>
    <w:rsid w:val="00DE4C6C"/>
    <w:rsid w:val="00DE537B"/>
    <w:rsid w:val="00DE7623"/>
    <w:rsid w:val="00E0779B"/>
    <w:rsid w:val="00E11257"/>
    <w:rsid w:val="00E338FD"/>
    <w:rsid w:val="00E40EEE"/>
    <w:rsid w:val="00E411D7"/>
    <w:rsid w:val="00E43D7D"/>
    <w:rsid w:val="00E46467"/>
    <w:rsid w:val="00E46D68"/>
    <w:rsid w:val="00E518C3"/>
    <w:rsid w:val="00E64A3A"/>
    <w:rsid w:val="00E70A82"/>
    <w:rsid w:val="00E800A2"/>
    <w:rsid w:val="00E82725"/>
    <w:rsid w:val="00E82A02"/>
    <w:rsid w:val="00E84A6A"/>
    <w:rsid w:val="00EA7D27"/>
    <w:rsid w:val="00EB41D1"/>
    <w:rsid w:val="00EC413E"/>
    <w:rsid w:val="00ED24A7"/>
    <w:rsid w:val="00ED359E"/>
    <w:rsid w:val="00EE030B"/>
    <w:rsid w:val="00EE4095"/>
    <w:rsid w:val="00EE45FC"/>
    <w:rsid w:val="00EF2ED2"/>
    <w:rsid w:val="00EF30B2"/>
    <w:rsid w:val="00F0118D"/>
    <w:rsid w:val="00F06ABA"/>
    <w:rsid w:val="00F1449D"/>
    <w:rsid w:val="00F20925"/>
    <w:rsid w:val="00F239DF"/>
    <w:rsid w:val="00F25E04"/>
    <w:rsid w:val="00F2601C"/>
    <w:rsid w:val="00F27731"/>
    <w:rsid w:val="00F27F75"/>
    <w:rsid w:val="00F32248"/>
    <w:rsid w:val="00F3415F"/>
    <w:rsid w:val="00F34A0E"/>
    <w:rsid w:val="00F34CEE"/>
    <w:rsid w:val="00F446E9"/>
    <w:rsid w:val="00F456CF"/>
    <w:rsid w:val="00F4790B"/>
    <w:rsid w:val="00F50CAA"/>
    <w:rsid w:val="00F53756"/>
    <w:rsid w:val="00F56457"/>
    <w:rsid w:val="00F57F33"/>
    <w:rsid w:val="00F70727"/>
    <w:rsid w:val="00F71B29"/>
    <w:rsid w:val="00F76403"/>
    <w:rsid w:val="00F81F1F"/>
    <w:rsid w:val="00F827BF"/>
    <w:rsid w:val="00F8289C"/>
    <w:rsid w:val="00F877B4"/>
    <w:rsid w:val="00F8780C"/>
    <w:rsid w:val="00F902E4"/>
    <w:rsid w:val="00F907A4"/>
    <w:rsid w:val="00FA18F0"/>
    <w:rsid w:val="00FA5812"/>
    <w:rsid w:val="00FB6872"/>
    <w:rsid w:val="00FC4051"/>
    <w:rsid w:val="00FC6F5D"/>
    <w:rsid w:val="00FD6032"/>
    <w:rsid w:val="00FD6B00"/>
    <w:rsid w:val="00FE31B5"/>
    <w:rsid w:val="00FF0747"/>
    <w:rsid w:val="00FF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F1DA"/>
  <w15:chartTrackingRefBased/>
  <w15:docId w15:val="{8559700D-A171-2348-AF11-5522E46B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D61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D61"/>
    <w:pPr>
      <w:keepNext/>
      <w:keepLines/>
      <w:numPr>
        <w:ilvl w:val="1"/>
        <w:numId w:val="2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D61"/>
    <w:pPr>
      <w:keepNext/>
      <w:keepLines/>
      <w:numPr>
        <w:ilvl w:val="2"/>
        <w:numId w:val="2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D61"/>
    <w:pPr>
      <w:keepNext/>
      <w:keepLines/>
      <w:numPr>
        <w:ilvl w:val="3"/>
        <w:numId w:val="2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D61"/>
    <w:pPr>
      <w:keepNext/>
      <w:keepLines/>
      <w:numPr>
        <w:ilvl w:val="4"/>
        <w:numId w:val="2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323E4F" w:themeColor="text2" w:themeShade="BF"/>
      <w:sz w:val="22"/>
      <w:szCs w:val="22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D61"/>
    <w:pPr>
      <w:keepNext/>
      <w:keepLines/>
      <w:numPr>
        <w:ilvl w:val="5"/>
        <w:numId w:val="2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D61"/>
    <w:pPr>
      <w:keepNext/>
      <w:keepLines/>
      <w:numPr>
        <w:ilvl w:val="6"/>
        <w:numId w:val="2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D61"/>
    <w:pPr>
      <w:keepNext/>
      <w:keepLines/>
      <w:numPr>
        <w:ilvl w:val="7"/>
        <w:numId w:val="2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D61"/>
    <w:pPr>
      <w:keepNext/>
      <w:keepLines/>
      <w:numPr>
        <w:ilvl w:val="8"/>
        <w:numId w:val="2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5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A6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2D6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62D6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62D61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D61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D61"/>
    <w:rPr>
      <w:rFonts w:asciiTheme="majorHAnsi" w:eastAsiaTheme="majorEastAsia" w:hAnsiTheme="majorHAnsi" w:cstheme="majorBidi"/>
      <w:color w:val="323E4F" w:themeColor="text2" w:themeShade="BF"/>
      <w:sz w:val="22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D61"/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D6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D6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D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862D61"/>
    <w:pPr>
      <w:spacing w:after="200"/>
    </w:pPr>
    <w:rPr>
      <w:rFonts w:eastAsiaTheme="minorEastAsia"/>
      <w:i/>
      <w:iCs/>
      <w:color w:val="44546A" w:themeColor="text2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62D61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862D61"/>
    <w:rPr>
      <w:rFonts w:asciiTheme="majorHAnsi" w:eastAsiaTheme="majorEastAsia" w:hAnsiTheme="majorHAnsi" w:cstheme="majorBidi"/>
      <w:color w:val="000000" w:themeColor="text1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D61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0"/>
      <w:sz w:val="22"/>
      <w:szCs w:val="22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862D61"/>
    <w:rPr>
      <w:rFonts w:eastAsiaTheme="minorEastAsia"/>
      <w:color w:val="5A5A5A" w:themeColor="text1" w:themeTint="A5"/>
      <w:spacing w:val="10"/>
      <w:sz w:val="22"/>
      <w:szCs w:val="22"/>
      <w:lang w:val="en-GB"/>
    </w:rPr>
  </w:style>
  <w:style w:type="character" w:styleId="Strong">
    <w:name w:val="Strong"/>
    <w:basedOn w:val="DefaultParagraphFont"/>
    <w:uiPriority w:val="22"/>
    <w:qFormat/>
    <w:rsid w:val="00862D6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62D61"/>
    <w:rPr>
      <w:i/>
      <w:iCs/>
      <w:color w:val="auto"/>
    </w:rPr>
  </w:style>
  <w:style w:type="paragraph" w:styleId="NoSpacing">
    <w:name w:val="No Spacing"/>
    <w:uiPriority w:val="1"/>
    <w:qFormat/>
    <w:rsid w:val="00862D61"/>
    <w:rPr>
      <w:rFonts w:eastAsiaTheme="minorEastAsia"/>
      <w:sz w:val="22"/>
      <w:szCs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62D61"/>
    <w:pPr>
      <w:spacing w:before="160" w:after="160" w:line="259" w:lineRule="auto"/>
      <w:ind w:left="720" w:right="720"/>
    </w:pPr>
    <w:rPr>
      <w:rFonts w:eastAsiaTheme="minorEastAsia"/>
      <w:i/>
      <w:iCs/>
      <w:color w:val="000000" w:themeColor="text1"/>
      <w:sz w:val="22"/>
      <w:szCs w:val="22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862D61"/>
    <w:rPr>
      <w:rFonts w:eastAsiaTheme="minorEastAsia"/>
      <w:i/>
      <w:iCs/>
      <w:color w:val="000000" w:themeColor="text1"/>
      <w:sz w:val="22"/>
      <w:szCs w:val="22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D6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eastAsiaTheme="minorEastAsia"/>
      <w:color w:val="000000" w:themeColor="text1"/>
      <w:sz w:val="22"/>
      <w:szCs w:val="22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D61"/>
    <w:rPr>
      <w:rFonts w:eastAsiaTheme="minorEastAsia"/>
      <w:color w:val="000000" w:themeColor="text1"/>
      <w:sz w:val="22"/>
      <w:szCs w:val="22"/>
      <w:shd w:val="clear" w:color="auto" w:fill="F2F2F2" w:themeFill="background1" w:themeFillShade="F2"/>
      <w:lang w:val="en-GB"/>
    </w:rPr>
  </w:style>
  <w:style w:type="character" w:styleId="SubtleEmphasis">
    <w:name w:val="Subtle Emphasis"/>
    <w:basedOn w:val="DefaultParagraphFont"/>
    <w:uiPriority w:val="19"/>
    <w:qFormat/>
    <w:rsid w:val="00862D6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62D6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62D6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62D6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62D6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62D6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62D61"/>
    <w:pPr>
      <w:spacing w:after="100" w:line="259" w:lineRule="auto"/>
      <w:ind w:left="220"/>
    </w:pPr>
    <w:rPr>
      <w:rFonts w:eastAsiaTheme="minorEastAsia"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2D61"/>
    <w:pPr>
      <w:spacing w:after="100" w:line="259" w:lineRule="auto"/>
    </w:pPr>
    <w:rPr>
      <w:rFonts w:eastAsiaTheme="minorEastAsia"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62D61"/>
    <w:pPr>
      <w:spacing w:after="100" w:line="259" w:lineRule="auto"/>
      <w:ind w:left="440"/>
    </w:pPr>
    <w:rPr>
      <w:rFonts w:eastAsiaTheme="minorEastAsia" w:cs="Times New Roman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862D61"/>
    <w:rPr>
      <w:rFonts w:eastAsiaTheme="minorEastAsia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62D6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62D61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2D61"/>
    <w:rPr>
      <w:rFonts w:eastAsiaTheme="minorEastAsia"/>
      <w:sz w:val="20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2D61"/>
    <w:rPr>
      <w:rFonts w:eastAsiaTheme="minorEastAsia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862D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2D61"/>
    <w:rPr>
      <w:rFonts w:eastAsiaTheme="minorEastAsia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2D61"/>
    <w:rPr>
      <w:rFonts w:eastAsiaTheme="minorEastAsia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862D6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62D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2D61"/>
    <w:pPr>
      <w:spacing w:after="160"/>
    </w:pPr>
    <w:rPr>
      <w:rFonts w:eastAsiaTheme="minorEastAsia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2D61"/>
    <w:rPr>
      <w:rFonts w:eastAsiaTheme="minorEastAsia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2D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2D61"/>
    <w:rPr>
      <w:rFonts w:eastAsiaTheme="minorEastAsia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D61"/>
    <w:rPr>
      <w:rFonts w:ascii="Segoe UI" w:eastAsiaTheme="minorEastAsia" w:hAnsi="Segoe UI" w:cs="Segoe UI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D61"/>
    <w:rPr>
      <w:rFonts w:ascii="Segoe UI" w:eastAsiaTheme="minorEastAsia" w:hAnsi="Segoe UI" w:cs="Segoe UI"/>
      <w:sz w:val="18"/>
      <w:szCs w:val="18"/>
      <w:lang w:val="en-GB"/>
    </w:rPr>
  </w:style>
  <w:style w:type="table" w:styleId="PlainTable2">
    <w:name w:val="Plain Table 2"/>
    <w:basedOn w:val="TableNormal"/>
    <w:uiPriority w:val="42"/>
    <w:rsid w:val="00862D61"/>
    <w:rPr>
      <w:sz w:val="22"/>
      <w:szCs w:val="22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62D61"/>
    <w:pPr>
      <w:tabs>
        <w:tab w:val="center" w:pos="4513"/>
        <w:tab w:val="right" w:pos="9026"/>
      </w:tabs>
    </w:pPr>
    <w:rPr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862D61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62D61"/>
    <w:pPr>
      <w:tabs>
        <w:tab w:val="center" w:pos="4513"/>
        <w:tab w:val="right" w:pos="9026"/>
      </w:tabs>
    </w:pPr>
    <w:rPr>
      <w:sz w:val="22"/>
      <w:szCs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862D61"/>
    <w:rPr>
      <w:sz w:val="22"/>
      <w:szCs w:val="22"/>
      <w:lang w:val="en-GB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D6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862D6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FR" w:eastAsia="fr-FR"/>
    </w:rPr>
  </w:style>
  <w:style w:type="character" w:customStyle="1" w:styleId="normaltextrun">
    <w:name w:val="normaltextrun"/>
    <w:basedOn w:val="DefaultParagraphFont"/>
    <w:rsid w:val="00862D61"/>
  </w:style>
  <w:style w:type="character" w:customStyle="1" w:styleId="apple-converted-space">
    <w:name w:val="apple-converted-space"/>
    <w:basedOn w:val="DefaultParagraphFont"/>
    <w:rsid w:val="00862D61"/>
  </w:style>
  <w:style w:type="character" w:customStyle="1" w:styleId="eop">
    <w:name w:val="eop"/>
    <w:basedOn w:val="DefaultParagraphFont"/>
    <w:rsid w:val="00862D61"/>
  </w:style>
  <w:style w:type="character" w:customStyle="1" w:styleId="findhit">
    <w:name w:val="findhit"/>
    <w:basedOn w:val="DefaultParagraphFont"/>
    <w:rsid w:val="00862D61"/>
  </w:style>
  <w:style w:type="paragraph" w:styleId="NormalWeb">
    <w:name w:val="Normal (Web)"/>
    <w:basedOn w:val="Normal"/>
    <w:uiPriority w:val="99"/>
    <w:unhideWhenUsed/>
    <w:rsid w:val="00862D6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FR" w:eastAsia="fr-FR"/>
    </w:rPr>
  </w:style>
  <w:style w:type="character" w:customStyle="1" w:styleId="spellingerror">
    <w:name w:val="spellingerror"/>
    <w:basedOn w:val="DefaultParagraphFont"/>
    <w:rsid w:val="00862D61"/>
  </w:style>
  <w:style w:type="character" w:customStyle="1" w:styleId="contextualspellingandgrammarerror">
    <w:name w:val="contextualspellingandgrammarerror"/>
    <w:basedOn w:val="DefaultParagraphFont"/>
    <w:rsid w:val="00862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egi.org.mx/app/microdatos/solicitud/" TargetMode="External"/><Relationship Id="rId13" Type="http://schemas.openxmlformats.org/officeDocument/2006/relationships/hyperlink" Target="https://www.inegi.org.mx/temas/inpc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icrodatos@inegi.org.mx" TargetMode="External"/><Relationship Id="rId12" Type="http://schemas.openxmlformats.org/officeDocument/2006/relationships/hyperlink" Target="https://www.inegi.org.mx/programas/ce/200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natalia.volkow@inegi.org.m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egi.org.mx/programas/ce/2014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microdatos@inegi.org.mx" TargetMode="External"/><Relationship Id="rId10" Type="http://schemas.openxmlformats.org/officeDocument/2006/relationships/hyperlink" Target="https://www.inegi.org.mx/programas/ce/201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crodatos@inegi.org.mx" TargetMode="External"/><Relationship Id="rId14" Type="http://schemas.openxmlformats.org/officeDocument/2006/relationships/hyperlink" Target="https://www.inegi.org.mx/app/biblioteca/ficha.html?upc=702825104177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6</Pages>
  <Words>1936</Words>
  <Characters>11036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Mikaelsen,T (pgr)</dc:creator>
  <cp:keywords/>
  <dc:description/>
  <cp:lastModifiedBy>Jensen, Anders Ditlev</cp:lastModifiedBy>
  <cp:revision>269</cp:revision>
  <dcterms:created xsi:type="dcterms:W3CDTF">2023-05-08T17:28:00Z</dcterms:created>
  <dcterms:modified xsi:type="dcterms:W3CDTF">2023-05-19T16:43:00Z</dcterms:modified>
</cp:coreProperties>
</file>