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Space Grotesk" w:cs="Space Grotesk" w:eastAsia="Space Grotesk" w:hAnsi="Space Grotesk"/>
          <w:b/>
          <w:bCs/>
          <w:color w:val="111214"/>
          <w:sz w:val="48"/>
          <w:szCs w:val="48"/>
        </w:rPr>
        <w:t xml:space="preserve">KENYA DIGITAL RISK INDEX</w:t>
      </w:r>
    </w:p>
    <w:p>
      <w:pPr>
        <w:spacing w:after="20"/>
      </w:pPr>
      <w:r>
        <w:rPr>
          <w:rFonts w:ascii="Space Grotesk" w:cs="Space Grotesk" w:eastAsia="Space Grotesk" w:hAnsi="Space Grotesk"/>
          <w:color w:val="116B4F"/>
          <w:sz w:val="24"/>
          <w:szCs w:val="24"/>
        </w:rPr>
        <w:t xml:space="preserve">OAG Findings Corpus — Methodology &amp; Dataset Documentation</w:t>
      </w:r>
    </w:p>
    <w:p>
      <w:pPr>
        <w:spacing w:after="320"/>
      </w:pPr>
      <w:r>
        <w:rPr>
          <w:rFonts w:ascii="Space Grotesk" w:cs="Space Grotesk" w:eastAsia="Space Grotesk" w:hAnsi="Space Grotesk"/>
          <w:color w:val="6B7B69"/>
          <w:sz w:val="18"/>
          <w:szCs w:val="18"/>
        </w:rPr>
        <w:t xml:space="preserve">S.I.N.S. Framework™ Digital Risk Quantification  ·  RETACH Digital Ltd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E0E0DC" w:sz="4"/>
              <w:left w:val="single" w:color="E0E0DC" w:sz="4"/>
              <w:bottom w:val="single" w:color="E0E0DC" w:sz="4"/>
              <w:right w:val="single" w:color="E0E0DC" w:sz="4"/>
            </w:tcBorders>
            <w:shd w:fill="F5F6F4" w:val="clear"/>
            <w:tcMar>
              <w:top w:type="dxa" w:w="120"/>
              <w:left w:type="dxa" w:w="160"/>
              <w:bottom w:type="dxa" w:w="120"/>
              <w:right w:type="dxa" w:w="160"/>
            </w:tcMar>
          </w:tcPr>
          <w:p>
            <w:pPr>
              <w:spacing w:after="40"/>
            </w:pPr>
            <w:r>
              <w:rPr>
                <w:rFonts w:ascii="Space Grotesk" w:cs="Space Grotesk" w:eastAsia="Space Grotesk" w:hAnsi="Space Grotesk"/>
                <w:b/>
                <w:bCs/>
                <w:color w:val="6B7B69"/>
                <w:sz w:val="14"/>
                <w:szCs w:val="14"/>
              </w:rPr>
              <w:t xml:space="preserve">DATASET</w:t>
            </w:r>
          </w:p>
          <w:p>
            <w:r>
              <w:rPr>
                <w:rFonts w:ascii="Space Grotesk" w:cs="Space Grotesk" w:eastAsia="Space Grotesk" w:hAnsi="Space Grotesk"/>
                <w:b/>
                <w:bCs/>
                <w:color w:val="111214"/>
                <w:sz w:val="19"/>
                <w:szCs w:val="19"/>
              </w:rPr>
              <w:t xml:space="preserve">Kenya Digital Risk Index — OAG Findings Register</w:t>
            </w:r>
          </w:p>
        </w:tc>
        <w:tc>
          <w:tcPr>
            <w:tcW w:type="pct" w:w="33%"/>
            <w:tcBorders>
              <w:top w:val="single" w:color="E0E0DC" w:sz="4"/>
              <w:left w:val="single" w:color="E0E0DC" w:sz="4"/>
              <w:bottom w:val="single" w:color="E0E0DC" w:sz="4"/>
              <w:right w:val="single" w:color="E0E0DC" w:sz="4"/>
            </w:tcBorders>
            <w:shd w:fill="F5F6F4" w:val="clear"/>
            <w:tcMar>
              <w:top w:type="dxa" w:w="120"/>
              <w:left w:type="dxa" w:w="160"/>
              <w:bottom w:type="dxa" w:w="120"/>
              <w:right w:type="dxa" w:w="160"/>
            </w:tcMar>
          </w:tcPr>
          <w:p>
            <w:pPr>
              <w:spacing w:after="40"/>
            </w:pPr>
            <w:r>
              <w:rPr>
                <w:rFonts w:ascii="Space Grotesk" w:cs="Space Grotesk" w:eastAsia="Space Grotesk" w:hAnsi="Space Grotesk"/>
                <w:b/>
                <w:bCs/>
                <w:color w:val="6B7B69"/>
                <w:sz w:val="14"/>
                <w:szCs w:val="14"/>
              </w:rPr>
              <w:t xml:space="preserve">VERSION</w:t>
            </w:r>
          </w:p>
          <w:p>
            <w:r>
              <w:rPr>
                <w:rFonts w:ascii="Space Grotesk" w:cs="Space Grotesk" w:eastAsia="Space Grotesk" w:hAnsi="Space Grotesk"/>
                <w:b/>
                <w:bCs/>
                <w:color w:val="111214"/>
                <w:sz w:val="19"/>
                <w:szCs w:val="19"/>
              </w:rPr>
              <w:t xml:space="preserve">v3.8 parser · deduped · 27 Jul 2026</w:t>
            </w:r>
          </w:p>
        </w:tc>
        <w:tc>
          <w:tcPr>
            <w:tcW w:type="pct" w:w="33%"/>
            <w:tcBorders>
              <w:top w:val="single" w:color="E0E0DC" w:sz="4"/>
              <w:left w:val="single" w:color="E0E0DC" w:sz="4"/>
              <w:bottom w:val="single" w:color="E0E0DC" w:sz="4"/>
              <w:right w:val="single" w:color="E0E0DC" w:sz="4"/>
            </w:tcBorders>
            <w:shd w:fill="F5F6F4" w:val="clear"/>
            <w:tcMar>
              <w:top w:type="dxa" w:w="120"/>
              <w:left w:type="dxa" w:w="160"/>
              <w:bottom w:type="dxa" w:w="120"/>
              <w:right w:type="dxa" w:w="160"/>
            </w:tcMar>
          </w:tcPr>
          <w:p>
            <w:pPr>
              <w:spacing w:after="40"/>
            </w:pPr>
            <w:r>
              <w:rPr>
                <w:rFonts w:ascii="Space Grotesk" w:cs="Space Grotesk" w:eastAsia="Space Grotesk" w:hAnsi="Space Grotesk"/>
                <w:b/>
                <w:bCs/>
                <w:color w:val="6B7B69"/>
                <w:sz w:val="14"/>
                <w:szCs w:val="14"/>
              </w:rPr>
              <w:t xml:space="preserve">PREPARED BY</w:t>
            </w:r>
          </w:p>
          <w:p>
            <w:r>
              <w:rPr>
                <w:rFonts w:ascii="Space Grotesk" w:cs="Space Grotesk" w:eastAsia="Space Grotesk" w:hAnsi="Space Grotesk"/>
                <w:b/>
                <w:bCs/>
                <w:color w:val="111214"/>
                <w:sz w:val="19"/>
                <w:szCs w:val="19"/>
              </w:rPr>
              <w:t xml:space="preserve">Paul N. Nduati, CISSP, CASP+</w:t>
            </w:r>
          </w:p>
        </w:tc>
      </w:tr>
      <w:tr>
        <w:tc>
          <w:tcPr>
            <w:tcW w:type="pct" w:w="34%"/>
            <w:tcBorders>
              <w:top w:val="single" w:color="E0E0DC" w:sz="4"/>
              <w:left w:val="single" w:color="E0E0DC" w:sz="4"/>
              <w:bottom w:val="single" w:color="E0E0DC" w:sz="4"/>
              <w:right w:val="single" w:color="E0E0DC" w:sz="4"/>
            </w:tcBorders>
            <w:shd w:fill="F5F6F4" w:val="clear"/>
            <w:tcMar>
              <w:top w:type="dxa" w:w="120"/>
              <w:left w:type="dxa" w:w="160"/>
              <w:bottom w:type="dxa" w:w="120"/>
              <w:right w:type="dxa" w:w="160"/>
            </w:tcMar>
          </w:tcPr>
          <w:p>
            <w:pPr>
              <w:spacing w:after="40"/>
            </w:pPr>
            <w:r>
              <w:rPr>
                <w:rFonts w:ascii="Space Grotesk" w:cs="Space Grotesk" w:eastAsia="Space Grotesk" w:hAnsi="Space Grotesk"/>
                <w:b/>
                <w:bCs/>
                <w:color w:val="6B7B69"/>
                <w:sz w:val="14"/>
                <w:szCs w:val="14"/>
              </w:rPr>
              <w:t xml:space="preserve">SOURCE</w:t>
            </w:r>
          </w:p>
          <w:p>
            <w:r>
              <w:rPr>
                <w:rFonts w:ascii="Space Grotesk" w:cs="Space Grotesk" w:eastAsia="Space Grotesk" w:hAnsi="Space Grotesk"/>
                <w:b/>
                <w:bCs/>
                <w:color w:val="111214"/>
                <w:sz w:val="19"/>
                <w:szCs w:val="19"/>
              </w:rPr>
              <w:t xml:space="preserve">Office of the Auditor-General, Kenya (public reports)</w:t>
            </w:r>
          </w:p>
        </w:tc>
        <w:tc>
          <w:tcPr>
            <w:tcW w:type="pct" w:w="33%"/>
            <w:tcBorders>
              <w:top w:val="single" w:color="E0E0DC" w:sz="4"/>
              <w:left w:val="single" w:color="E0E0DC" w:sz="4"/>
              <w:bottom w:val="single" w:color="E0E0DC" w:sz="4"/>
              <w:right w:val="single" w:color="E0E0DC" w:sz="4"/>
            </w:tcBorders>
            <w:shd w:fill="F5F6F4" w:val="clear"/>
            <w:tcMar>
              <w:top w:type="dxa" w:w="120"/>
              <w:left w:type="dxa" w:w="160"/>
              <w:bottom w:type="dxa" w:w="120"/>
              <w:right w:type="dxa" w:w="160"/>
            </w:tcMar>
          </w:tcPr>
          <w:p>
            <w:pPr>
              <w:spacing w:after="40"/>
            </w:pPr>
            <w:r>
              <w:rPr>
                <w:rFonts w:ascii="Space Grotesk" w:cs="Space Grotesk" w:eastAsia="Space Grotesk" w:hAnsi="Space Grotesk"/>
                <w:b/>
                <w:bCs/>
                <w:color w:val="6B7B69"/>
                <w:sz w:val="14"/>
                <w:szCs w:val="14"/>
              </w:rPr>
              <w:t xml:space="preserve">CORPUS</w:t>
            </w:r>
          </w:p>
          <w:p>
            <w:r>
              <w:rPr>
                <w:rFonts w:ascii="Space Grotesk" w:cs="Space Grotesk" w:eastAsia="Space Grotesk" w:hAnsi="Space Grotesk"/>
                <w:b/>
                <w:bCs/>
                <w:color w:val="111214"/>
                <w:sz w:val="19"/>
                <w:szCs w:val="19"/>
              </w:rPr>
              <w:t xml:space="preserve">1,554 reports scraped · 1,361 in register</w:t>
            </w:r>
          </w:p>
        </w:tc>
        <w:tc>
          <w:tcPr>
            <w:tcW w:type="pct" w:w="33%"/>
            <w:tcBorders>
              <w:top w:val="single" w:color="E0E0DC" w:sz="4"/>
              <w:left w:val="single" w:color="E0E0DC" w:sz="4"/>
              <w:bottom w:val="single" w:color="E0E0DC" w:sz="4"/>
              <w:right w:val="single" w:color="E0E0DC" w:sz="4"/>
            </w:tcBorders>
            <w:shd w:fill="F5F6F4" w:val="clear"/>
            <w:tcMar>
              <w:top w:type="dxa" w:w="120"/>
              <w:left w:type="dxa" w:w="160"/>
              <w:bottom w:type="dxa" w:w="120"/>
              <w:right w:type="dxa" w:w="160"/>
            </w:tcMar>
          </w:tcPr>
          <w:p>
            <w:pPr>
              <w:spacing w:after="40"/>
            </w:pPr>
            <w:r>
              <w:rPr>
                <w:rFonts w:ascii="Space Grotesk" w:cs="Space Grotesk" w:eastAsia="Space Grotesk" w:hAnsi="Space Grotesk"/>
                <w:b/>
                <w:bCs/>
                <w:color w:val="6B7B69"/>
                <w:sz w:val="14"/>
                <w:szCs w:val="14"/>
              </w:rPr>
              <w:t xml:space="preserve">FY COVERAGE</w:t>
            </w:r>
          </w:p>
          <w:p>
            <w:r>
              <w:rPr>
                <w:rFonts w:ascii="Space Grotesk" w:cs="Space Grotesk" w:eastAsia="Space Grotesk" w:hAnsi="Space Grotesk"/>
                <w:b/>
                <w:bCs/>
                <w:color w:val="111214"/>
                <w:sz w:val="19"/>
                <w:szCs w:val="19"/>
              </w:rPr>
              <w:t xml:space="preserve">2015/2016 – 2023/2024</w:t>
            </w:r>
          </w:p>
        </w:tc>
      </w:tr>
    </w:tbl>
    <w:p>
      <w:pPr>
        <w:spacing w:after="200"/>
      </w:pPr>
    </w:p>
    <w:p>
      <w:pPr>
        <w:pBdr>
          <w:bottom w:val="single" w:color="116B4F" w:sz="6" w:space="6"/>
        </w:pBdr>
        <w:spacing w:after="160" w:before="480"/>
      </w:pPr>
      <w:r>
        <w:rPr>
          <w:rFonts w:ascii="Space Grotesk" w:cs="Space Grotesk" w:eastAsia="Space Grotesk" w:hAnsi="Space Grotesk"/>
          <w:b/>
          <w:bCs/>
          <w:color w:val="116B4F"/>
          <w:sz w:val="28"/>
          <w:szCs w:val="28"/>
        </w:rPr>
        <w:t xml:space="preserve">1.  </w:t>
      </w:r>
      <w:r>
        <w:rPr>
          <w:rFonts w:ascii="Space Grotesk" w:cs="Space Grotesk" w:eastAsia="Space Grotesk" w:hAnsi="Space Grotesk"/>
          <w:b/>
          <w:bCs/>
          <w:color w:val="111214"/>
          <w:sz w:val="28"/>
          <w:szCs w:val="28"/>
        </w:rPr>
        <w:t xml:space="preserve">Executive Summary</w:t>
      </w:r>
    </w:p>
    <w:p>
      <w:pPr>
        <w:spacing w:after="160"/>
      </w:pPr>
      <w:r>
        <w:rPr>
          <w:rFonts w:ascii="Space Grotesk" w:cs="Space Grotesk" w:eastAsia="Space Grotesk" w:hAnsi="Space Grotesk"/>
          <w:color w:val="111214"/>
          <w:sz w:val="20"/>
          <w:szCs w:val="20"/>
        </w:rPr>
        <w:t xml:space="preserve">RETACH Digital Ltd extracted and structured audit findings from 1,554 publicly available Office of the Auditor-General (OAG) Kenya reports, spanning financial years 2015/2016 through 2023/2024 and covering 562 national government entities, state corporations, funds, and parastatals. Following a multi-pass extraction, patching, deduplication, and QA pipeline, the resulting publishable register contains 4,675 rows: 4,406 discrete audit findings and 269 confirmed clean/unqualified audit outcomes.</w:t>
      </w:r>
    </w:p>
    <w:p>
      <w:pPr>
        <w:spacing w:after="160"/>
      </w:pPr>
      <w:r>
        <w:rPr>
          <w:rFonts w:ascii="Space Grotesk" w:cs="Space Grotesk" w:eastAsia="Space Grotesk" w:hAnsi="Space Grotesk"/>
          <w:color w:val="111214"/>
          <w:sz w:val="20"/>
          <w:szCs w:val="20"/>
        </w:rPr>
        <w:t xml:space="preserve">Each finding is mapped to the S.I.N.S. Framework™ (Systems, Infrastructure, Network, Security) and cross-referenced against ISO 27005 and NIST CSF risk categories, forming the empirical backbone of RETACH's Kenya Digital Risk Index and Cyber Risk Quantification (CRQ) Engine. This document describes the data source, extraction methodology, taxonomy, actuarial framing, dataset statistics, and — in the interest of accuracy over confidence — the known limitations of the current register.</w:t>
      </w:r>
    </w:p>
    <w:p>
      <w:pPr>
        <w:pBdr>
          <w:bottom w:val="single" w:color="116B4F" w:sz="6" w:space="6"/>
        </w:pBdr>
        <w:spacing w:after="160" w:before="480"/>
      </w:pPr>
      <w:r>
        <w:rPr>
          <w:rFonts w:ascii="Space Grotesk" w:cs="Space Grotesk" w:eastAsia="Space Grotesk" w:hAnsi="Space Grotesk"/>
          <w:b/>
          <w:bCs/>
          <w:color w:val="116B4F"/>
          <w:sz w:val="28"/>
          <w:szCs w:val="28"/>
        </w:rPr>
        <w:t xml:space="preserve">2.  </w:t>
      </w:r>
      <w:r>
        <w:rPr>
          <w:rFonts w:ascii="Space Grotesk" w:cs="Space Grotesk" w:eastAsia="Space Grotesk" w:hAnsi="Space Grotesk"/>
          <w:b/>
          <w:bCs/>
          <w:color w:val="111214"/>
          <w:sz w:val="28"/>
          <w:szCs w:val="28"/>
        </w:rPr>
        <w:t xml:space="preserve">Data Source &amp; Corpus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
        <w:gridCol w:w="41"/>
      </w:tblGrid>
      <w:tr>
        <w:trPr>
          <w:tblHeader/>
        </w:trPr>
        <w:tc>
          <w:tcPr>
            <w:tcW w:type="pct" w:w="0.55%"/>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Metric</w:t>
            </w:r>
          </w:p>
        </w:tc>
        <w:tc>
          <w:tcPr>
            <w:tcW w:type="pct" w:w="0.45%"/>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Value</w:t>
            </w:r>
          </w:p>
        </w:tc>
      </w:tr>
      <w:tr>
        <w:tc>
          <w:tcPr>
            <w:tcW w:type="pct" w:w="0.5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Reports processed</w:t>
            </w:r>
          </w:p>
        </w:tc>
        <w:tc>
          <w:tcPr>
            <w:tcW w:type="pct" w:w="0.4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1,554 PDF files</w:t>
            </w:r>
          </w:p>
        </w:tc>
      </w:tr>
      <w:tr>
        <w:tc>
          <w:tcPr>
            <w:tcW w:type="pct" w:w="0.5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Files contributing to register</w:t>
            </w:r>
          </w:p>
        </w:tc>
        <w:tc>
          <w:tcPr>
            <w:tcW w:type="pct" w:w="0.4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1,361 (87.6% of corpus)</w:t>
            </w:r>
          </w:p>
        </w:tc>
      </w:tr>
      <w:tr>
        <w:tc>
          <w:tcPr>
            <w:tcW w:type="pct" w:w="0.5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Files excluded (scanned / unextractable)</w:t>
            </w:r>
          </w:p>
        </w:tc>
        <w:tc>
          <w:tcPr>
            <w:tcW w:type="pct" w:w="0.4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178 (11.6% of corpus)</w:t>
            </w:r>
          </w:p>
        </w:tc>
      </w:tr>
      <w:tr>
        <w:tc>
          <w:tcPr>
            <w:tcW w:type="pct" w:w="0.5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Unique entities in register</w:t>
            </w:r>
          </w:p>
        </w:tc>
        <w:tc>
          <w:tcPr>
            <w:tcW w:type="pct" w:w="0.4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562</w:t>
            </w:r>
          </w:p>
        </w:tc>
      </w:tr>
      <w:tr>
        <w:tc>
          <w:tcPr>
            <w:tcW w:type="pct" w:w="0.5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Financial years covered</w:t>
            </w:r>
          </w:p>
        </w:tc>
        <w:tc>
          <w:tcPr>
            <w:tcW w:type="pct" w:w="0.4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2015/2016 – 2023/2024 (9 FYs)</w:t>
            </w:r>
          </w:p>
        </w:tc>
      </w:tr>
      <w:tr>
        <w:tc>
          <w:tcPr>
            <w:tcW w:type="pct" w:w="0.5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Extraction window</w:t>
            </w:r>
          </w:p>
        </w:tc>
        <w:tc>
          <w:tcPr>
            <w:tcW w:type="pct" w:w="0.4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First 6 pages per report (pdfplumber)</w:t>
            </w:r>
          </w:p>
        </w:tc>
      </w:tr>
    </w:tbl>
    <w:p>
      <w:pPr>
        <w:spacing w:after="200"/>
      </w:pPr>
    </w:p>
    <w:p>
      <w:pPr>
        <w:spacing w:after="160"/>
      </w:pPr>
      <w:r>
        <w:rPr>
          <w:rFonts w:ascii="Space Grotesk" w:cs="Space Grotesk" w:eastAsia="Space Grotesk" w:hAnsi="Space Grotesk"/>
          <w:color w:val="111214"/>
          <w:sz w:val="20"/>
          <w:szCs w:val="20"/>
        </w:rPr>
        <w:t xml:space="preserve">The 6-page extraction window reliably captures the report title page and the three standard OAG report sections (Report on the Financial Statements, Report on Lawfulness and Effectiveness in Use of Public Resources, Report on Effectiveness of Internal Controls, Risk Management and Governance) across the corpus's report structure conventions.</w:t>
      </w:r>
    </w:p>
    <w:p>
      <w:pPr>
        <w:pBdr>
          <w:bottom w:val="single" w:color="116B4F" w:sz="6" w:space="6"/>
        </w:pBdr>
        <w:spacing w:after="160" w:before="480"/>
      </w:pPr>
      <w:r>
        <w:rPr>
          <w:rFonts w:ascii="Space Grotesk" w:cs="Space Grotesk" w:eastAsia="Space Grotesk" w:hAnsi="Space Grotesk"/>
          <w:b/>
          <w:bCs/>
          <w:color w:val="116B4F"/>
          <w:sz w:val="28"/>
          <w:szCs w:val="28"/>
        </w:rPr>
        <w:t xml:space="preserve">3.  </w:t>
      </w:r>
      <w:r>
        <w:rPr>
          <w:rFonts w:ascii="Space Grotesk" w:cs="Space Grotesk" w:eastAsia="Space Grotesk" w:hAnsi="Space Grotesk"/>
          <w:b/>
          <w:bCs/>
          <w:color w:val="111214"/>
          <w:sz w:val="28"/>
          <w:szCs w:val="28"/>
        </w:rPr>
        <w:t xml:space="preserve">Extraction &amp; Parsing Methodology</w:t>
      </w:r>
    </w:p>
    <w:p>
      <w:pPr>
        <w:spacing w:after="160"/>
      </w:pPr>
      <w:r>
        <w:rPr>
          <w:rFonts w:ascii="Space Grotesk" w:cs="Space Grotesk" w:eastAsia="Space Grotesk" w:hAnsi="Space Grotesk"/>
          <w:color w:val="111214"/>
          <w:sz w:val="20"/>
          <w:szCs w:val="20"/>
        </w:rPr>
        <w:t xml:space="preserve">Consistent with RETACH's frugality and KISS principles, the parser is deliberately regex- and heading-pattern-based — no ML/NLP escalation. Numbered findings ("1. Title", "2. Title") are treated as the primary, high-confidence split signal. Where a report section carries no numbered markers, the whole zone is captured as a single flagged block ("UNSPLIT_BLOCK") rather than risking a false split on noise — the governing philosophy throughout has been to flag ambiguity for manual review rather than force a confident-looking but wrong answer.</w:t>
      </w:r>
    </w:p>
    <w:p>
      <w:pPr>
        <w:spacing w:after="100" w:before="240"/>
      </w:pPr>
      <w:r>
        <w:rPr>
          <w:rFonts w:ascii="Space Grotesk" w:cs="Space Grotesk" w:eastAsia="Space Grotesk" w:hAnsi="Space Grotesk"/>
          <w:b/>
          <w:bCs/>
          <w:color w:val="111214"/>
          <w:sz w:val="22"/>
          <w:szCs w:val="22"/>
        </w:rPr>
        <w:t xml:space="preserve">Patch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
        <w:gridCol w:w="45"/>
        <w:gridCol w:w="34"/>
      </w:tblGrid>
      <w:tr>
        <w:trPr>
          <w:tblHeader/>
        </w:trPr>
        <w:tc>
          <w:tcPr>
            <w:tcW w:type="pct" w:w="0.12%"/>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Version</w:t>
            </w:r>
          </w:p>
        </w:tc>
        <w:tc>
          <w:tcPr>
            <w:tcW w:type="pct" w:w="0.5%"/>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Fix</w:t>
            </w:r>
          </w:p>
        </w:tc>
        <w:tc>
          <w:tcPr>
            <w:tcW w:type="pct" w:w="0.38%"/>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Impact</w:t>
            </w:r>
          </w:p>
        </w:tc>
      </w:tr>
      <w:tr>
        <w:tc>
          <w:tcPr>
            <w:tcW w:type="pct" w:w="0.12%"/>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v3.6</w:t>
            </w:r>
          </w:p>
        </w:tc>
        <w:tc>
          <w:tcPr>
            <w:tcW w:type="pct" w:w="0.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Title-regex tolerance (missing leading "R"); widened entity/date search window 2,000→8,000 chars</w:t>
            </w:r>
          </w:p>
        </w:tc>
        <w:tc>
          <w:tcPr>
            <w:tcW w:type="pct" w:w="0.38%"/>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Resolved 6 residual title-extraction failures on decorative-cover reports</w:t>
            </w:r>
          </w:p>
        </w:tc>
      </w:tr>
      <w:tr>
        <w:tc>
          <w:tcPr>
            <w:tcW w:type="pct" w:w="0.12%"/>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v3.7</w:t>
            </w:r>
          </w:p>
        </w:tc>
        <w:tc>
          <w:tcPr>
            <w:tcW w:type="pct" w:w="0.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Regex-based trailing-boilerplate trim covering ISSAI citation wording variants</w:t>
            </w:r>
          </w:p>
        </w:tc>
        <w:tc>
          <w:tcPr>
            <w:tcW w:type="pct" w:w="0.38%"/>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Removed 6 fake zero-content "finding" rows</w:t>
            </w:r>
          </w:p>
        </w:tc>
      </w:tr>
      <w:tr>
        <w:tc>
          <w:tcPr>
            <w:tcW w:type="pct" w:w="0.12%"/>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v3.8</w:t>
            </w:r>
          </w:p>
        </w:tc>
        <w:tc>
          <w:tcPr>
            <w:tcW w:type="pct" w:w="0.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Re-anchor captured text to the real "Basis for Qualified/Adverse/Disclaimer of Opinion" heading; exclude pure clean-opinion blocks</w:t>
            </w:r>
          </w:p>
        </w:tc>
        <w:tc>
          <w:tcPr>
            <w:tcW w:type="pct" w:w="0.38%"/>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Fixed 534 rows (10.7% of dataset): recovered 234 real findings previously truncated away by boilerplate; correctly excluded 300 content-free false-positive rows</w:t>
            </w:r>
          </w:p>
        </w:tc>
      </w:tr>
    </w:tbl>
    <w:p>
      <w:pPr>
        <w:pBdr>
          <w:bottom w:val="single" w:color="116B4F" w:sz="6" w:space="6"/>
        </w:pBdr>
        <w:spacing w:after="160" w:before="480"/>
      </w:pPr>
      <w:r>
        <w:rPr>
          <w:rFonts w:ascii="Space Grotesk" w:cs="Space Grotesk" w:eastAsia="Space Grotesk" w:hAnsi="Space Grotesk"/>
          <w:b/>
          <w:bCs/>
          <w:color w:val="116B4F"/>
          <w:sz w:val="28"/>
          <w:szCs w:val="28"/>
        </w:rPr>
        <w:t xml:space="preserve">4.  </w:t>
      </w:r>
      <w:r>
        <w:rPr>
          <w:rFonts w:ascii="Space Grotesk" w:cs="Space Grotesk" w:eastAsia="Space Grotesk" w:hAnsi="Space Grotesk"/>
          <w:b/>
          <w:bCs/>
          <w:color w:val="111214"/>
          <w:sz w:val="28"/>
          <w:szCs w:val="28"/>
        </w:rPr>
        <w:t xml:space="preserve">S.I.N.S. Pillar Mapping</w:t>
      </w:r>
    </w:p>
    <w:p>
      <w:pPr>
        <w:spacing w:after="160"/>
      </w:pPr>
      <w:r>
        <w:rPr>
          <w:rFonts w:ascii="Space Grotesk" w:cs="Space Grotesk" w:eastAsia="Space Grotesk" w:hAnsi="Space Grotesk"/>
          <w:color w:val="111214"/>
          <w:sz w:val="20"/>
          <w:szCs w:val="20"/>
        </w:rPr>
        <w:t xml:space="preserve">Findings are tagged multi-label against four pillars using curated keyword sets (word-boundary matched, entity name excluded from the search text to prevent self-referential false positives):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
        <w:gridCol w:w="16"/>
        <w:gridCol w:w="32"/>
        <w:gridCol w:w="13"/>
        <w:gridCol w:w="14"/>
      </w:tblGrid>
      <w:tr>
        <w:trPr>
          <w:tblHeader/>
        </w:trPr>
        <w:tc>
          <w:tcPr>
            <w:tcW w:type="pct" w:w="0.16%"/>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Pillar</w:t>
            </w:r>
          </w:p>
        </w:tc>
        <w:tc>
          <w:tcPr>
            <w:tcW w:type="pct" w:w="0.18%"/>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Layer</w:t>
            </w:r>
          </w:p>
        </w:tc>
        <w:tc>
          <w:tcPr>
            <w:tcW w:type="pct" w:w="0.36%"/>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Example Keywords</w:t>
            </w:r>
          </w:p>
        </w:tc>
        <w:tc>
          <w:tcPr>
            <w:tcW w:type="pct" w:w="0.14%"/>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Real Rows</w:t>
            </w:r>
          </w:p>
        </w:tc>
        <w:tc>
          <w:tcPr>
            <w:tcW w:type="pct" w:w="0.16%"/>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 of Real Findings</w:t>
            </w:r>
          </w:p>
        </w:tc>
      </w:tr>
      <w:tr>
        <w:tc>
          <w:tcPr>
            <w:tcW w:type="pct" w:w="0.1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Systems</w:t>
            </w:r>
          </w:p>
        </w:tc>
        <w:tc>
          <w:tcPr>
            <w:tcW w:type="pct" w:w="0.18%"/>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Foundation</w:t>
            </w:r>
          </w:p>
        </w:tc>
        <w:tc>
          <w:tcPr>
            <w:tcW w:type="pct" w:w="0.3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IFMIS, ERP, application system, audit trail</w:t>
            </w:r>
          </w:p>
        </w:tc>
        <w:tc>
          <w:tcPr>
            <w:tcW w:type="pct" w:w="0.1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134</w:t>
            </w:r>
          </w:p>
        </w:tc>
        <w:tc>
          <w:tcPr>
            <w:tcW w:type="pct" w:w="0.1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3.0%</w:t>
            </w:r>
          </w:p>
        </w:tc>
      </w:tr>
      <w:tr>
        <w:tc>
          <w:tcPr>
            <w:tcW w:type="pct" w:w="0.1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Infrastructure</w:t>
            </w:r>
          </w:p>
        </w:tc>
        <w:tc>
          <w:tcPr>
            <w:tcW w:type="pct" w:w="0.18%"/>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Operational</w:t>
            </w:r>
          </w:p>
        </w:tc>
        <w:tc>
          <w:tcPr>
            <w:tcW w:type="pct" w:w="0.3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server, data centre, backup, disaster recovery</w:t>
            </w:r>
          </w:p>
        </w:tc>
        <w:tc>
          <w:tcPr>
            <w:tcW w:type="pct" w:w="0.1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59</w:t>
            </w:r>
          </w:p>
        </w:tc>
        <w:tc>
          <w:tcPr>
            <w:tcW w:type="pct" w:w="0.1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1.3%</w:t>
            </w:r>
          </w:p>
        </w:tc>
      </w:tr>
      <w:tr>
        <w:tc>
          <w:tcPr>
            <w:tcW w:type="pct" w:w="0.1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Network</w:t>
            </w:r>
          </w:p>
        </w:tc>
        <w:tc>
          <w:tcPr>
            <w:tcW w:type="pct" w:w="0.18%"/>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Connectivity</w:t>
            </w:r>
          </w:p>
        </w:tc>
        <w:tc>
          <w:tcPr>
            <w:tcW w:type="pct" w:w="0.3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network, LAN/WAN, firewall, connectivity</w:t>
            </w:r>
          </w:p>
        </w:tc>
        <w:tc>
          <w:tcPr>
            <w:tcW w:type="pct" w:w="0.1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22</w:t>
            </w:r>
          </w:p>
        </w:tc>
        <w:tc>
          <w:tcPr>
            <w:tcW w:type="pct" w:w="0.1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0.5%</w:t>
            </w:r>
          </w:p>
        </w:tc>
      </w:tr>
      <w:tr>
        <w:tc>
          <w:tcPr>
            <w:tcW w:type="pct" w:w="0.1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Security</w:t>
            </w:r>
          </w:p>
        </w:tc>
        <w:tc>
          <w:tcPr>
            <w:tcW w:type="pct" w:w="0.18%"/>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Governance</w:t>
            </w:r>
          </w:p>
        </w:tc>
        <w:tc>
          <w:tcPr>
            <w:tcW w:type="pct" w:w="0.3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IT security, access control, authentication</w:t>
            </w:r>
          </w:p>
        </w:tc>
        <w:tc>
          <w:tcPr>
            <w:tcW w:type="pct" w:w="0.1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36</w:t>
            </w:r>
          </w:p>
        </w:tc>
        <w:tc>
          <w:tcPr>
            <w:tcW w:type="pct" w:w="0.1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0.8%</w:t>
            </w:r>
          </w:p>
        </w:tc>
      </w:tr>
      <w:tr>
        <w:tc>
          <w:tcPr>
            <w:tcW w:type="pct" w:w="0.1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Other</w:t>
            </w:r>
          </w:p>
        </w:tc>
        <w:tc>
          <w:tcPr>
            <w:tcW w:type="pct" w:w="0.18%"/>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Non-IT financial/governance</w:t>
            </w:r>
          </w:p>
        </w:tc>
        <w:tc>
          <w:tcPr>
            <w:tcW w:type="pct" w:w="0.3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 (no pillar keyword matched)</w:t>
            </w:r>
          </w:p>
        </w:tc>
        <w:tc>
          <w:tcPr>
            <w:tcW w:type="pct" w:w="0.1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4,194</w:t>
            </w:r>
          </w:p>
        </w:tc>
        <w:tc>
          <w:tcPr>
            <w:tcW w:type="pct" w:w="0.1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95.2%</w:t>
            </w:r>
          </w:p>
        </w:tc>
      </w:tr>
    </w:tbl>
    <w:p>
      <w:pPr>
        <w:spacing w:after="200"/>
      </w:pPr>
    </w:p>
    <w:p>
      <w:pPr>
        <w:spacing w:after="160"/>
      </w:pPr>
      <w:r>
        <w:rPr>
          <w:rFonts w:ascii="Space Grotesk" w:cs="Space Grotesk" w:eastAsia="Space Grotesk" w:hAnsi="Space Grotesk"/>
          <w:i/>
          <w:iCs/>
          <w:color w:val="6B7B69"/>
          <w:sz w:val="18"/>
          <w:szCs w:val="18"/>
        </w:rPr>
        <w:t xml:space="preserve">Rows may carry more than one pillar tag (e.g. "Security;Systems" on an ERP-governance finding), so percentages do not sum to 100%.</w:t>
      </w:r>
    </w:p>
    <w:p>
      <w:pPr>
        <w:pBdr>
          <w:bottom w:val="single" w:color="116B4F" w:sz="6" w:space="6"/>
        </w:pBdr>
        <w:spacing w:after="160" w:before="480"/>
      </w:pPr>
      <w:r>
        <w:rPr>
          <w:rFonts w:ascii="Space Grotesk" w:cs="Space Grotesk" w:eastAsia="Space Grotesk" w:hAnsi="Space Grotesk"/>
          <w:b/>
          <w:bCs/>
          <w:color w:val="116B4F"/>
          <w:sz w:val="28"/>
          <w:szCs w:val="28"/>
        </w:rPr>
        <w:t xml:space="preserve">5.  </w:t>
      </w:r>
      <w:r>
        <w:rPr>
          <w:rFonts w:ascii="Space Grotesk" w:cs="Space Grotesk" w:eastAsia="Space Grotesk" w:hAnsi="Space Grotesk"/>
          <w:b/>
          <w:bCs/>
          <w:color w:val="111214"/>
          <w:sz w:val="28"/>
          <w:szCs w:val="28"/>
        </w:rPr>
        <w:t xml:space="preserve">ISO 27005 / NIST CSF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
        <w:gridCol w:w="36"/>
        <w:gridCol w:w="36"/>
      </w:tblGrid>
      <w:tr>
        <w:trPr>
          <w:tblHeader/>
        </w:trPr>
        <w:tc>
          <w:tcPr>
            <w:tcW w:type="pct" w:w="0.2%"/>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S.I.N.S. Pillar</w:t>
            </w:r>
          </w:p>
        </w:tc>
        <w:tc>
          <w:tcPr>
            <w:tcW w:type="pct" w:w="0.4%"/>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ISO 27005 Domain</w:t>
            </w:r>
          </w:p>
        </w:tc>
        <w:tc>
          <w:tcPr>
            <w:tcW w:type="pct" w:w="0.4%"/>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NIST CSF Function(s)</w:t>
            </w:r>
          </w:p>
        </w:tc>
      </w:tr>
      <w:tr>
        <w:tc>
          <w:tcPr>
            <w:tcW w:type="pct" w:w="0.2%"/>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Systems</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Asset &amp; Vulnerability Management</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Protect (PR.DS, PR.MA)</w:t>
            </w:r>
          </w:p>
        </w:tc>
      </w:tr>
      <w:tr>
        <w:tc>
          <w:tcPr>
            <w:tcW w:type="pct" w:w="0.2%"/>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Infrastructure</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Physical &amp; Operational Security</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Protect (PR.PT), Recover (RC.RP)</w:t>
            </w:r>
          </w:p>
        </w:tc>
      </w:tr>
      <w:tr>
        <w:tc>
          <w:tcPr>
            <w:tcW w:type="pct" w:w="0.2%"/>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Network</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Communications Security</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Protect (PR.AC), Detect (DE.CM)</w:t>
            </w:r>
          </w:p>
        </w:tc>
      </w:tr>
      <w:tr>
        <w:tc>
          <w:tcPr>
            <w:tcW w:type="pct" w:w="0.2%"/>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Security</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Risk Treatment &amp; Organisational Controls</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Identify (ID.GV, ID.RA), Govern</w:t>
            </w:r>
          </w:p>
        </w:tc>
      </w:tr>
    </w:tbl>
    <w:p>
      <w:pPr>
        <w:pBdr>
          <w:bottom w:val="single" w:color="116B4F" w:sz="6" w:space="6"/>
        </w:pBdr>
        <w:spacing w:after="160" w:before="480"/>
      </w:pPr>
      <w:r>
        <w:rPr>
          <w:rFonts w:ascii="Space Grotesk" w:cs="Space Grotesk" w:eastAsia="Space Grotesk" w:hAnsi="Space Grotesk"/>
          <w:b/>
          <w:bCs/>
          <w:color w:val="116B4F"/>
          <w:sz w:val="28"/>
          <w:szCs w:val="28"/>
        </w:rPr>
        <w:t xml:space="preserve">6.  </w:t>
      </w:r>
      <w:r>
        <w:rPr>
          <w:rFonts w:ascii="Space Grotesk" w:cs="Space Grotesk" w:eastAsia="Space Grotesk" w:hAnsi="Space Grotesk"/>
          <w:b/>
          <w:bCs/>
          <w:color w:val="111214"/>
          <w:sz w:val="28"/>
          <w:szCs w:val="28"/>
        </w:rPr>
        <w:t xml:space="preserve">Actuarial Framing — The Recurrence Coefficient</w:t>
      </w:r>
    </w:p>
    <w:p>
      <w:pPr>
        <w:spacing w:after="160"/>
      </w:pPr>
      <w:r>
        <w:rPr>
          <w:rFonts w:ascii="Space Grotesk" w:cs="Space Grotesk" w:eastAsia="Space Grotesk" w:hAnsi="Space Grotesk"/>
          <w:color w:val="111214"/>
          <w:sz w:val="20"/>
          <w:szCs w:val="20"/>
        </w:rPr>
        <w:t xml:space="preserve">RETACH's CRQ Engine models Expected Annual Loss as EAL = Σ(frequency × severity) across S.I.N.S. scenarios. This dataset supplies frequency-side signal only — severity scoring and loss-magnitude data are separate, not-yet-built components of the CRQ pipeline.</w:t>
      </w:r>
    </w:p>
    <w:p>
      <w:pPr>
        <w:spacing w:after="100" w:before="240"/>
      </w:pPr>
      <w:r>
        <w:rPr>
          <w:rFonts w:ascii="Space Grotesk" w:cs="Space Grotesk" w:eastAsia="Space Grotesk" w:hAnsi="Space Grotesk"/>
          <w:b/>
          <w:bCs/>
          <w:color w:val="111214"/>
          <w:sz w:val="22"/>
          <w:szCs w:val="22"/>
        </w:rPr>
        <w:t xml:space="preserve">Two measures of recurrence</w:t>
      </w:r>
    </w:p>
    <w:p>
      <w:pPr>
        <w:spacing w:after="160"/>
      </w:pPr>
      <w:r>
        <w:rPr>
          <w:rFonts w:ascii="Space Grotesk" w:cs="Space Grotesk" w:eastAsia="Space Grotesk" w:hAnsi="Space Grotesk"/>
          <w:color w:val="111214"/>
          <w:sz w:val="20"/>
          <w:szCs w:val="20"/>
        </w:rPr>
        <w:t xml:space="preserve">A self-reported rate: 19.8% of the 4,406 real findings explicitly reference a prior-year or recurring issue in the auditor's own wording (phrases such as "as previously reported," "recurring," "similar observation was made in the prior year"). This only fires when the auditor chose to cross-reference — it undercounts true persistence.</w:t>
      </w:r>
    </w:p>
    <w:p>
      <w:pPr>
        <w:spacing w:after="160"/>
      </w:pPr>
      <w:r>
        <w:rPr>
          <w:rFonts w:ascii="Space Grotesk" w:cs="Space Grotesk" w:eastAsia="Space Grotesk" w:hAnsi="Space Grotesk"/>
          <w:color w:val="111214"/>
          <w:sz w:val="20"/>
          <w:szCs w:val="20"/>
        </w:rPr>
        <w:t xml:space="preserve">A content-matched recurrence signal — the operational proxy for normalization of deviance (Vaughan): does the same underlying issue persist across multiple audit cycles for the same entity, whether or not the auditor cross-referenced it. Method: within each entity, findings from different financial years are compared on a normalized title (numbers, amounts, and generic audit boilerplate stripped); pairs at or above a 0.5 Jaccard word-overlap threshold are linked, and connected components form "issue threads." A guard excludes titles dominated by comma-grouped currency figures (confirmed on Coast Water Works Development Agency, where a mis-parsed reconciliation table was initially detected as 5 false "recurring findings" before the guard was added — removed after manual review, not left in).</w:t>
      </w:r>
    </w:p>
    <w:p>
      <w:pPr>
        <w:spacing w:after="160"/>
      </w:pPr>
      <w:r>
        <w:rPr>
          <w:rFonts w:ascii="Space Grotesk" w:cs="Space Grotesk" w:eastAsia="Space Grotesk" w:hAnsi="Space Grotesk"/>
          <w:color w:val="111214"/>
          <w:sz w:val="20"/>
          <w:szCs w:val="20"/>
        </w:rPr>
        <w:t xml:space="preserve">Result: 458 distinct recurring issue-threads across 243 entities. 1,126 findings — 25.6% of all real findings, materially higher than the self-reported 19.8% — belong to one. 341 of those threads show an unbroken consecutive-year run, the sharper signal, since a gap-then-return is weaker evidence of normalization than uninterrupted persistence. Depth distribution: 330 threads recurred 2 years, 97 recurred 3, 21 recurred 4, 8 recurred 5, 2 recurred 6.</w:t>
      </w:r>
    </w:p>
    <w:p>
      <w:pPr>
        <w:spacing w:after="160"/>
      </w:pPr>
      <w:r>
        <w:rPr>
          <w:rFonts w:ascii="Space Grotesk" w:cs="Space Grotesk" w:eastAsia="Space Grotesk" w:hAnsi="Space Grotesk"/>
          <w:color w:val="111214"/>
          <w:sz w:val="20"/>
          <w:szCs w:val="20"/>
        </w:rPr>
        <w:t xml:space="preserve">Neither the 19.8% nor the 25.6% is a validated actuarial coefficient yet. Turning either into a defensible EAL input requires further work: entity-level normalization, time-decay weighting, and cross-validation against a held-out sample. No coefficient in this document should be treated as production-ready without that follow-on work.</w:t>
      </w:r>
    </w:p>
    <w:p>
      <w:pPr>
        <w:spacing w:after="200"/>
      </w:pPr>
    </w:p>
    <w:p>
      <w:pPr>
        <w:spacing w:after="100" w:before="240"/>
      </w:pPr>
      <w:r>
        <w:rPr>
          <w:rFonts w:ascii="Space Grotesk" w:cs="Space Grotesk" w:eastAsia="Space Grotesk" w:hAnsi="Space Grotesk"/>
          <w:b/>
          <w:bCs/>
          <w:color w:val="111214"/>
          <w:sz w:val="22"/>
          <w:szCs w:val="22"/>
        </w:rPr>
        <w:t xml:space="preserve">S.I.N.S.-tagged recurring issues (the product thesis, in evidence)</w:t>
      </w:r>
    </w:p>
    <w:p>
      <w:pPr>
        <w:spacing w:after="160"/>
      </w:pPr>
      <w:r>
        <w:rPr>
          <w:rFonts w:ascii="Space Grotesk" w:cs="Space Grotesk" w:eastAsia="Space Grotesk" w:hAnsi="Space Grotesk"/>
          <w:color w:val="111214"/>
          <w:sz w:val="20"/>
          <w:szCs w:val="20"/>
        </w:rPr>
        <w:t xml:space="preserve">Most of the 458 recurring threads sit in the general financial/governance category ('Other') — expected, since OAG audits are financial-statement audits, not IT audits, and 'Other' accounts for 95.2% of all real findings. The subset that matters for RETACH's thesis is smaller but direct evidence of normalization of deviance in digital risk specifically: 18 of the 458 threads tag to an actual S.I.N.S. pillar. None yet reach a 3-cycle unbroken run — the strongest examples currently sit at 2 — but the pattern (an unresolved digital-risk gap persisting audit after audit) is the point, not the count. Selected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
        <w:gridCol w:w="14"/>
        <w:gridCol w:w="31"/>
        <w:gridCol w:w="23"/>
      </w:tblGrid>
      <w:tr>
        <w:trPr>
          <w:tblHeader/>
        </w:trPr>
        <w:tc>
          <w:tcPr>
            <w:tcW w:type="pct" w:w="0.25%"/>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Entity</w:t>
            </w:r>
          </w:p>
        </w:tc>
        <w:tc>
          <w:tcPr>
            <w:tcW w:type="pct" w:w="0.15%"/>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S.I.N.S. Pillar</w:t>
            </w:r>
          </w:p>
        </w:tc>
        <w:tc>
          <w:tcPr>
            <w:tcW w:type="pct" w:w="0.35%"/>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Recurring Issue</w:t>
            </w:r>
          </w:p>
        </w:tc>
        <w:tc>
          <w:tcPr>
            <w:tcW w:type="pct" w:w="0.25%"/>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Unbroken Since</w:t>
            </w:r>
          </w:p>
        </w:tc>
      </w:tr>
      <w:tr>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Kenya Veterinary Board</w:t>
            </w:r>
          </w:p>
        </w:tc>
        <w:tc>
          <w:tcPr>
            <w:tcW w:type="pct" w:w="0.1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Infrastructure</w:t>
            </w:r>
          </w:p>
        </w:tc>
        <w:tc>
          <w:tcPr>
            <w:tcW w:type="pct" w:w="0.3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Lack of Disaster Recovery &amp; Business Continuity Plan</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2 audits (2021/22–2022/23)</w:t>
            </w:r>
          </w:p>
        </w:tc>
      </w:tr>
      <w:tr>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Tourism Regulatory Authority</w:t>
            </w:r>
          </w:p>
        </w:tc>
        <w:tc>
          <w:tcPr>
            <w:tcW w:type="pct" w:w="0.1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Infrastructure</w:t>
            </w:r>
          </w:p>
        </w:tc>
        <w:tc>
          <w:tcPr>
            <w:tcW w:type="pct" w:w="0.3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Lack of a Disaster Recovery Plan</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2 audits (2017/18–2018/19)</w:t>
            </w:r>
          </w:p>
        </w:tc>
      </w:tr>
      <w:tr>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Child Welfare Society of Kenya</w:t>
            </w:r>
          </w:p>
        </w:tc>
        <w:tc>
          <w:tcPr>
            <w:tcW w:type="pct" w:w="0.1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Security</w:t>
            </w:r>
          </w:p>
        </w:tc>
        <w:tc>
          <w:tcPr>
            <w:tcW w:type="pct" w:w="0.3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Inadequate IT Governance &amp; Security Policy</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2 audits (2018/19–2019/20)</w:t>
            </w:r>
          </w:p>
        </w:tc>
      </w:tr>
      <w:tr>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Anti-Counterfeit Authority</w:t>
            </w:r>
          </w:p>
        </w:tc>
        <w:tc>
          <w:tcPr>
            <w:tcW w:type="pct" w:w="0.1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Infrastructure</w:t>
            </w:r>
          </w:p>
        </w:tc>
        <w:tc>
          <w:tcPr>
            <w:tcW w:type="pct" w:w="0.3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ICT Strategy Objectives Not Implemented</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2 audits (2018/19–2019/20)</w:t>
            </w:r>
          </w:p>
        </w:tc>
      </w:tr>
      <w:tr>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Privatization Commission</w:t>
            </w:r>
          </w:p>
        </w:tc>
        <w:tc>
          <w:tcPr>
            <w:tcW w:type="pct" w:w="0.1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Systems</w:t>
            </w:r>
          </w:p>
        </w:tc>
        <w:tc>
          <w:tcPr>
            <w:tcW w:type="pct" w:w="0.3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E-Procurement System Not Implemented</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2 audits (2021/22–2022/23)</w:t>
            </w:r>
          </w:p>
        </w:tc>
      </w:tr>
      <w:tr>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Kenya Universities and Colleges Central Placement Service</w:t>
            </w:r>
          </w:p>
        </w:tc>
        <w:tc>
          <w:tcPr>
            <w:tcW w:type="pct" w:w="0.1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Infrastructure</w:t>
            </w:r>
          </w:p>
        </w:tc>
        <w:tc>
          <w:tcPr>
            <w:tcW w:type="pct" w:w="0.3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Unsupported ICT Server Procurement</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2 audits (2018/19–2019/20)</w:t>
            </w:r>
          </w:p>
        </w:tc>
      </w:tr>
    </w:tbl>
    <w:p>
      <w:pPr>
        <w:spacing w:after="160"/>
      </w:pPr>
      <w:r>
        <w:rPr>
          <w:rFonts w:ascii="Space Grotesk" w:cs="Space Grotesk" w:eastAsia="Space Grotesk" w:hAnsi="Space Grotesk"/>
          <w:i/>
          <w:iCs/>
          <w:color w:val="6B7B69"/>
          <w:sz w:val="18"/>
          <w:szCs w:val="18"/>
        </w:rPr>
        <w:t xml:space="preserve">This 18-thread figure is small by design and should not be quoted as a standalone statistic without this context — it is a proof-of-concept slice, not a validated prevalence rate for digital-risk recurrence.</w:t>
      </w:r>
    </w:p>
    <w:p>
      <w:pPr>
        <w:pBdr>
          <w:bottom w:val="single" w:color="116B4F" w:sz="6" w:space="6"/>
        </w:pBdr>
        <w:spacing w:after="160" w:before="480"/>
      </w:pPr>
      <w:r>
        <w:rPr>
          <w:rFonts w:ascii="Space Grotesk" w:cs="Space Grotesk" w:eastAsia="Space Grotesk" w:hAnsi="Space Grotesk"/>
          <w:b/>
          <w:bCs/>
          <w:color w:val="116B4F"/>
          <w:sz w:val="28"/>
          <w:szCs w:val="28"/>
        </w:rPr>
        <w:t xml:space="preserve">7.  </w:t>
      </w:r>
      <w:r>
        <w:rPr>
          <w:rFonts w:ascii="Space Grotesk" w:cs="Space Grotesk" w:eastAsia="Space Grotesk" w:hAnsi="Space Grotesk"/>
          <w:b/>
          <w:bCs/>
          <w:color w:val="111214"/>
          <w:sz w:val="28"/>
          <w:szCs w:val="28"/>
        </w:rPr>
        <w:t xml:space="preserve">Dataset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36"/>
      </w:tblGrid>
      <w:tr>
        <w:trPr>
          <w:tblHeader/>
        </w:trPr>
        <w:tc>
          <w:tcPr>
            <w:tcW w:type="pct" w:w="0.6%"/>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Metric</w:t>
            </w:r>
          </w:p>
        </w:tc>
        <w:tc>
          <w:tcPr>
            <w:tcW w:type="pct" w:w="0.4%"/>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Value</w:t>
            </w:r>
          </w:p>
        </w:tc>
      </w:tr>
      <w:tr>
        <w:tc>
          <w:tcPr>
            <w:tcW w:type="pct" w:w="0.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Published register rows</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4,675</w:t>
            </w:r>
          </w:p>
        </w:tc>
      </w:tr>
      <w:tr>
        <w:tc>
          <w:tcPr>
            <w:tcW w:type="pct" w:w="0.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  — Real findings</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4,406 (94.2%)</w:t>
            </w:r>
          </w:p>
        </w:tc>
      </w:tr>
      <w:tr>
        <w:tc>
          <w:tcPr>
            <w:tcW w:type="pct" w:w="0.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  — Clean/unqualified audits (NO_FINDINGS)</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269 (5.8%)</w:t>
            </w:r>
          </w:p>
        </w:tc>
      </w:tr>
      <w:tr>
        <w:tc>
          <w:tcPr>
            <w:tcW w:type="pct" w:w="0.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Unique entities</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562</w:t>
            </w:r>
          </w:p>
        </w:tc>
      </w:tr>
      <w:tr>
        <w:tc>
          <w:tcPr>
            <w:tcW w:type="pct" w:w="0.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Unique source files in register</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1,361</w:t>
            </w:r>
          </w:p>
        </w:tc>
      </w:tr>
      <w:tr>
        <w:tc>
          <w:tcPr>
            <w:tcW w:type="pct" w:w="0.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Self-reported prior-year reference rate</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19.8%</w:t>
            </w:r>
          </w:p>
        </w:tc>
      </w:tr>
      <w:tr>
        <w:tc>
          <w:tcPr>
            <w:tcW w:type="pct" w:w="0.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Content-matched recurrence rate (findings in a thread)</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25.6% (1,126 of 4,406)</w:t>
            </w:r>
          </w:p>
        </w:tc>
      </w:tr>
      <w:tr>
        <w:tc>
          <w:tcPr>
            <w:tcW w:type="pct" w:w="0.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Distinct recurring issue-threads</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458, across 243 entities</w:t>
            </w:r>
          </w:p>
        </w:tc>
      </w:tr>
      <w:tr>
        <w:tc>
          <w:tcPr>
            <w:tcW w:type="pct" w:w="0.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  — with unbroken consecutive-year persistence</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341</w:t>
            </w:r>
          </w:p>
        </w:tc>
      </w:tr>
      <w:tr>
        <w:tc>
          <w:tcPr>
            <w:tcW w:type="pct" w:w="0.6%"/>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  — tagged to a S.I.N.S. pillar (Systems/Infra/Network/Security)</w:t>
            </w:r>
          </w:p>
        </w:tc>
        <w:tc>
          <w:tcPr>
            <w:tcW w:type="pct" w:w="0.4%"/>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18</w:t>
            </w:r>
          </w:p>
        </w:tc>
      </w:tr>
    </w:tbl>
    <w:p>
      <w:pPr>
        <w:spacing w:after="200"/>
      </w:pPr>
    </w:p>
    <w:p>
      <w:pPr>
        <w:spacing w:after="100" w:before="240"/>
      </w:pPr>
      <w:r>
        <w:rPr>
          <w:rFonts w:ascii="Space Grotesk" w:cs="Space Grotesk" w:eastAsia="Space Grotesk" w:hAnsi="Space Grotesk"/>
          <w:b/>
          <w:bCs/>
          <w:color w:val="111214"/>
          <w:sz w:val="22"/>
          <w:szCs w:val="22"/>
        </w:rPr>
        <w:t xml:space="preserve">Top 15 Entities by Finding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8"/>
        <w:gridCol w:w="23"/>
      </w:tblGrid>
      <w:tr>
        <w:trPr>
          <w:tblHeader/>
        </w:trPr>
        <w:tc>
          <w:tcPr>
            <w:tcW w:type="pct" w:w="0.75%"/>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Entity</w:t>
            </w:r>
          </w:p>
        </w:tc>
        <w:tc>
          <w:tcPr>
            <w:tcW w:type="pct" w:w="0.25%"/>
            <w:tcBorders>
              <w:top w:val="single" w:color="E0E0DC" w:sz="4"/>
              <w:left w:val="single" w:color="E0E0DC" w:sz="4"/>
              <w:bottom w:val="single" w:color="E0E0DC" w:sz="4"/>
              <w:right w:val="single" w:color="E0E0DC" w:sz="4"/>
            </w:tcBorders>
            <w:shd w:fill="116B4F" w:val="clear"/>
            <w:tcMar>
              <w:top w:type="dxa" w:w="100"/>
              <w:left w:type="dxa" w:w="140"/>
              <w:bottom w:type="dxa" w:w="100"/>
              <w:right w:type="dxa" w:w="140"/>
            </w:tcMar>
            <w:vAlign w:val="center"/>
          </w:tcPr>
          <w:p>
            <w:pPr>
              <w:jc w:val="left"/>
            </w:pPr>
            <w:r>
              <w:rPr>
                <w:rFonts w:ascii="Space Grotesk" w:cs="Space Grotesk" w:eastAsia="Space Grotesk" w:hAnsi="Space Grotesk"/>
                <w:b/>
                <w:bCs/>
                <w:color w:val="FFFFFF"/>
                <w:sz w:val="16"/>
                <w:szCs w:val="16"/>
              </w:rPr>
              <w:t xml:space="preserve">Findings</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National Social Security Fund</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50</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Kenya Pipeline Company Limited</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44</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Western Kenya Rice Mills Limited</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43</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Kenya School of Government</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42</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Tana and Athi Rivers Development Authority</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41</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School Equipment Production Unit</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39</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Water Services Regulatory Board</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39</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Kenya Forest Service</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38</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Kenya Water Institute</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36</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South Nyanza Sugar Company Limited</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36</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Kenya National Shipping Line Limited</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35</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National Museums of Kenya</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35</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Kenyatta International Convention Centre</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34</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Child Welfare Society of Kenya</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33</w:t>
            </w:r>
          </w:p>
        </w:tc>
      </w:tr>
      <w:tr>
        <w:tc>
          <w:tcPr>
            <w:tcW w:type="pct" w:w="0.7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Kenyatta National Hospital</w:t>
            </w:r>
          </w:p>
        </w:tc>
        <w:tc>
          <w:tcPr>
            <w:tcW w:type="pct" w:w="0.25%"/>
            <w:tcBorders>
              <w:top w:val="single" w:color="E0E0DC" w:sz="4"/>
              <w:left w:val="single" w:color="E0E0DC" w:sz="4"/>
              <w:bottom w:val="single" w:color="E0E0DC" w:sz="4"/>
              <w:right w:val="single" w:color="E0E0DC" w:sz="4"/>
            </w:tcBorders>
            <w:tcMar>
              <w:top w:type="dxa" w:w="100"/>
              <w:left w:type="dxa" w:w="140"/>
              <w:bottom w:type="dxa" w:w="100"/>
              <w:right w:type="dxa" w:w="140"/>
            </w:tcMar>
            <w:vAlign w:val="center"/>
          </w:tcPr>
          <w:p>
            <w:pPr>
              <w:jc w:val="left"/>
            </w:pPr>
            <w:r>
              <w:rPr>
                <w:rFonts w:ascii="Space Grotesk" w:cs="Space Grotesk" w:eastAsia="Space Grotesk" w:hAnsi="Space Grotesk"/>
                <w:b w:val="false"/>
                <w:bCs w:val="false"/>
                <w:color w:val="111214"/>
                <w:sz w:val="17"/>
                <w:szCs w:val="17"/>
              </w:rPr>
              <w:t xml:space="preserve">33</w:t>
            </w:r>
          </w:p>
        </w:tc>
      </w:tr>
    </w:tbl>
    <w:p>
      <w:pPr>
        <w:pBdr>
          <w:bottom w:val="single" w:color="116B4F" w:sz="6" w:space="6"/>
        </w:pBdr>
        <w:spacing w:after="160" w:before="480"/>
      </w:pPr>
      <w:r>
        <w:rPr>
          <w:rFonts w:ascii="Space Grotesk" w:cs="Space Grotesk" w:eastAsia="Space Grotesk" w:hAnsi="Space Grotesk"/>
          <w:b/>
          <w:bCs/>
          <w:color w:val="116B4F"/>
          <w:sz w:val="28"/>
          <w:szCs w:val="28"/>
        </w:rPr>
        <w:t xml:space="preserve">8.  </w:t>
      </w:r>
      <w:r>
        <w:rPr>
          <w:rFonts w:ascii="Space Grotesk" w:cs="Space Grotesk" w:eastAsia="Space Grotesk" w:hAnsi="Space Grotesk"/>
          <w:b/>
          <w:bCs/>
          <w:color w:val="111214"/>
          <w:sz w:val="28"/>
          <w:szCs w:val="28"/>
        </w:rPr>
        <w:t xml:space="preserve">Known Limitations &amp; Data Quality Notes</w:t>
      </w:r>
    </w:p>
    <w:p>
      <w:pPr>
        <w:pStyle w:val="ListParagraph"/>
        <w:numPr>
          <w:ilvl w:val="0"/>
          <w:numId w:val="1"/>
        </w:numPr>
        <w:spacing w:after="80"/>
      </w:pPr>
      <w:r>
        <w:rPr>
          <w:rFonts w:ascii="Space Grotesk" w:cs="Space Grotesk" w:eastAsia="Space Grotesk" w:hAnsi="Space Grotesk"/>
          <w:color w:val="111214"/>
          <w:sz w:val="20"/>
          <w:szCs w:val="20"/>
        </w:rPr>
        <w:t xml:space="preserve">Year-mismatch rate: 17.6% of real findings show a filename-tagged financial year that doesn't match the year stated in the report's own text (vs. a 15.0% baseline from earlier sampling) — a modest, unexplained +2.6pp drift, below the flag threshold but not yet root-caused.</w:t>
      </w:r>
    </w:p>
    <w:p>
      <w:pPr>
        <w:pStyle w:val="ListParagraph"/>
        <w:numPr>
          <w:ilvl w:val="0"/>
          <w:numId w:val="1"/>
        </w:numPr>
        <w:spacing w:after="80"/>
      </w:pPr>
      <w:r>
        <w:rPr>
          <w:rFonts w:ascii="Space Grotesk" w:cs="Space Grotesk" w:eastAsia="Space Grotesk" w:hAnsi="Space Grotesk"/>
          <w:color w:val="111214"/>
          <w:sz w:val="20"/>
          <w:szCs w:val="20"/>
        </w:rPr>
        <w:t xml:space="preserve">Network-pillar false-positive risk: keyword matches on "network"/"internet" can echo non-IT findings (e.g. a marketing/sales finding mentioning a company's internet presence). Confirmed in manual review at roughly 1-in-3 in a small sample. Network-pillar counts should not be used in public claims without a manual pass.</w:t>
      </w:r>
    </w:p>
    <w:p>
      <w:pPr>
        <w:pStyle w:val="ListParagraph"/>
        <w:numPr>
          <w:ilvl w:val="0"/>
          <w:numId w:val="1"/>
        </w:numPr>
        <w:spacing w:after="80"/>
      </w:pPr>
      <w:r>
        <w:rPr>
          <w:rFonts w:ascii="Space Grotesk" w:cs="Space Grotesk" w:eastAsia="Space Grotesk" w:hAnsi="Space Grotesk"/>
          <w:color w:val="111214"/>
          <w:sz w:val="20"/>
          <w:szCs w:val="20"/>
        </w:rPr>
        <w:t xml:space="preserve">Truncation: findings captured via the un-numbered whole-zone path are stored up to 900 characters; roughly 14% of these are cut mid-sentence on genuinely long findings. The underlying extracted text is correct — only the stored excerpt is capped.</w:t>
      </w:r>
    </w:p>
    <w:p>
      <w:pPr>
        <w:pStyle w:val="ListParagraph"/>
        <w:numPr>
          <w:ilvl w:val="0"/>
          <w:numId w:val="1"/>
        </w:numPr>
        <w:spacing w:after="80"/>
      </w:pPr>
      <w:r>
        <w:rPr>
          <w:rFonts w:ascii="Space Grotesk" w:cs="Space Grotesk" w:eastAsia="Space Grotesk" w:hAnsi="Space Grotesk"/>
          <w:color w:val="111214"/>
          <w:sz w:val="20"/>
          <w:szCs w:val="20"/>
        </w:rPr>
        <w:t xml:space="preserve">Scanned-file coverage gap: 178 files (11.6% of corpus) are image-only/scanned PDFs with no extractable text and are excluded from the register entirely rather than represented as empty rows. OCR recovery is deferred as a phase-2 enhancement, not a blocker to this release.</w:t>
      </w:r>
    </w:p>
    <w:p>
      <w:pPr>
        <w:pStyle w:val="ListParagraph"/>
        <w:numPr>
          <w:ilvl w:val="0"/>
          <w:numId w:val="1"/>
        </w:numPr>
        <w:spacing w:after="80"/>
      </w:pPr>
      <w:r>
        <w:rPr>
          <w:rFonts w:ascii="Space Grotesk" w:cs="Space Grotesk" w:eastAsia="Space Grotesk" w:hAnsi="Space Grotesk"/>
          <w:color w:val="111214"/>
          <w:sz w:val="20"/>
          <w:szCs w:val="20"/>
        </w:rPr>
        <w:t xml:space="preserve">Entity-name spelling variants: 11 confirmed cases of the same entity appearing under slightly different name spellings across filing years (e.g. "Regional Centre on Groundwater Resource" vs. "Resources"). Left unmerged deliberately, to avoid false consolidation without manual confirmation.</w:t>
      </w:r>
    </w:p>
    <w:p>
      <w:pPr>
        <w:pStyle w:val="ListParagraph"/>
        <w:numPr>
          <w:ilvl w:val="0"/>
          <w:numId w:val="1"/>
        </w:numPr>
        <w:spacing w:after="80"/>
      </w:pPr>
      <w:r>
        <w:rPr>
          <w:rFonts w:ascii="Space Grotesk" w:cs="Space Grotesk" w:eastAsia="Space Grotesk" w:hAnsi="Space Grotesk"/>
          <w:color w:val="111214"/>
          <w:sz w:val="20"/>
          <w:szCs w:val="20"/>
        </w:rPr>
        <w:t xml:space="preserve">Recurrence-thread precision: content-matching on a 0.5 word-overlap threshold can occasionally link related-but-distinct findings sharing generic phrasing (e.g. "Non-Performing Loans to Customers" vs. "...to Directors" for the same entity) — a precision/recall tradeoff, not treated as ground truth without spot-checking. Consecutive-year-run calculations are also unreliable for the small subset of entities with a non-June fiscal year-end, since those financial-year labels don't parse into a comparable sequence.</w:t>
      </w:r>
    </w:p>
    <w:p>
      <w:pPr>
        <w:pBdr>
          <w:bottom w:val="single" w:color="116B4F" w:sz="6" w:space="6"/>
        </w:pBdr>
        <w:spacing w:after="160" w:before="480"/>
      </w:pPr>
      <w:r>
        <w:rPr>
          <w:rFonts w:ascii="Space Grotesk" w:cs="Space Grotesk" w:eastAsia="Space Grotesk" w:hAnsi="Space Grotesk"/>
          <w:b/>
          <w:bCs/>
          <w:color w:val="116B4F"/>
          <w:sz w:val="28"/>
          <w:szCs w:val="28"/>
        </w:rPr>
        <w:t xml:space="preserve">9.  </w:t>
      </w:r>
      <w:r>
        <w:rPr>
          <w:rFonts w:ascii="Space Grotesk" w:cs="Space Grotesk" w:eastAsia="Space Grotesk" w:hAnsi="Space Grotesk"/>
          <w:b/>
          <w:bCs/>
          <w:color w:val="111214"/>
          <w:sz w:val="28"/>
          <w:szCs w:val="28"/>
        </w:rPr>
        <w:t xml:space="preserve">QA &amp; Validation Summary</w:t>
      </w:r>
    </w:p>
    <w:p>
      <w:pPr>
        <w:pStyle w:val="ListParagraph"/>
        <w:numPr>
          <w:ilvl w:val="0"/>
          <w:numId w:val="1"/>
        </w:numPr>
        <w:spacing w:after="80"/>
      </w:pPr>
      <w:r>
        <w:rPr>
          <w:rFonts w:ascii="Space Grotesk" w:cs="Space Grotesk" w:eastAsia="Space Grotesk" w:hAnsi="Space Grotesk"/>
          <w:color w:val="111214"/>
          <w:sz w:val="20"/>
          <w:szCs w:val="20"/>
        </w:rPr>
        <w:t xml:space="preserve">Every parser patch (v3.6, v3.7, v3.8) was regression-tested against a 40-file hand-validated baseline before being applied to the full corpus.</w:t>
      </w:r>
    </w:p>
    <w:p>
      <w:pPr>
        <w:pStyle w:val="ListParagraph"/>
        <w:numPr>
          <w:ilvl w:val="0"/>
          <w:numId w:val="1"/>
        </w:numPr>
        <w:spacing w:after="80"/>
      </w:pPr>
      <w:r>
        <w:rPr>
          <w:rFonts w:ascii="Space Grotesk" w:cs="Space Grotesk" w:eastAsia="Space Grotesk" w:hAnsi="Space Grotesk"/>
          <w:color w:val="111214"/>
          <w:sz w:val="20"/>
          <w:szCs w:val="20"/>
        </w:rPr>
        <w:t xml:space="preserve">Automated QA checks cover: placeholder-row breakdown, scanned/year-mismatch rate cross-check against known baselines, S.I.N.S. pillar distribution sanity, duplicate-row detection, entity-name-garbage flagging, and per-file finding-count outlier detection.</w:t>
      </w:r>
    </w:p>
    <w:p>
      <w:pPr>
        <w:pStyle w:val="ListParagraph"/>
        <w:numPr>
          <w:ilvl w:val="0"/>
          <w:numId w:val="1"/>
        </w:numPr>
        <w:spacing w:after="80"/>
      </w:pPr>
      <w:r>
        <w:rPr>
          <w:rFonts w:ascii="Space Grotesk" w:cs="Space Grotesk" w:eastAsia="Space Grotesk" w:hAnsi="Space Grotesk"/>
          <w:color w:val="111214"/>
          <w:sz w:val="20"/>
          <w:szCs w:val="20"/>
        </w:rPr>
        <w:t xml:space="preserve">A stratified ~3.5–5% manual sample (171 rows post-v3.8) was reviewed row-by-row against source structure; zero regressions and zero recurrence of prior defect classes were found.</w:t>
      </w:r>
    </w:p>
    <w:p>
      <w:pPr>
        <w:pStyle w:val="ListParagraph"/>
        <w:numPr>
          <w:ilvl w:val="0"/>
          <w:numId w:val="1"/>
        </w:numPr>
        <w:spacing w:after="80"/>
      </w:pPr>
      <w:r>
        <w:rPr>
          <w:rFonts w:ascii="Space Grotesk" w:cs="Space Grotesk" w:eastAsia="Space Grotesk" w:hAnsi="Space Grotesk"/>
          <w:color w:val="111214"/>
          <w:sz w:val="20"/>
          <w:szCs w:val="20"/>
        </w:rPr>
        <w:t xml:space="preserve">Deduplication resolved 15 duplicate-download file pairs (a scraping artifact — the same report saved under two filenames): 9 auto-resolved by filename pattern, 6 resolved manually with documented rationale for each.</w:t>
      </w:r>
    </w:p>
    <w:p>
      <w:pPr>
        <w:pBdr>
          <w:bottom w:val="single" w:color="116B4F" w:sz="6" w:space="6"/>
        </w:pBdr>
        <w:spacing w:after="160" w:before="480"/>
      </w:pPr>
      <w:r>
        <w:rPr>
          <w:rFonts w:ascii="Space Grotesk" w:cs="Space Grotesk" w:eastAsia="Space Grotesk" w:hAnsi="Space Grotesk"/>
          <w:b/>
          <w:bCs/>
          <w:color w:val="116B4F"/>
          <w:sz w:val="28"/>
          <w:szCs w:val="28"/>
        </w:rPr>
        <w:t xml:space="preserve">10.  </w:t>
      </w:r>
      <w:r>
        <w:rPr>
          <w:rFonts w:ascii="Space Grotesk" w:cs="Space Grotesk" w:eastAsia="Space Grotesk" w:hAnsi="Space Grotesk"/>
          <w:b/>
          <w:bCs/>
          <w:color w:val="111214"/>
          <w:sz w:val="28"/>
          <w:szCs w:val="28"/>
        </w:rPr>
        <w:t xml:space="preserve">Disclaimer &amp; Sign-Off</w:t>
      </w:r>
    </w:p>
    <w:p>
      <w:pPr>
        <w:spacing w:after="160"/>
      </w:pPr>
      <w:r>
        <w:rPr>
          <w:rFonts w:ascii="Space Grotesk" w:cs="Space Grotesk" w:eastAsia="Space Grotesk" w:hAnsi="Space Grotesk"/>
          <w:color w:val="111214"/>
          <w:sz w:val="20"/>
          <w:szCs w:val="20"/>
        </w:rPr>
        <w:t xml:space="preserve">This dataset is derived from publicly available OAG Kenya audit reports and is provided for research, benchmarking, and digital-risk-quantification purposes. It does not constitute legal, financial, or audit opinion, and RETACH Digital Ltd makes no representation as to the completeness or accuracy of underlying source documents beyond what is disclosed in this methodology. Findings are algorithmically extracted and pillar-tagged; while validated through the QA process described above, entity-level conclusions should be corroborated against source reports before use in any decision-making context.</w:t>
      </w:r>
    </w:p>
    <w:p>
      <w:pPr>
        <w:spacing w:after="40" w:before="300"/>
      </w:pPr>
      <w:r>
        <w:rPr>
          <w:rFonts w:ascii="Space Grotesk" w:cs="Space Grotesk" w:eastAsia="Space Grotesk" w:hAnsi="Space Grotesk"/>
          <w:b/>
          <w:bCs/>
          <w:color w:val="111214"/>
          <w:sz w:val="20"/>
          <w:szCs w:val="20"/>
        </w:rPr>
        <w:t xml:space="preserve">Prepared by Paul N. Nduati, CISSP, CASP+</w:t>
      </w:r>
    </w:p>
    <w:p>
      <w:r>
        <w:rPr>
          <w:rFonts w:ascii="Space Grotesk" w:cs="Space Grotesk" w:eastAsia="Space Grotesk" w:hAnsi="Space Grotesk"/>
          <w:color w:val="116B4F"/>
          <w:sz w:val="18"/>
          <w:szCs w:val="18"/>
        </w:rPr>
        <w:t xml:space="preserve">RETACH Digital Ltd  ·  www.retach.tech  ·  info@retach.tech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pace Grotesk" w:cs="Space Grotesk" w:eastAsia="Space Grotesk" w:hAnsi="Space Grotesk"/>
        <w:color w:val="1112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2026-07-27T07:28:14.576Z</dcterms:created>
  <dcterms:modified xsi:type="dcterms:W3CDTF">2026-07-27T07:28:14.577Z</dcterms:modified>
</cp:coreProperties>
</file>

<file path=docProps/custom.xml><?xml version="1.0" encoding="utf-8"?>
<Properties xmlns="http://schemas.openxmlformats.org/officeDocument/2006/custom-properties" xmlns:vt="http://schemas.openxmlformats.org/officeDocument/2006/docPropsVTypes"/>
</file>