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80" w:before="240"/>
      </w:pPr>
      <w:r>
        <w:t xml:space="preserve">4.6 Prototype Interface Design</w:t>
      </w:r>
    </w:p>
    <w:p>
      <w:pPr>
        <w:spacing w:after="120"/>
      </w:pPr>
      <w:r>
        <w:rPr>
          <w:sz w:val="22"/>
          <w:szCs w:val="22"/>
        </w:rPr>
        <w:t xml:space="preserve">The prototype is delivered as a single-page React dashboard organised into five views, accessed through a persistent left sidebar. Each view exposes a distinct stage of the late-fusion monitoring pipeline — live observation, signal inspection, session review, decision explanation, and runtime configuration — while sharing one common RiskUpdate data contract. The interface is driven by a deterministic prepared-session replay loop that advances one inference window every Δt seconds, allowing the full risk-assessment behaviour to be demonstrated without a live model backend.</w:t>
      </w:r>
    </w:p>
    <w:p>
      <w:pPr>
        <w:pStyle w:val="Heading3"/>
        <w:spacing w:after="60" w:before="200"/>
      </w:pPr>
      <w:r>
        <w:t xml:space="preserve">4.6.1 Live Monitor View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610100"/>
            <wp:effectExtent t="0" r="0" b="0" l="0"/>
            <wp:docPr id="1" name="live-monitor.png" descr="live-monitor.png" title="live-mon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Figure 12: Prototype Interface — Live Monitor View</w:t>
      </w:r>
    </w:p>
    <w:p>
      <w:pPr>
        <w:spacing w:after="120"/>
      </w:pPr>
      <w:r>
        <w:rPr>
          <w:sz w:val="22"/>
          <w:szCs w:val="22"/>
        </w:rPr>
        <w:t xml:space="preserve">Figure 12 shows the primary real-time monitoring screen, presenting the current driver-risk output alongside the live camera and vehicle signals: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Camera Preview and Risk Summary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Live webcam preview pane provides the visual input interface, with start/stop camera controls.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Circular RiskScore gauge displays the fused 0–100 risk value, colour-graded by severity.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Status pills summarise RiskLevel (Low/Medium/High), DominantEvidence, and AlertSeverity at a glance.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Two modality cards report Visual Distraction and Telemetry Non-Safe probabilities with their freshness state.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Vehicle Signals Panel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Eight vehicle-dynamics signals (speed, acceleration, steering, braking, throttle, lane position, following distance) shown with icons, plain-language values and units.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Each signal has a colour-coded progress bar (green → amber → red) and a qualitative tag such as “low”, “gentle”, or “safe gap”, instead of raw model features.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Runtime State and Trend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SystemHealth, vision/telemetry freshness, and end-to-end latency confirm the pipeline is operating within Δt.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Recent-trend line chart overlays RiskScore against both branch probabilities across the latest windows.</w:t>
      </w:r>
    </w:p>
    <w:p>
      <w:pPr>
        <w:spacing w:after="200" w:before="60"/>
      </w:pPr>
      <w:r>
        <w:rPr>
          <w:b/>
          <w:bCs/>
          <w:sz w:val="22"/>
          <w:szCs w:val="22"/>
        </w:rPr>
        <w:t xml:space="preserve">Design Rationale: </w:t>
      </w:r>
      <w:r>
        <w:rPr>
          <w:sz w:val="22"/>
          <w:szCs w:val="22"/>
        </w:rPr>
        <w:t xml:space="preserve">The view separates the human-readable monitoring summary (gauge, plain-language vehicle signals) from technical runtime evidence, so a non-specialist assessor can read the current risk state without inspecting model internals.</w:t>
      </w:r>
    </w:p>
    <w:p>
      <w:pPr>
        <w:pStyle w:val="Heading3"/>
        <w:spacing w:after="60" w:before="200"/>
      </w:pPr>
      <w:r>
        <w:t xml:space="preserve">4.6.2 Signal Inspector View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819525"/>
            <wp:effectExtent t="0" r="0" b="0" l="0"/>
            <wp:docPr id="1" name="signal-inspector.png" descr="signal-inspector.png" title="signal-insp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Figure 13: Prototype Interface — Signal Inspector View</w:t>
      </w:r>
    </w:p>
    <w:p>
      <w:pPr>
        <w:spacing w:after="120"/>
      </w:pPr>
      <w:r>
        <w:rPr>
          <w:sz w:val="22"/>
          <w:szCs w:val="22"/>
        </w:rPr>
        <w:t xml:space="preserve">Figure 13 presents the per-window inspection screen, used to examine the raw branch inputs and outputs for any selected inference window: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Window List and Summary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Scrollable window list lets the assessor select any past inference window in the session.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Selected-window summary shows RiskScore, RiskLevel, Evidence Type, and the relative modality split.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A Flag control marks a window for later review, demonstrating update-style persistence.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Vision Branch — Top Visual Probabilities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Horizontal bar list of the ten driver-state class probabilities produced by the vision branch (e.g. safe_driving, texting, phone, operating_radio).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Telemetry Branch and Branch Signals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Vehicle-dynamics feature panel lists the eight structured telemetry inputs in their raw measured 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Branch-signals panel reports P_distraction, telemetry non-safe risk, per-modality freshness, latency, and flag state.</w:t>
      </w:r>
    </w:p>
    <w:p>
      <w:pPr>
        <w:spacing w:after="200" w:before="60"/>
      </w:pPr>
      <w:r>
        <w:rPr>
          <w:b/>
          <w:bCs/>
          <w:sz w:val="22"/>
          <w:szCs w:val="22"/>
        </w:rPr>
        <w:t xml:space="preserve">Design Rationale: </w:t>
      </w:r>
      <w:r>
        <w:rPr>
          <w:sz w:val="22"/>
          <w:szCs w:val="22"/>
        </w:rPr>
        <w:t xml:space="preserve">This view exposes the full raw evidence behind every window, giving technical reviewers a transparent, drill-down counterpart to the summarised Live Monitor.</w:t>
      </w:r>
    </w:p>
    <w:p>
      <w:pPr>
        <w:pStyle w:val="Heading3"/>
        <w:spacing w:after="60" w:before="200"/>
      </w:pPr>
      <w:r>
        <w:t xml:space="preserve">4.6.3 Risk Trends View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risk-trends.png" descr="risk-trends.png" title="risk-tr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Figure 14: Prototype Interface — Risk Trends View</w:t>
      </w:r>
    </w:p>
    <w:p>
      <w:pPr>
        <w:spacing w:after="120"/>
      </w:pPr>
      <w:r>
        <w:rPr>
          <w:sz w:val="22"/>
          <w:szCs w:val="22"/>
        </w:rPr>
        <w:t xml:space="preserve">Figure 14 provides a session-level review of how risk evolved over the monitoring run: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RiskScore and Modality Traces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Multi-line chart plots RiskScore against vision and telemetry probabilities across all windows.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Threshold reference lines mark the Low/Medium and Medium/High boundaries.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Distribution and Event Log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RiskLevel distribution bar chart counts how often each level occurred during the session.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Tabular event log lists every window with timestamp, RiskScore, RiskLevel, Alert, Evidence Type, and flag — forming the exportable session record.</w:t>
      </w:r>
    </w:p>
    <w:p>
      <w:pPr>
        <w:spacing w:after="200" w:before="60"/>
      </w:pPr>
      <w:r>
        <w:rPr>
          <w:b/>
          <w:bCs/>
          <w:sz w:val="22"/>
          <w:szCs w:val="22"/>
        </w:rPr>
        <w:t xml:space="preserve">Design Rationale: </w:t>
      </w:r>
      <w:r>
        <w:rPr>
          <w:sz w:val="22"/>
          <w:szCs w:val="22"/>
        </w:rPr>
        <w:t xml:space="preserve">The trend and log together evidence the pipeline’s session-level behaviour and provide the data later exported as JSON/CSV for evaluation.</w:t>
      </w:r>
    </w:p>
    <w:p>
      <w:pPr>
        <w:pStyle w:val="Heading3"/>
        <w:spacing w:after="60" w:before="200"/>
      </w:pPr>
      <w:r>
        <w:t xml:space="preserve">4.6.4 Explanation View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791075"/>
            <wp:effectExtent t="0" r="0" b="0" l="0"/>
            <wp:docPr id="1" name="explanation.png" descr="explanation.png" title="expla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Figure 15: Prototype Interface — Explanation View</w:t>
      </w:r>
    </w:p>
    <w:p>
      <w:pPr>
        <w:spacing w:after="120"/>
      </w:pPr>
      <w:r>
        <w:rPr>
          <w:sz w:val="22"/>
          <w:szCs w:val="22"/>
        </w:rPr>
        <w:t xml:space="preserve">Figure 15 delivers the interpretability layer, explaining why the selected window received its risk output: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Current Window Explanation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Headline Evidence Type (e.g. Telemetry-dominant) with the relative modality strength.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Summary grid of P_distraction, telemetry non-safe risk, RiskScore, RiskLevel, AlertStatus, and SystemHealth.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Vision and Telemetry Evidence Cards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Vision card reports the Primary Distraction Cue — the highest non-safe visual class — with its probability and freshness.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Telemetry card reports the Current Behaviour with confidence and the top feature contributions driving the non-safe risk.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Decision Rule and RiskScore Contribution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Matched Evidence Rule panel states the exact condition satisfied and highlights it among all five evidence types.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Weighted-contribution bar decomposes the RiskScore into its vision and telemetry shares using the fusion weights.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Session evidence-distribution chart shows how evidence types were distributed across the run.</w:t>
      </w:r>
    </w:p>
    <w:p>
      <w:pPr>
        <w:spacing w:after="200" w:before="60"/>
      </w:pPr>
      <w:r>
        <w:rPr>
          <w:b/>
          <w:bCs/>
          <w:sz w:val="22"/>
          <w:szCs w:val="22"/>
        </w:rPr>
        <w:t xml:space="preserve">Design Rationale: </w:t>
      </w:r>
      <w:r>
        <w:rPr>
          <w:sz w:val="22"/>
          <w:szCs w:val="22"/>
        </w:rPr>
        <w:t xml:space="preserve">The view turns the late-fusion decision into a transparent, rule-based account, satisfying the explainability objective without exposing low-level model parameters.</w:t>
      </w:r>
    </w:p>
    <w:p>
      <w:pPr>
        <w:pStyle w:val="Heading3"/>
        <w:spacing w:after="60" w:before="200"/>
      </w:pPr>
      <w:r>
        <w:t xml:space="preserve">4.6.5 Configuration View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configuration.png" descr="configuration.png" title="configu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Figure 16: Prototype Interface — Configuration View</w:t>
      </w:r>
    </w:p>
    <w:p>
      <w:pPr>
        <w:spacing w:after="120"/>
      </w:pPr>
      <w:r>
        <w:rPr>
          <w:sz w:val="22"/>
          <w:szCs w:val="22"/>
        </w:rPr>
        <w:t xml:space="preserve">Figure 16 exposes the runtime controls and fusion parameters that govern the monitoring session: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Runtime Configuration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Start, Pause, and Restart Session controls manage the replay-driven monitoring lifecycle.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Risk Fusion Parameters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Vision Weight and Telemetry Weight sliders adjust the late-fusion contribution of each branch (default 0.50 / 0.50).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Low/Medium and Medium/High threshold fields set the RiskScore-to-RiskLevel mapping boundaries (default 30 / 60).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Output Options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Evidence-interpretation toggle enables the explanation output.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2"/>
          <w:szCs w:val="22"/>
        </w:rPr>
        <w:t xml:space="preserve">Export JSON and Export CSV buttons download the full session record.</w:t>
      </w:r>
    </w:p>
    <w:p>
      <w:pPr>
        <w:spacing w:after="200" w:before="60"/>
      </w:pPr>
      <w:r>
        <w:rPr>
          <w:b/>
          <w:bCs/>
          <w:sz w:val="22"/>
          <w:szCs w:val="22"/>
        </w:rPr>
        <w:t xml:space="preserve">Design Rationale: </w:t>
      </w:r>
      <w:r>
        <w:rPr>
          <w:sz w:val="22"/>
          <w:szCs w:val="22"/>
        </w:rPr>
        <w:t xml:space="preserve">Configuration deliberately surfaces only user-understandable controls — session control, transparent fusion weights, risk thresholds, and export — keeping internal runtime parameters out of the operator-facing interface.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0c2889cc10543d76e58ad0397021796870d62c.png"/><Relationship Id="rId8" Type="http://schemas.openxmlformats.org/officeDocument/2006/relationships/image" Target="media/955a7b989899772cf61c1eff4f3f0ec20887802c.png"/><Relationship Id="rId9" Type="http://schemas.openxmlformats.org/officeDocument/2006/relationships/image" Target="media/5cb52e84e3eae0780b1132e0df88403ebe38bc62.png"/><Relationship Id="rId10" Type="http://schemas.openxmlformats.org/officeDocument/2006/relationships/image" Target="media/a2ff930b55e5160beda304b282c5e6b8ee40caaf.png"/><Relationship Id="rId11" Type="http://schemas.openxmlformats.org/officeDocument/2006/relationships/image" Target="media/7c4de0935a4696f685b9ee0db59c372a95d773b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2026-05-29T16:38:13.257Z</dcterms:created>
  <dcterms:modified xsi:type="dcterms:W3CDTF">2026-05-29T16:38:13.258Z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