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Methodology: Rank × Forgetting Dynamics in Decoder-Only Sub-3B Language Models on Sequential NLP Classification Tasks (The Feasible Rank Window)</w:t>
      </w:r>
    </w:p>
    <w:p>
      <w:r>
        <w:rPr>
          <w:b w:val="0"/>
          <w:i/>
        </w:rPr>
        <w:t>Revised experimental design for the four-model selection: Llama-3.2-1B, Qwen2.5-1.5B, Granite-3.3-2B, Qwen2.5-3B — covering the LoRA fine-tuning track and the full fine-tuning track.</w:t>
      </w:r>
    </w:p>
    <w:p>
      <w:r>
        <w:rPr>
          <w:b w:val="0"/>
          <w:i/>
        </w:rPr>
        <w:t>Version 1.1 (revises v1.0: five seeds per configuration; all training relocated to a single desktop RTX 4090, 24 GB). This document expands the Methodology section of the project proposal (Steps 1–6) and supersedes it wherever the two differ. All revisions — in particular the replacement of the single constant learning rate (2e-4) with a pre-registered per-model learning-rate rule — are deliberate responses to the design issues raised during proposal evaluation and are cited to the literature throughout.</w:t>
      </w:r>
    </w:p>
    <w:p>
      <w:pPr>
        <w:pStyle w:val="Heading1"/>
      </w:pPr>
      <w:r>
        <w:t>0. Design Overview and Guiding Principles</w:t>
      </w:r>
    </w:p>
    <w:p>
      <w:r>
        <w:rPr>
          <w:b w:val="0"/>
          <w:i w:val="0"/>
        </w:rPr>
        <w:t>The project measures how the LoRA rank r influences catastrophic forgetting when sub-3B decoder-only language models learn three NLP classification tasks sequentially. The experiment is designed as a controlled study: within each model, rank is the only manipulated (independent) variable. Every other factor is either held strictly constant across all configurations or set by a pre-registered rule that depends only on model size (the per-model learning-rate rule, Section 2.2). Two fine-tuning tracks are run under an otherwise identical protocol:</w:t>
      </w:r>
    </w:p>
    <w:p>
      <w:pPr>
        <w:pStyle w:val="ListBullet"/>
      </w:pPr>
      <w:r>
        <w:t>Track A — LoRA fine-tuning (primary): 4 models × 5 ranks × 5 seeds = 100 full-sequence runs. This track produces the rank-forgetting curves and the feasible rank window.</w:t>
      </w:r>
    </w:p>
    <w:p>
      <w:pPr>
        <w:pStyle w:val="ListBullet"/>
      </w:pPr>
      <w:r>
        <w:t>Track B — Full fine-tuning (comparison baseline): 4 models × 5 seeds = 20 full-sequence runs. This track provides the plasticity reference and the forgetting upper anchor for each model, and tests whether the 'LoRA learns less and forgets less' pattern reported at 7B (Biderman et al., 2024) replicates at sub-3B classification scale.</w:t>
      </w:r>
    </w:p>
    <w:p>
      <w:pPr>
        <w:pStyle w:val="ListBullet"/>
      </w:pPr>
      <w:r>
        <w:t>Verification runs: 12 single-task learning-rate sanity runs (Section 11), plus one smoke test per model.</w:t>
      </w:r>
    </w:p>
    <w:p>
      <w:r>
        <w:rPr>
          <w:b w:val="0"/>
          <w:i w:val="0"/>
        </w:rPr>
        <w:t>Forgetting is quantified with Backward Transfer (BWT; Lopez-Paz &amp; Ranzato, 2017) over the sequential task order RTE → MNLI Matched → SST-2, complemented by final-task accuracy (learning) and by intruder-dimension counts obtained from SVD analysis of the adapted weight matrices (Shuttleworth et al., 2025), which connect the behavioral metric to a mechanistic one (RQ3).</w:t>
      </w:r>
    </w:p>
    <w:tbl>
      <w:tblPr>
        <w:tblStyle w:val="TableGrid"/>
        <w:tblW w:type="auto" w:w="0"/>
        <w:tblLook w:firstColumn="1" w:firstRow="1" w:lastColumn="0" w:lastRow="0" w:noHBand="0" w:noVBand="1" w:val="04A0"/>
      </w:tblPr>
      <w:tblGrid>
        <w:gridCol w:w="4536"/>
        <w:gridCol w:w="4536"/>
      </w:tblGrid>
      <w:tr>
        <w:tc>
          <w:tcPr>
            <w:tcW w:type="dxa" w:w="4536"/>
          </w:tcPr>
          <w:p>
            <w:r/>
            <w:r>
              <w:rPr>
                <w:b/>
              </w:rPr>
              <w:t>Design element</w:t>
            </w:r>
          </w:p>
        </w:tc>
        <w:tc>
          <w:tcPr>
            <w:tcW w:type="dxa" w:w="4536"/>
          </w:tcPr>
          <w:p>
            <w:r/>
            <w:r>
              <w:rPr>
                <w:b/>
              </w:rPr>
              <w:t>Specification</w:t>
            </w:r>
          </w:p>
        </w:tc>
      </w:tr>
      <w:tr>
        <w:tc>
          <w:tcPr>
            <w:tcW w:type="dxa" w:w="4536"/>
          </w:tcPr>
          <w:p>
            <w:r>
              <w:t>Models</w:t>
            </w:r>
          </w:p>
        </w:tc>
        <w:tc>
          <w:tcPr>
            <w:tcW w:type="dxa" w:w="4536"/>
          </w:tcPr>
          <w:p>
            <w:r>
              <w:t>Llama-3.2-1B, Qwen2.5-1.5B, Granite-3.3-2B, Qwen2.5-3B (all base checkpoints, bf16, no quantization)</w:t>
            </w:r>
          </w:p>
        </w:tc>
      </w:tr>
      <w:tr>
        <w:tc>
          <w:tcPr>
            <w:tcW w:type="dxa" w:w="4536"/>
          </w:tcPr>
          <w:p>
            <w:r>
              <w:t>Independent variable</w:t>
            </w:r>
          </w:p>
        </w:tc>
        <w:tc>
          <w:tcPr>
            <w:tcW w:type="dxa" w:w="4536"/>
          </w:tcPr>
          <w:p>
            <w:r>
              <w:t>LoRA rank r ∈ {4, 8, 16, 32, 64} on q_proj and v_proj of every decoder layer</w:t>
            </w:r>
          </w:p>
        </w:tc>
      </w:tr>
      <w:tr>
        <w:tc>
          <w:tcPr>
            <w:tcW w:type="dxa" w:w="4536"/>
          </w:tcPr>
          <w:p>
            <w:r>
              <w:t>LoRA scaling</w:t>
            </w:r>
          </w:p>
        </w:tc>
        <w:tc>
          <w:tcPr>
            <w:tcW w:type="dxa" w:w="4536"/>
          </w:tcPr>
          <w:p>
            <w:r>
              <w:t>α = 2r at every rank and model (Biderman et al. 2024; validated by Shuttleworth et al. 2025)</w:t>
            </w:r>
          </w:p>
        </w:tc>
      </w:tr>
      <w:tr>
        <w:tc>
          <w:tcPr>
            <w:tcW w:type="dxa" w:w="4536"/>
          </w:tcPr>
          <w:p>
            <w:r>
              <w:t>Learning rates</w:t>
            </w:r>
          </w:p>
        </w:tc>
        <w:tc>
          <w:tcPr>
            <w:tcW w:type="dxa" w:w="4536"/>
          </w:tcPr>
          <w:p>
            <w:r>
              <w:t>Pre-registered per-model rule (Section 2.2), separate values for Track A and Track B</w:t>
            </w:r>
          </w:p>
        </w:tc>
      </w:tr>
      <w:tr>
        <w:tc>
          <w:tcPr>
            <w:tcW w:type="dxa" w:w="4536"/>
          </w:tcPr>
          <w:p>
            <w:r>
              <w:t>Tasks</w:t>
            </w:r>
          </w:p>
        </w:tc>
        <w:tc>
          <w:tcPr>
            <w:tcW w:type="dxa" w:w="4536"/>
          </w:tcPr>
          <w:p>
            <w:r>
              <w:t>RTE → MNLI Matched → SST-2 (fixed order), 2,490 training samples each, 3 epochs each</w:t>
            </w:r>
          </w:p>
        </w:tc>
      </w:tr>
      <w:tr>
        <w:tc>
          <w:tcPr>
            <w:tcW w:type="dxa" w:w="4536"/>
          </w:tcPr>
          <w:p>
            <w:r>
              <w:t>Seeds</w:t>
            </w:r>
          </w:p>
        </w:tc>
        <w:tc>
          <w:tcPr>
            <w:tcW w:type="dxa" w:w="4536"/>
          </w:tcPr>
          <w:p>
            <w:r>
              <w:t>42, 123, 456, 789, 1024 (adapter init, head init, mini-batch order)</w:t>
            </w:r>
          </w:p>
        </w:tc>
      </w:tr>
      <w:tr>
        <w:tc>
          <w:tcPr>
            <w:tcW w:type="dxa" w:w="4536"/>
          </w:tcPr>
          <w:p>
            <w:r>
              <w:t>Track A runs</w:t>
            </w:r>
          </w:p>
        </w:tc>
        <w:tc>
          <w:tcPr>
            <w:tcW w:type="dxa" w:w="4536"/>
          </w:tcPr>
          <w:p>
            <w:r>
              <w:t>100 (4 × 5 × 5)</w:t>
            </w:r>
          </w:p>
        </w:tc>
      </w:tr>
      <w:tr>
        <w:tc>
          <w:tcPr>
            <w:tcW w:type="dxa" w:w="4536"/>
          </w:tcPr>
          <w:p>
            <w:r>
              <w:t>Track B runs</w:t>
            </w:r>
          </w:p>
        </w:tc>
        <w:tc>
          <w:tcPr>
            <w:tcW w:type="dxa" w:w="4536"/>
          </w:tcPr>
          <w:p>
            <w:r>
              <w:t>20 (4 × 5)</w:t>
            </w:r>
          </w:p>
        </w:tc>
      </w:tr>
      <w:tr>
        <w:tc>
          <w:tcPr>
            <w:tcW w:type="dxa" w:w="4536"/>
          </w:tcPr>
          <w:p>
            <w:r>
              <w:t>Sanity runs</w:t>
            </w:r>
          </w:p>
        </w:tc>
        <w:tc>
          <w:tcPr>
            <w:tcW w:type="dxa" w:w="4536"/>
          </w:tcPr>
          <w:p>
            <w:r>
              <w:t>12 single-task runs (Section 11)</w:t>
            </w:r>
          </w:p>
        </w:tc>
      </w:tr>
      <w:tr>
        <w:tc>
          <w:tcPr>
            <w:tcW w:type="dxa" w:w="4536"/>
          </w:tcPr>
          <w:p>
            <w:r>
              <w:t>Primary metric</w:t>
            </w:r>
          </w:p>
        </w:tc>
        <w:tc>
          <w:tcPr>
            <w:tcW w:type="dxa" w:w="4536"/>
          </w:tcPr>
          <w:p>
            <w:r>
              <w:t>BWT after the full sequence</w:t>
            </w:r>
          </w:p>
        </w:tc>
      </w:tr>
      <w:tr>
        <w:tc>
          <w:tcPr>
            <w:tcW w:type="dxa" w:w="4536"/>
          </w:tcPr>
          <w:p>
            <w:r>
              <w:t>Secondary metrics</w:t>
            </w:r>
          </w:p>
        </w:tc>
        <w:tc>
          <w:tcPr>
            <w:tcW w:type="dxa" w:w="4536"/>
          </w:tcPr>
          <w:p>
            <w:r>
              <w:t>Final-task accuracy; per-task accuracy matrix; average accuracy</w:t>
            </w:r>
          </w:p>
        </w:tc>
      </w:tr>
      <w:tr>
        <w:tc>
          <w:tcPr>
            <w:tcW w:type="dxa" w:w="4536"/>
          </w:tcPr>
          <w:p>
            <w:r>
              <w:t>Mechanistic metric</w:t>
            </w:r>
          </w:p>
        </w:tc>
        <w:tc>
          <w:tcPr>
            <w:tcW w:type="dxa" w:w="4536"/>
          </w:tcPr>
          <w:p>
            <w:r>
              <w:t>Intruder-dimension counts (SVD, k = 10, ε = 0.9)</w:t>
            </w:r>
          </w:p>
        </w:tc>
      </w:tr>
    </w:tbl>
    <w:p/>
    <w:p>
      <w:pPr>
        <w:pStyle w:val="Heading1"/>
      </w:pPr>
      <w:r>
        <w:t>1. Revised Model Selection</w:t>
      </w:r>
    </w:p>
    <w:p>
      <w:pPr>
        <w:pStyle w:val="Heading2"/>
      </w:pPr>
      <w:r>
        <w:t>1.1 Selection criteria</w:t>
      </w:r>
    </w:p>
    <w:p>
      <w:r>
        <w:rPr>
          <w:b w:val="0"/>
          <w:i w:val="0"/>
        </w:rPr>
        <w:t>The proposal identified the 1B–3B decoder-only band as an unexplored gap between Biderman et al. (2024, 7B) and Lun &amp; Ming (2026, sub-1B). The revised selection applies the following criteria:</w:t>
      </w:r>
    </w:p>
    <w:p>
      <w:pPr>
        <w:pStyle w:val="ListBullet"/>
      </w:pPr>
      <w:r>
        <w:t>Decoder-only transformer architecture, openly available on the Hugging Face Hub with a pinned revision.</w:t>
      </w:r>
    </w:p>
    <w:p>
      <w:pPr>
        <w:pStyle w:val="ListBullet"/>
      </w:pPr>
      <w:r>
        <w:t>Total parameters of the released checkpoint within the study band (≈1.0–3.2B). The band is defined by the same counting convention the proposal already uses for its 3B endpoint (Llama-3.2-3B = 3.21B), i.e., the '3B class'.</w:t>
      </w:r>
    </w:p>
    <w:p>
      <w:pPr>
        <w:pStyle w:val="ListBullet"/>
      </w:pPr>
      <w:r>
        <w:t>Modern pre-training (2024–2025 release), so that results are relevant to models actually deployable on current edge devices.</w:t>
      </w:r>
    </w:p>
    <w:p>
      <w:pPr>
        <w:pStyle w:val="ListBullet"/>
      </w:pPr>
      <w:r>
        <w:t>License permitting academic research use (Apache 2.0, MIT, Llama Community License, or equivalent).</w:t>
      </w:r>
    </w:p>
    <w:p>
      <w:pPr>
        <w:pStyle w:val="ListBullet"/>
      </w:pPr>
      <w:r>
        <w:t>At least one same-family size pair, so that a within-family size contrast can de-confound the scale-trend claim flagged in proposal Section 1.10.</w:t>
      </w:r>
    </w:p>
    <w:p>
      <w:pPr>
        <w:pStyle w:val="ListBullet"/>
      </w:pPr>
      <w:r>
        <w:t>Runnable in bf16 with LoRA within 24 GB of VRAM (desktop RTX 4090) at the specified sequence lengths.</w:t>
      </w:r>
    </w:p>
    <w:p>
      <w:pPr>
        <w:pStyle w:val="Heading2"/>
      </w:pPr>
      <w:r>
        <w:t>1.2 The four selected models and their roles</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b/>
              </w:rPr>
              <w:t>Model</w:t>
            </w:r>
          </w:p>
        </w:tc>
        <w:tc>
          <w:tcPr>
            <w:tcW w:type="dxa" w:w="3024"/>
          </w:tcPr>
          <w:p>
            <w:r/>
            <w:r>
              <w:rPr>
                <w:b/>
              </w:rPr>
              <w:t>Total params</w:t>
            </w:r>
          </w:p>
        </w:tc>
        <w:tc>
          <w:tcPr>
            <w:tcW w:type="dxa" w:w="3024"/>
          </w:tcPr>
          <w:p>
            <w:r/>
            <w:r>
              <w:rPr>
                <w:b/>
              </w:rPr>
              <w:t>Role in the design</w:t>
            </w:r>
          </w:p>
        </w:tc>
      </w:tr>
      <w:tr>
        <w:tc>
          <w:tcPr>
            <w:tcW w:type="dxa" w:w="3024"/>
          </w:tcPr>
          <w:p>
            <w:r>
              <w:t>Llama-3.2-1B</w:t>
            </w:r>
          </w:p>
        </w:tc>
        <w:tc>
          <w:tcPr>
            <w:tcW w:type="dxa" w:w="3024"/>
          </w:tcPr>
          <w:p>
            <w:r>
              <w:t>1.24B</w:t>
            </w:r>
          </w:p>
        </w:tc>
        <w:tc>
          <w:tcPr>
            <w:tcW w:type="dxa" w:w="3024"/>
          </w:tcPr>
          <w:p>
            <w:r>
              <w:t>Small-band anchor (retained from the original proposal). Produced by pruning + distillation from Llama-3.1-8B, which is why size-appropriate learning rates are taken from fine-tuning-calibrated rules rather than pre-training extrapolation (Section 10).</w:t>
            </w:r>
          </w:p>
        </w:tc>
      </w:tr>
      <w:tr>
        <w:tc>
          <w:tcPr>
            <w:tcW w:type="dxa" w:w="3024"/>
          </w:tcPr>
          <w:p>
            <w:r>
              <w:t>Qwen2.5-1.5B</w:t>
            </w:r>
          </w:p>
        </w:tc>
        <w:tc>
          <w:tcPr>
            <w:tcW w:type="dxa" w:w="3024"/>
          </w:tcPr>
          <w:p>
            <w:r>
              <w:t>1.54B</w:t>
            </w:r>
          </w:p>
        </w:tc>
        <w:tc>
          <w:tcPr>
            <w:tcW w:type="dxa" w:w="3024"/>
          </w:tcPr>
          <w:p>
            <w:r>
              <w:t>Lower point of the same-family scaling pair.</w:t>
            </w:r>
          </w:p>
        </w:tc>
      </w:tr>
      <w:tr>
        <w:tc>
          <w:tcPr>
            <w:tcW w:type="dxa" w:w="3024"/>
          </w:tcPr>
          <w:p>
            <w:r>
              <w:t>Qwen2.5-3B</w:t>
            </w:r>
          </w:p>
        </w:tc>
        <w:tc>
          <w:tcPr>
            <w:tcW w:type="dxa" w:w="3024"/>
          </w:tcPr>
          <w:p>
            <w:r>
              <w:t>3.09B</w:t>
            </w:r>
          </w:p>
        </w:tc>
        <w:tc>
          <w:tcPr>
            <w:tcW w:type="dxa" w:w="3024"/>
          </w:tcPr>
          <w:p>
            <w:r>
              <w:t>Upper point of the same-family scaling pair. Released in the same month with the same training recipe as the 1.5B model (Qwen2.5 technical report), giving a clean 2× within-family size contrast that the original proposal lacked.</w:t>
            </w:r>
          </w:p>
        </w:tc>
      </w:tr>
      <w:tr>
        <w:tc>
          <w:tcPr>
            <w:tcW w:type="dxa" w:w="3024"/>
          </w:tcPr>
          <w:p>
            <w:r>
              <w:t>Granite-3.3-2B</w:t>
            </w:r>
          </w:p>
        </w:tc>
        <w:tc>
          <w:tcPr>
            <w:tcW w:type="dxa" w:w="3024"/>
          </w:tcPr>
          <w:p>
            <w:r>
              <w:t>2.53B</w:t>
            </w:r>
          </w:p>
        </w:tc>
        <w:tc>
          <w:tcPr>
            <w:tcW w:type="dxa" w:w="3024"/>
          </w:tcPr>
          <w:p>
            <w:r>
              <w:t>Third architecture family (IBM); fills the mid-band gap between 1.54B and 3.09B and tests family generality of the feasible window (proposal Section 1.11, item 2).</w:t>
            </w:r>
          </w:p>
        </w:tc>
      </w:tr>
    </w:tbl>
    <w:p/>
    <w:p>
      <w:r>
        <w:rPr>
          <w:b w:val="0"/>
          <w:i w:val="0"/>
        </w:rPr>
        <w:t>Relative to the original proposal (54 runs), the revised plan comprises 132 runs — 120 full-sequence runs (100 LoRA + 20 full fine-tuning) plus 12 single-task sanity runs — all executed on a single desktop RTX 4090 (24 GB); Section 9 shows the compute fits the 8-month window with a large margin.</w:t>
      </w:r>
    </w:p>
    <w:p>
      <w:pPr>
        <w:pStyle w:val="Heading2"/>
      </w:pPr>
      <w:r>
        <w:t>1.3 Verified architectures</w:t>
      </w:r>
    </w:p>
    <w:p>
      <w:r>
        <w:rPr>
          <w:b w:val="0"/>
          <w:i w:val="0"/>
        </w:rPr>
        <w:t>The following architecture facts were verified directly from each checkpoint's configuration file and are load-bearing for the design (LoRA target shapes, rank-fraction analysis, memory planning).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b/>
              </w:rPr>
              <w:t>Property</w:t>
            </w:r>
          </w:p>
        </w:tc>
        <w:tc>
          <w:tcPr>
            <w:tcW w:type="dxa" w:w="1814"/>
          </w:tcPr>
          <w:p>
            <w:r/>
            <w:r>
              <w:rPr>
                <w:b/>
              </w:rPr>
              <w:t>Llama-3.2-1B</w:t>
            </w:r>
          </w:p>
        </w:tc>
        <w:tc>
          <w:tcPr>
            <w:tcW w:type="dxa" w:w="1814"/>
          </w:tcPr>
          <w:p>
            <w:r/>
            <w:r>
              <w:rPr>
                <w:b/>
              </w:rPr>
              <w:t>Qwen2.5-1.5B</w:t>
            </w:r>
          </w:p>
        </w:tc>
        <w:tc>
          <w:tcPr>
            <w:tcW w:type="dxa" w:w="1814"/>
          </w:tcPr>
          <w:p>
            <w:r/>
            <w:r>
              <w:rPr>
                <w:b/>
              </w:rPr>
              <w:t>Granite-3.3-2B</w:t>
            </w:r>
          </w:p>
        </w:tc>
        <w:tc>
          <w:tcPr>
            <w:tcW w:type="dxa" w:w="1814"/>
          </w:tcPr>
          <w:p>
            <w:r/>
            <w:r>
              <w:rPr>
                <w:b/>
              </w:rPr>
              <w:t>Qwen2.5-3B</w:t>
            </w:r>
          </w:p>
        </w:tc>
      </w:tr>
      <w:tr>
        <w:tc>
          <w:tcPr>
            <w:tcW w:type="dxa" w:w="1814"/>
          </w:tcPr>
          <w:p>
            <w:r>
              <w:t>Hugging Face id</w:t>
            </w:r>
          </w:p>
        </w:tc>
        <w:tc>
          <w:tcPr>
            <w:tcW w:type="dxa" w:w="1814"/>
          </w:tcPr>
          <w:p>
            <w:r>
              <w:t>meta-llama/Llama-3.2-1B</w:t>
            </w:r>
          </w:p>
        </w:tc>
        <w:tc>
          <w:tcPr>
            <w:tcW w:type="dxa" w:w="1814"/>
          </w:tcPr>
          <w:p>
            <w:r>
              <w:t>Qwen/Qwen2.5-1.5B</w:t>
            </w:r>
          </w:p>
        </w:tc>
        <w:tc>
          <w:tcPr>
            <w:tcW w:type="dxa" w:w="1814"/>
          </w:tcPr>
          <w:p>
            <w:r>
              <w:t>ibm-granite/granite-3.3-2b-base</w:t>
            </w:r>
          </w:p>
        </w:tc>
        <w:tc>
          <w:tcPr>
            <w:tcW w:type="dxa" w:w="1814"/>
          </w:tcPr>
          <w:p>
            <w:r>
              <w:t>Qwen/Qwen2.5-3B</w:t>
            </w:r>
          </w:p>
        </w:tc>
      </w:tr>
      <w:tr>
        <w:tc>
          <w:tcPr>
            <w:tcW w:type="dxa" w:w="1814"/>
          </w:tcPr>
          <w:p>
            <w:r>
              <w:t>Released</w:t>
            </w:r>
          </w:p>
        </w:tc>
        <w:tc>
          <w:tcPr>
            <w:tcW w:type="dxa" w:w="1814"/>
          </w:tcPr>
          <w:p>
            <w:r>
              <w:t>Sep 2024</w:t>
            </w:r>
          </w:p>
        </w:tc>
        <w:tc>
          <w:tcPr>
            <w:tcW w:type="dxa" w:w="1814"/>
          </w:tcPr>
          <w:p>
            <w:r>
              <w:t>Sep 2024</w:t>
            </w:r>
          </w:p>
        </w:tc>
        <w:tc>
          <w:tcPr>
            <w:tcW w:type="dxa" w:w="1814"/>
          </w:tcPr>
          <w:p>
            <w:r>
              <w:t>Dec 2024</w:t>
            </w:r>
          </w:p>
        </w:tc>
        <w:tc>
          <w:tcPr>
            <w:tcW w:type="dxa" w:w="1814"/>
          </w:tcPr>
          <w:p>
            <w:r>
              <w:t>Sep 2024</w:t>
            </w:r>
          </w:p>
        </w:tc>
      </w:tr>
      <w:tr>
        <w:tc>
          <w:tcPr>
            <w:tcW w:type="dxa" w:w="1814"/>
          </w:tcPr>
          <w:p>
            <w:r>
              <w:t>Total params (checkpoint)</w:t>
            </w:r>
          </w:p>
        </w:tc>
        <w:tc>
          <w:tcPr>
            <w:tcW w:type="dxa" w:w="1814"/>
          </w:tcPr>
          <w:p>
            <w:r>
              <w:t>1.24B</w:t>
            </w:r>
          </w:p>
        </w:tc>
        <w:tc>
          <w:tcPr>
            <w:tcW w:type="dxa" w:w="1814"/>
          </w:tcPr>
          <w:p>
            <w:r>
              <w:t>1.54B</w:t>
            </w:r>
          </w:p>
        </w:tc>
        <w:tc>
          <w:tcPr>
            <w:tcW w:type="dxa" w:w="1814"/>
          </w:tcPr>
          <w:p>
            <w:r>
              <w:t>2.53B</w:t>
            </w:r>
          </w:p>
        </w:tc>
        <w:tc>
          <w:tcPr>
            <w:tcW w:type="dxa" w:w="1814"/>
          </w:tcPr>
          <w:p>
            <w:r>
              <w:t>3.09B</w:t>
            </w:r>
          </w:p>
        </w:tc>
      </w:tr>
      <w:tr>
        <w:tc>
          <w:tcPr>
            <w:tcW w:type="dxa" w:w="1814"/>
          </w:tcPr>
          <w:p>
            <w:r>
              <w:t>Non-embedding params</w:t>
            </w:r>
          </w:p>
        </w:tc>
        <w:tc>
          <w:tcPr>
            <w:tcW w:type="dxa" w:w="1814"/>
          </w:tcPr>
          <w:p>
            <w:r>
              <w:t>≈0.97B</w:t>
            </w:r>
          </w:p>
        </w:tc>
        <w:tc>
          <w:tcPr>
            <w:tcW w:type="dxa" w:w="1814"/>
          </w:tcPr>
          <w:p>
            <w:r>
              <w:t>≈1.31B</w:t>
            </w:r>
          </w:p>
        </w:tc>
        <w:tc>
          <w:tcPr>
            <w:tcW w:type="dxa" w:w="1814"/>
          </w:tcPr>
          <w:p>
            <w:r>
              <w:t>≈2.43B</w:t>
            </w:r>
          </w:p>
        </w:tc>
        <w:tc>
          <w:tcPr>
            <w:tcW w:type="dxa" w:w="1814"/>
          </w:tcPr>
          <w:p>
            <w:r>
              <w:t>≈2.77B</w:t>
            </w:r>
          </w:p>
        </w:tc>
      </w:tr>
      <w:tr>
        <w:tc>
          <w:tcPr>
            <w:tcW w:type="dxa" w:w="1814"/>
          </w:tcPr>
          <w:p>
            <w:r>
              <w:t>Layers</w:t>
            </w:r>
          </w:p>
        </w:tc>
        <w:tc>
          <w:tcPr>
            <w:tcW w:type="dxa" w:w="1814"/>
          </w:tcPr>
          <w:p>
            <w:r>
              <w:t>16</w:t>
            </w:r>
          </w:p>
        </w:tc>
        <w:tc>
          <w:tcPr>
            <w:tcW w:type="dxa" w:w="1814"/>
          </w:tcPr>
          <w:p>
            <w:r>
              <w:t>28</w:t>
            </w:r>
          </w:p>
        </w:tc>
        <w:tc>
          <w:tcPr>
            <w:tcW w:type="dxa" w:w="1814"/>
          </w:tcPr>
          <w:p>
            <w:r>
              <w:t>40</w:t>
            </w:r>
          </w:p>
        </w:tc>
        <w:tc>
          <w:tcPr>
            <w:tcW w:type="dxa" w:w="1814"/>
          </w:tcPr>
          <w:p>
            <w:r>
              <w:t>36</w:t>
            </w:r>
          </w:p>
        </w:tc>
      </w:tr>
      <w:tr>
        <w:tc>
          <w:tcPr>
            <w:tcW w:type="dxa" w:w="1814"/>
          </w:tcPr>
          <w:p>
            <w:r>
              <w:t>Hidden size d_model</w:t>
            </w:r>
          </w:p>
        </w:tc>
        <w:tc>
          <w:tcPr>
            <w:tcW w:type="dxa" w:w="1814"/>
          </w:tcPr>
          <w:p>
            <w:r>
              <w:t>2048</w:t>
            </w:r>
          </w:p>
        </w:tc>
        <w:tc>
          <w:tcPr>
            <w:tcW w:type="dxa" w:w="1814"/>
          </w:tcPr>
          <w:p>
            <w:r>
              <w:t>1536</w:t>
            </w:r>
          </w:p>
        </w:tc>
        <w:tc>
          <w:tcPr>
            <w:tcW w:type="dxa" w:w="1814"/>
          </w:tcPr>
          <w:p>
            <w:r>
              <w:t>2048</w:t>
            </w:r>
          </w:p>
        </w:tc>
        <w:tc>
          <w:tcPr>
            <w:tcW w:type="dxa" w:w="1814"/>
          </w:tcPr>
          <w:p>
            <w:r>
              <w:t>2048</w:t>
            </w:r>
          </w:p>
        </w:tc>
      </w:tr>
      <w:tr>
        <w:tc>
          <w:tcPr>
            <w:tcW w:type="dxa" w:w="1814"/>
          </w:tcPr>
          <w:p>
            <w:r>
              <w:t>Attention</w:t>
            </w:r>
          </w:p>
        </w:tc>
        <w:tc>
          <w:tcPr>
            <w:tcW w:type="dxa" w:w="1814"/>
          </w:tcPr>
          <w:p>
            <w:r>
              <w:t>GQA 32q/8kv, head_dim 64</w:t>
            </w:r>
          </w:p>
        </w:tc>
        <w:tc>
          <w:tcPr>
            <w:tcW w:type="dxa" w:w="1814"/>
          </w:tcPr>
          <w:p>
            <w:r>
              <w:t>GQA 12q/2kv, head_dim 128</w:t>
            </w:r>
          </w:p>
        </w:tc>
        <w:tc>
          <w:tcPr>
            <w:tcW w:type="dxa" w:w="1814"/>
          </w:tcPr>
          <w:p>
            <w:r>
              <w:t>GQA 32q/8kv, head_dim 64</w:t>
            </w:r>
          </w:p>
        </w:tc>
        <w:tc>
          <w:tcPr>
            <w:tcW w:type="dxa" w:w="1814"/>
          </w:tcPr>
          <w:p>
            <w:r>
              <w:t>GQA 16q/2kv, head_dim 128</w:t>
            </w:r>
          </w:p>
        </w:tc>
      </w:tr>
      <w:tr>
        <w:tc>
          <w:tcPr>
            <w:tcW w:type="dxa" w:w="1814"/>
          </w:tcPr>
          <w:p>
            <w:r>
              <w:t>Wv output width (n_kv × head_dim)</w:t>
            </w:r>
          </w:p>
        </w:tc>
        <w:tc>
          <w:tcPr>
            <w:tcW w:type="dxa" w:w="1814"/>
          </w:tcPr>
          <w:p>
            <w:r>
              <w:t>512</w:t>
            </w:r>
          </w:p>
        </w:tc>
        <w:tc>
          <w:tcPr>
            <w:tcW w:type="dxa" w:w="1814"/>
          </w:tcPr>
          <w:p>
            <w:r>
              <w:t>256</w:t>
            </w:r>
          </w:p>
        </w:tc>
        <w:tc>
          <w:tcPr>
            <w:tcW w:type="dxa" w:w="1814"/>
          </w:tcPr>
          <w:p>
            <w:r>
              <w:t>512</w:t>
            </w:r>
          </w:p>
        </w:tc>
        <w:tc>
          <w:tcPr>
            <w:tcW w:type="dxa" w:w="1814"/>
          </w:tcPr>
          <w:p>
            <w:r>
              <w:t>256</w:t>
            </w:r>
          </w:p>
        </w:tc>
      </w:tr>
      <w:tr>
        <w:tc>
          <w:tcPr>
            <w:tcW w:type="dxa" w:w="1814"/>
          </w:tcPr>
          <w:p>
            <w:r>
              <w:t>Vocabulary</w:t>
            </w:r>
          </w:p>
        </w:tc>
        <w:tc>
          <w:tcPr>
            <w:tcW w:type="dxa" w:w="1814"/>
          </w:tcPr>
          <w:p>
            <w:r>
              <w:t>128,256</w:t>
            </w:r>
          </w:p>
        </w:tc>
        <w:tc>
          <w:tcPr>
            <w:tcW w:type="dxa" w:w="1814"/>
          </w:tcPr>
          <w:p>
            <w:r>
              <w:t>151,936</w:t>
            </w:r>
          </w:p>
        </w:tc>
        <w:tc>
          <w:tcPr>
            <w:tcW w:type="dxa" w:w="1814"/>
          </w:tcPr>
          <w:p>
            <w:r>
              <w:t>49,152</w:t>
            </w:r>
          </w:p>
        </w:tc>
        <w:tc>
          <w:tcPr>
            <w:tcW w:type="dxa" w:w="1814"/>
          </w:tcPr>
          <w:p>
            <w:r>
              <w:t>151,936</w:t>
            </w:r>
          </w:p>
        </w:tc>
      </w:tr>
      <w:tr>
        <w:tc>
          <w:tcPr>
            <w:tcW w:type="dxa" w:w="1814"/>
          </w:tcPr>
          <w:p>
            <w:r>
              <w:t>Tied embeddings</w:t>
            </w:r>
          </w:p>
        </w:tc>
        <w:tc>
          <w:tcPr>
            <w:tcW w:type="dxa" w:w="1814"/>
          </w:tcPr>
          <w:p>
            <w:r>
              <w:t>yes</w:t>
            </w:r>
          </w:p>
        </w:tc>
        <w:tc>
          <w:tcPr>
            <w:tcW w:type="dxa" w:w="1814"/>
          </w:tcPr>
          <w:p>
            <w:r>
              <w:t>yes</w:t>
            </w:r>
          </w:p>
        </w:tc>
        <w:tc>
          <w:tcPr>
            <w:tcW w:type="dxa" w:w="1814"/>
          </w:tcPr>
          <w:p>
            <w:r>
              <w:t>yes</w:t>
            </w:r>
          </w:p>
        </w:tc>
        <w:tc>
          <w:tcPr>
            <w:tcW w:type="dxa" w:w="1814"/>
          </w:tcPr>
          <w:p>
            <w:r>
              <w:t>yes</w:t>
            </w:r>
          </w:p>
        </w:tc>
      </w:tr>
      <w:tr>
        <w:tc>
          <w:tcPr>
            <w:tcW w:type="dxa" w:w="1814"/>
          </w:tcPr>
          <w:p>
            <w:r>
              <w:t>Context window</w:t>
            </w:r>
          </w:p>
        </w:tc>
        <w:tc>
          <w:tcPr>
            <w:tcW w:type="dxa" w:w="1814"/>
          </w:tcPr>
          <w:p>
            <w:r>
              <w:t>131,072</w:t>
            </w:r>
          </w:p>
        </w:tc>
        <w:tc>
          <w:tcPr>
            <w:tcW w:type="dxa" w:w="1814"/>
          </w:tcPr>
          <w:p>
            <w:r>
              <w:t>32,768</w:t>
            </w:r>
          </w:p>
        </w:tc>
        <w:tc>
          <w:tcPr>
            <w:tcW w:type="dxa" w:w="1814"/>
          </w:tcPr>
          <w:p>
            <w:r>
              <w:t>131,072</w:t>
            </w:r>
          </w:p>
        </w:tc>
        <w:tc>
          <w:tcPr>
            <w:tcW w:type="dxa" w:w="1814"/>
          </w:tcPr>
          <w:p>
            <w:r>
              <w:t>32,768</w:t>
            </w:r>
          </w:p>
        </w:tc>
      </w:tr>
      <w:tr>
        <w:tc>
          <w:tcPr>
            <w:tcW w:type="dxa" w:w="1814"/>
          </w:tcPr>
          <w:p>
            <w:r>
              <w:t>License</w:t>
            </w:r>
          </w:p>
        </w:tc>
        <w:tc>
          <w:tcPr>
            <w:tcW w:type="dxa" w:w="1814"/>
          </w:tcPr>
          <w:p>
            <w:r>
              <w:t>Llama 3.2 Community</w:t>
            </w:r>
          </w:p>
        </w:tc>
        <w:tc>
          <w:tcPr>
            <w:tcW w:type="dxa" w:w="1814"/>
          </w:tcPr>
          <w:p>
            <w:r>
              <w:t>Apache 2.0</w:t>
            </w:r>
          </w:p>
        </w:tc>
        <w:tc>
          <w:tcPr>
            <w:tcW w:type="dxa" w:w="1814"/>
          </w:tcPr>
          <w:p>
            <w:r>
              <w:t>Apache 2.0</w:t>
            </w:r>
          </w:p>
        </w:tc>
        <w:tc>
          <w:tcPr>
            <w:tcW w:type="dxa" w:w="1814"/>
          </w:tcPr>
          <w:p>
            <w:r>
              <w:t>Apache 2.0</w:t>
            </w:r>
          </w:p>
        </w:tc>
      </w:tr>
    </w:tbl>
    <w:p/>
    <w:p>
      <w:r>
        <w:rPr>
          <w:b w:val="0"/>
          <w:i w:val="0"/>
        </w:rPr>
        <w:t>Three of the four models share d_model = 2048 (only Qwen2.5-1.5B differs at 1536). This makes the rank-as-fraction-of-hidden-dimension analysis (RQ2, following Lun &amp; Ming's convention) unusually clean: the r/d ratio is computed against an identical width for three of the four models.</w:t>
      </w:r>
    </w:p>
    <w:p>
      <w:pPr>
        <w:pStyle w:val="Heading2"/>
      </w:pPr>
      <w:r>
        <w:t>1.4 Size × family analysis structure</w:t>
      </w:r>
    </w:p>
    <w:p>
      <w:r>
        <w:rPr>
          <w:b w:val="0"/>
          <w:i w:val="0"/>
        </w:rPr>
        <w:t>The four-model set supports two complementary kinds of contrast, which will be reported separately throughout:</w:t>
      </w:r>
    </w:p>
    <w:p>
      <w:pPr>
        <w:pStyle w:val="ListBullet"/>
      </w:pPr>
      <w:r>
        <w:t>Within-family size contrast (primary evidence for the scale-trend claims, RQ2/RQ4): Qwen2.5-1.5B vs Qwen2.5-3B — a 2.0× size increase with family, tokenizer, and training recipe held fixed.</w:t>
      </w:r>
    </w:p>
    <w:p>
      <w:pPr>
        <w:pStyle w:val="ListBullet"/>
      </w:pPr>
      <w:r>
        <w:t>Cross-family contrasts at near-matched size: Llama-3.2-1B (1.24B) vs Qwen2.5-1.5B (1.54B) at the small end; Granite-3.3-2B (2.53B) vs Qwen2.5-3B (3.09B) at the large end. These quantify how much of any observed difference is family rather than size.</w:t>
      </w:r>
    </w:p>
    <w:p>
      <w:pPr>
        <w:pStyle w:val="ListBullet"/>
      </w:pPr>
      <w:r>
        <w:t>Full-band span: 1.24B → 3.09B (2.5×), over which the drift of the feasible rank window is assessed.</w:t>
      </w:r>
    </w:p>
    <w:p>
      <w:pPr>
        <w:pStyle w:val="Heading2"/>
      </w:pPr>
      <w:r>
        <w:t>1.5 Checkpoints and parameter-counting conventions</w:t>
      </w:r>
    </w:p>
    <w:p>
      <w:pPr>
        <w:pStyle w:val="ListBullet"/>
      </w:pPr>
      <w:r>
        <w:t>Base checkpoints only: meta-llama/Llama-3.2-1B, Qwen/Qwen2.5-1.5B, ibm-granite/granite-3.3-2b-base, Qwen/Qwen2.5-3B. Instruct or reasoning-hybrid variants are excluded: their chat/reasoning templates contaminate classification fine-tuning.</w:t>
      </w:r>
    </w:p>
    <w:p>
      <w:pPr>
        <w:pStyle w:val="ListBullet"/>
      </w:pPr>
      <w:r>
        <w:t>Each checkpoint is pinned to an exact Hugging Face revision (commit hash) recorded in the experiment configuration, so that all 132 runs use bit-identical starting weights.</w:t>
      </w:r>
    </w:p>
    <w:p>
      <w:pPr>
        <w:pStyle w:val="ListBullet"/>
      </w:pPr>
      <w:r>
        <w:t>Results tables report both total and non-embedding parameter counts. Counting conventions differ across vendors (e.g., tied embeddings counted once vs. input and output embeddings counted separately), so the convention used here is the total parameter count of the released checkpoint, stated explicitly wherever size is referenced.</w:t>
      </w:r>
    </w:p>
    <w:p>
      <w:pPr>
        <w:pStyle w:val="Heading1"/>
      </w:pPr>
      <w:r>
        <w:t>2. Experimental Variables and Controls</w:t>
      </w:r>
    </w:p>
    <w:p>
      <w:pPr>
        <w:pStyle w:val="Heading2"/>
      </w:pPr>
      <w:r>
        <w:t>2.1 Independent variable</w:t>
      </w:r>
    </w:p>
    <w:p>
      <w:r>
        <w:rPr>
          <w:b w:val="0"/>
          <w:i w:val="0"/>
        </w:rPr>
        <w:t>The independent variable is the LoRA rank r ∈ {4, 8, 16, 32, 64}, applied to the query and value projection matrices (q_proj, v_proj) of every decoder layer, following Hu et al. (2021) and the proposal's Step 2. The sweep is performed within each model: for a given model, all five ranks train under identical optimizer settings, identical data, identical task order, and identical seeds. Rank therefore remains the only manipulated variable within each model, and the per-model rank-forgetting curve is an internally valid comparison.</w:t>
      </w:r>
    </w:p>
    <w:p>
      <w:pPr>
        <w:pStyle w:val="Heading2"/>
      </w:pPr>
      <w:r>
        <w:t>2.2 The per-model learning-rate rule (both tracks)</w:t>
      </w:r>
    </w:p>
    <w:p>
      <w:r>
        <w:rPr>
          <w:b w:val="0"/>
          <w:i w:val="0"/>
        </w:rPr>
        <w:t>The proposal originally fixed the learning rate at 2e-4 for all ranks and all model sizes. Evaluation raised the concern that a single learning rate cannot be equally appropriate for models of different sizes, weakening the claim that rank is the only variable influencing learning. This methodology replaces the single constant with a pre-registered per-model rule, stated before any experimental result is observed:</w:t>
      </w:r>
    </w:p>
    <w:p>
      <w:r>
        <w:rPr>
          <w:b/>
          <w:i w:val="0"/>
        </w:rPr>
        <w:t>LR_LoRA(m) = 2e-4 × (1.24B / N_m)^(1/3),     LR_full(m) = LR_LoRA(m) / 10</w:t>
      </w:r>
    </w:p>
    <w:p>
      <w:r>
        <w:rPr>
          <w:b w:val="0"/>
          <w:i w:val="0"/>
        </w:rPr>
        <w:t>where N_m is the total parameter count of model m. The exponent −1/3 and the anchor are taken from the empirical size–learning-rate schedule of GPT-3 (Brown et al., 2020, Table 2.1), and the ÷10 relation between the full fine-tuning and LoRA learning rates is the relation reported by Biderman et al. (2024, §4.7).</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b/>
              </w:rPr>
              <w:t>Model</w:t>
            </w:r>
          </w:p>
        </w:tc>
        <w:tc>
          <w:tcPr>
            <w:tcW w:type="dxa" w:w="2268"/>
          </w:tcPr>
          <w:p>
            <w:r/>
            <w:r>
              <w:rPr>
                <w:b/>
              </w:rPr>
              <w:t>N (total)</w:t>
            </w:r>
          </w:p>
        </w:tc>
        <w:tc>
          <w:tcPr>
            <w:tcW w:type="dxa" w:w="2268"/>
          </w:tcPr>
          <w:p>
            <w:r/>
            <w:r>
              <w:rPr>
                <w:b/>
              </w:rPr>
              <w:t>Track A: LoRA LR</w:t>
            </w:r>
          </w:p>
        </w:tc>
        <w:tc>
          <w:tcPr>
            <w:tcW w:type="dxa" w:w="2268"/>
          </w:tcPr>
          <w:p>
            <w:r/>
            <w:r>
              <w:rPr>
                <w:b/>
              </w:rPr>
              <w:t>Track B: Full-FT LR</w:t>
            </w:r>
          </w:p>
        </w:tc>
      </w:tr>
      <w:tr>
        <w:tc>
          <w:tcPr>
            <w:tcW w:type="dxa" w:w="2268"/>
          </w:tcPr>
          <w:p>
            <w:r>
              <w:t>Llama-3.2-1B</w:t>
            </w:r>
          </w:p>
        </w:tc>
        <w:tc>
          <w:tcPr>
            <w:tcW w:type="dxa" w:w="2268"/>
          </w:tcPr>
          <w:p>
            <w:r>
              <w:t>1.24B</w:t>
            </w:r>
          </w:p>
        </w:tc>
        <w:tc>
          <w:tcPr>
            <w:tcW w:type="dxa" w:w="2268"/>
          </w:tcPr>
          <w:p>
            <w:r>
              <w:t>2.00e-4</w:t>
            </w:r>
          </w:p>
        </w:tc>
        <w:tc>
          <w:tcPr>
            <w:tcW w:type="dxa" w:w="2268"/>
          </w:tcPr>
          <w:p>
            <w:r>
              <w:t>2.00e-5</w:t>
            </w:r>
          </w:p>
        </w:tc>
      </w:tr>
      <w:tr>
        <w:tc>
          <w:tcPr>
            <w:tcW w:type="dxa" w:w="2268"/>
          </w:tcPr>
          <w:p>
            <w:r>
              <w:t>Qwen2.5-1.5B</w:t>
            </w:r>
          </w:p>
        </w:tc>
        <w:tc>
          <w:tcPr>
            <w:tcW w:type="dxa" w:w="2268"/>
          </w:tcPr>
          <w:p>
            <w:r>
              <w:t>1.54B</w:t>
            </w:r>
          </w:p>
        </w:tc>
        <w:tc>
          <w:tcPr>
            <w:tcW w:type="dxa" w:w="2268"/>
          </w:tcPr>
          <w:p>
            <w:r>
              <w:t>1.85e-4</w:t>
            </w:r>
          </w:p>
        </w:tc>
        <w:tc>
          <w:tcPr>
            <w:tcW w:type="dxa" w:w="2268"/>
          </w:tcPr>
          <w:p>
            <w:r>
              <w:t>1.85e-5</w:t>
            </w:r>
          </w:p>
        </w:tc>
      </w:tr>
      <w:tr>
        <w:tc>
          <w:tcPr>
            <w:tcW w:type="dxa" w:w="2268"/>
          </w:tcPr>
          <w:p>
            <w:r>
              <w:t>Granite-3.3-2B</w:t>
            </w:r>
          </w:p>
        </w:tc>
        <w:tc>
          <w:tcPr>
            <w:tcW w:type="dxa" w:w="2268"/>
          </w:tcPr>
          <w:p>
            <w:r>
              <w:t>2.53B</w:t>
            </w:r>
          </w:p>
        </w:tc>
        <w:tc>
          <w:tcPr>
            <w:tcW w:type="dxa" w:w="2268"/>
          </w:tcPr>
          <w:p>
            <w:r>
              <w:t>1.60e-4</w:t>
            </w:r>
          </w:p>
        </w:tc>
        <w:tc>
          <w:tcPr>
            <w:tcW w:type="dxa" w:w="2268"/>
          </w:tcPr>
          <w:p>
            <w:r>
              <w:t>1.60e-5</w:t>
            </w:r>
          </w:p>
        </w:tc>
      </w:tr>
      <w:tr>
        <w:tc>
          <w:tcPr>
            <w:tcW w:type="dxa" w:w="2268"/>
          </w:tcPr>
          <w:p>
            <w:r>
              <w:t>Qwen2.5-3B</w:t>
            </w:r>
          </w:p>
        </w:tc>
        <w:tc>
          <w:tcPr>
            <w:tcW w:type="dxa" w:w="2268"/>
          </w:tcPr>
          <w:p>
            <w:r>
              <w:t>3.09B</w:t>
            </w:r>
          </w:p>
        </w:tc>
        <w:tc>
          <w:tcPr>
            <w:tcW w:type="dxa" w:w="2268"/>
          </w:tcPr>
          <w:p>
            <w:r>
              <w:t>1.50e-4</w:t>
            </w:r>
          </w:p>
        </w:tc>
        <w:tc>
          <w:tcPr>
            <w:tcW w:type="dxa" w:w="2268"/>
          </w:tcPr>
          <w:p>
            <w:r>
              <w:t>1.50e-5</w:t>
            </w:r>
          </w:p>
        </w:tc>
      </w:tr>
    </w:tbl>
    <w:p/>
    <w:p>
      <w:r>
        <w:rPr>
          <w:b w:val="0"/>
          <w:i w:val="0"/>
        </w:rPr>
        <w:t>Justification of the anchor and the exponent:</w:t>
      </w:r>
    </w:p>
    <w:p>
      <w:pPr>
        <w:pStyle w:val="ListBullet"/>
      </w:pPr>
      <w:r>
        <w:t>GPT-3 (Brown et al., 2020, Table 2.1) trained its 1.3B model at exactly 2.0e-4 and its 2.7B model at 1.6e-4 — the anchor sits exactly on the published schedule, and the published schedule brackets our four models between the 1.3B and 2.7B rows.</w:t>
      </w:r>
    </w:p>
    <w:p>
      <w:pPr>
        <w:pStyle w:val="ListBullet"/>
      </w:pPr>
      <w:r>
        <w:t>QLoRA (Dettmers et al., 2023, Appendix B.2, Table 9) used 2e-4 for both its 7B and 13B models — 2e-4 is the field-standard LoRA learning rate for this size class.</w:t>
      </w:r>
    </w:p>
    <w:p>
      <w:pPr>
        <w:pStyle w:val="ListBullet"/>
      </w:pPr>
      <w:r>
        <w:t>Biderman et al. (2024, §4.7 and Appendix B) found LoRA's best learning rate for Llama-2-7B on math instruction tuning to be 2e-4 (5e-4 for code), with the useful range spanning 5e-5 to 5e-4, and state that LoRA's learning rate should be set one order of magnitude above full fine-tuning's — the basis for the ÷10 rule in Track B.</w:t>
      </w:r>
    </w:p>
    <w:p>
      <w:pPr>
        <w:pStyle w:val="ListBullet"/>
      </w:pPr>
      <w:r>
        <w:t>Kaplan et al. (2020, Appendix D.6, Eq. D.1) provide the pre-training cross-check: LR(N) ≈ 0.003239 − 0.0001395·ln(N), which evaluates to ≈3.2e-4, 2.9e-4, 2.2e-4, and 1.9e-4 for the four models. The adopted rule is deliberately 20–40% more conservative than this pre-training rule, because the endpoint of this study is forgetting: Shuttleworth et al. (2025, Fig. 7 and Appendix A.4) show that larger learning rates produce more intruder dimensions and more forgetting (Spearman ρ = 0.971 between intruder count and forgetting), so an aggressively tuned 'highest stable learning rate' (the criterion recommended by Biderman et al. for learning-focused use) would bias the study toward maximal forgetting artifacts.</w:t>
      </w:r>
    </w:p>
    <w:p>
      <w:r>
        <w:rPr>
          <w:b w:val="0"/>
          <w:i w:val="0"/>
        </w:rPr>
        <w:t>Cross-model learning-rate differences introduced by the rule are documented, applied identically to all five ranks within a model, and verified empirically by the sanity protocol of Section 11. This directly addresses the evaluator's concern: learning rate is no longer an unexamined constant but a pre-registered, literature-anchored function of model size, while rank remains the only manipulated variable within each model.</w:t>
      </w:r>
    </w:p>
    <w:p>
      <w:pPr>
        <w:pStyle w:val="Heading2"/>
      </w:pPr>
      <w:r>
        <w:t>2.3 Why this preserves the controlled design (effective learning-rate analysis)</w:t>
      </w:r>
    </w:p>
    <w:p>
      <w:r>
        <w:rPr>
          <w:b w:val="0"/>
          <w:i w:val="0"/>
        </w:rPr>
        <w:t>With the LoRA update ΔW = (α/r)·B·A and α = 2r, the scaling factor α/r equals 2 at every rank. The optimizer step applied to the adapter parameters A and B carries the factor η·(α/r) = 2η, which is identical for r = 4 and r = 64. Under the adopted protocol, changing rank therefore changes the number of trainable directions (capacity) but not the per-parameter optimizer step size — the property required for a fair rank ablation, and the reason α = 2r is the documented best practice (Biderman et al., 2024, §4.7; Shuttleworth et al., 2025, who show α = 2r yields fewer intruder dimensions and better generalization than a fixed α).</w:t>
      </w:r>
    </w:p>
    <w:p>
      <w:r>
        <w:rPr>
          <w:b w:val="0"/>
          <w:i w:val="0"/>
        </w:rPr>
        <w:t>Two honesty notes are recorded as part of the pre-registration:</w:t>
      </w:r>
    </w:p>
    <w:p>
      <w:pPr>
        <w:pStyle w:val="ListBullet"/>
      </w:pPr>
      <w:r>
        <w:t>Under the field-standard protocol (α = 2r, fixed η), the magnitude of the induced weight update grows with rank (to first order the update scales with r/d under PEFT's default initialization). This bundling of capacity and update magnitude is inherent to what 'rank' means operationally in the rank-ablation literature — Biderman et al. (2024) and Shuttleworth et al. (2025) both ablate rank under exactly this convention — and is therefore part of the studied variable, not a hidden confound.</w:t>
      </w:r>
    </w:p>
    <w:p>
      <w:pPr>
        <w:pStyle w:val="ListBullet"/>
      </w:pPr>
      <w:r>
        <w:t>A stricter alternative exists — pinning the product α·η while sweeping rank (Shuttleworth et al., 2025, Appendix B.3) — but with α = 2r this forces η ∝ 1/r, making the optimizer step size co-vary with capacity. That trade is rejected here because it would re-introduce a step-size/capacity confound; it is listed as a robustness option in future work.</w:t>
      </w:r>
    </w:p>
    <w:p>
      <w:r>
        <w:rPr>
          <w:b w:val="0"/>
          <w:i w:val="0"/>
        </w:rPr>
        <w:t>Within a model, η is constant across ranks and across seeds; across models, η differs only by the pre-registered rule of Section 2.2. The full fine-tuning track uses the same rule scaled by 1/10, so both tracks are size-consistent.</w:t>
      </w:r>
    </w:p>
    <w:p>
      <w:pPr>
        <w:pStyle w:val="Heading2"/>
      </w:pPr>
      <w:r>
        <w:t>2.4 Controlled constants</w:t>
      </w:r>
    </w:p>
    <w:tbl>
      <w:tblPr>
        <w:tblStyle w:val="TableGrid"/>
        <w:tblW w:type="auto" w:w="0"/>
        <w:tblLook w:firstColumn="1" w:firstRow="1" w:lastColumn="0" w:lastRow="0" w:noHBand="0" w:noVBand="1" w:val="04A0"/>
      </w:tblPr>
      <w:tblGrid>
        <w:gridCol w:w="4536"/>
        <w:gridCol w:w="4536"/>
      </w:tblGrid>
      <w:tr>
        <w:tc>
          <w:tcPr>
            <w:tcW w:type="dxa" w:w="4536"/>
          </w:tcPr>
          <w:p>
            <w:r/>
            <w:r>
              <w:rPr>
                <w:b/>
              </w:rPr>
              <w:t>Constant</w:t>
            </w:r>
          </w:p>
        </w:tc>
        <w:tc>
          <w:tcPr>
            <w:tcW w:type="dxa" w:w="4536"/>
          </w:tcPr>
          <w:p>
            <w:r/>
            <w:r>
              <w:rPr>
                <w:b/>
              </w:rPr>
              <w:t>Value (identical for all runs unless stated)</w:t>
            </w:r>
          </w:p>
        </w:tc>
      </w:tr>
      <w:tr>
        <w:tc>
          <w:tcPr>
            <w:tcW w:type="dxa" w:w="4536"/>
          </w:tcPr>
          <w:p>
            <w:r>
              <w:t>Batch size (train)</w:t>
            </w:r>
          </w:p>
        </w:tc>
        <w:tc>
          <w:tcPr>
            <w:tcW w:type="dxa" w:w="4536"/>
          </w:tcPr>
          <w:p>
            <w:r>
              <w:t>16 (Track B: micro-batch 8 × accumulation 2 = effective 16)</w:t>
            </w:r>
          </w:p>
        </w:tc>
      </w:tr>
      <w:tr>
        <w:tc>
          <w:tcPr>
            <w:tcW w:type="dxa" w:w="4536"/>
          </w:tcPr>
          <w:p>
            <w:r>
              <w:t>Epochs per task</w:t>
            </w:r>
          </w:p>
        </w:tc>
        <w:tc>
          <w:tcPr>
            <w:tcW w:type="dxa" w:w="4536"/>
          </w:tcPr>
          <w:p>
            <w:r>
              <w:t>3 (≈156 steps/epoch at batch 16 → 468 steps per task)</w:t>
            </w:r>
          </w:p>
        </w:tc>
      </w:tr>
      <w:tr>
        <w:tc>
          <w:tcPr>
            <w:tcW w:type="dxa" w:w="4536"/>
          </w:tcPr>
          <w:p>
            <w:r>
              <w:t>Optimizer</w:t>
            </w:r>
          </w:p>
        </w:tc>
        <w:tc>
          <w:tcPr>
            <w:tcW w:type="dxa" w:w="4536"/>
          </w:tcPr>
          <w:p>
            <w:r>
              <w:t>AdamW, β = (0.9, 0.999), ε = 1e-8 (Track B: 8-bit AdamW, Section 4.2)</w:t>
            </w:r>
          </w:p>
        </w:tc>
      </w:tr>
      <w:tr>
        <w:tc>
          <w:tcPr>
            <w:tcW w:type="dxa" w:w="4536"/>
          </w:tcPr>
          <w:p>
            <w:r>
              <w:t>Weight decay</w:t>
            </w:r>
          </w:p>
        </w:tc>
        <w:tc>
          <w:tcPr>
            <w:tcW w:type="dxa" w:w="4536"/>
          </w:tcPr>
          <w:p>
            <w:r>
              <w:t>0.0</w:t>
            </w:r>
          </w:p>
        </w:tc>
      </w:tr>
      <w:tr>
        <w:tc>
          <w:tcPr>
            <w:tcW w:type="dxa" w:w="4536"/>
          </w:tcPr>
          <w:p>
            <w:r>
              <w:t>Gradient clipping</w:t>
            </w:r>
          </w:p>
        </w:tc>
        <w:tc>
          <w:tcPr>
            <w:tcW w:type="dxa" w:w="4536"/>
          </w:tcPr>
          <w:p>
            <w:r>
              <w:t>max_grad_norm = 1.0</w:t>
            </w:r>
          </w:p>
        </w:tc>
      </w:tr>
      <w:tr>
        <w:tc>
          <w:tcPr>
            <w:tcW w:type="dxa" w:w="4536"/>
          </w:tcPr>
          <w:p>
            <w:r>
              <w:t>LR schedule</w:t>
            </w:r>
          </w:p>
        </w:tc>
        <w:tc>
          <w:tcPr>
            <w:tcW w:type="dxa" w:w="4536"/>
          </w:tcPr>
          <w:p>
            <w:r>
              <w:t>3% linear warmup, then cosine decay to 0 within each task</w:t>
            </w:r>
          </w:p>
        </w:tc>
      </w:tr>
      <w:tr>
        <w:tc>
          <w:tcPr>
            <w:tcW w:type="dxa" w:w="4536"/>
          </w:tcPr>
          <w:p>
            <w:r>
              <w:t>Task order</w:t>
            </w:r>
          </w:p>
        </w:tc>
        <w:tc>
          <w:tcPr>
            <w:tcW w:type="dxa" w:w="4536"/>
          </w:tcPr>
          <w:p>
            <w:r>
              <w:t>RTE → MNLI Matched → SST-2 (fixed)</w:t>
            </w:r>
          </w:p>
        </w:tc>
      </w:tr>
      <w:tr>
        <w:tc>
          <w:tcPr>
            <w:tcW w:type="dxa" w:w="4536"/>
          </w:tcPr>
          <w:p>
            <w:r>
              <w:t>Training data</w:t>
            </w:r>
          </w:p>
        </w:tc>
        <w:tc>
          <w:tcPr>
            <w:tcW w:type="dxa" w:w="4536"/>
          </w:tcPr>
          <w:p>
            <w:r>
              <w:t>2,490 samples per task, selected once with seed 42 and shared by every run</w:t>
            </w:r>
          </w:p>
        </w:tc>
      </w:tr>
      <w:tr>
        <w:tc>
          <w:tcPr>
            <w:tcW w:type="dxa" w:w="4536"/>
          </w:tcPr>
          <w:p>
            <w:r>
              <w:t>Max sequence length</w:t>
            </w:r>
          </w:p>
        </w:tc>
        <w:tc>
          <w:tcPr>
            <w:tcW w:type="dxa" w:w="4536"/>
          </w:tcPr>
          <w:p>
            <w:r>
              <w:t>256 tokens, right truncation, dynamic padding (right)</w:t>
            </w:r>
          </w:p>
        </w:tc>
      </w:tr>
      <w:tr>
        <w:tc>
          <w:tcPr>
            <w:tcW w:type="dxa" w:w="4536"/>
          </w:tcPr>
          <w:p>
            <w:r>
              <w:t>Precision</w:t>
            </w:r>
          </w:p>
        </w:tc>
        <w:tc>
          <w:tcPr>
            <w:tcW w:type="dxa" w:w="4536"/>
          </w:tcPr>
          <w:p>
            <w:r>
              <w:t>bf16 compute everywhere; no quantization anywhere (Section 9.3)</w:t>
            </w:r>
          </w:p>
        </w:tc>
      </w:tr>
      <w:tr>
        <w:tc>
          <w:tcPr>
            <w:tcW w:type="dxa" w:w="4536"/>
          </w:tcPr>
          <w:p>
            <w:r>
              <w:t>Dropout</w:t>
            </w:r>
          </w:p>
        </w:tc>
        <w:tc>
          <w:tcPr>
            <w:tcW w:type="dxa" w:w="4536"/>
          </w:tcPr>
          <w:p>
            <w:r>
              <w:t>0.0 everywhere (LoRA dropout, attention dropout, residual dropout)</w:t>
            </w:r>
          </w:p>
        </w:tc>
      </w:tr>
      <w:tr>
        <w:tc>
          <w:tcPr>
            <w:tcW w:type="dxa" w:w="4536"/>
          </w:tcPr>
          <w:p>
            <w:r>
              <w:t>Attention implementation</w:t>
            </w:r>
          </w:p>
        </w:tc>
        <w:tc>
          <w:tcPr>
            <w:tcW w:type="dxa" w:w="4536"/>
          </w:tcPr>
          <w:p>
            <w:r>
              <w:t>torch SDPA for all models (no FlashAttention-2)</w:t>
            </w:r>
          </w:p>
        </w:tc>
      </w:tr>
      <w:tr>
        <w:tc>
          <w:tcPr>
            <w:tcW w:type="dxa" w:w="4536"/>
          </w:tcPr>
          <w:p>
            <w:r>
              <w:t>Seeds</w:t>
            </w:r>
          </w:p>
        </w:tc>
        <w:tc>
          <w:tcPr>
            <w:tcW w:type="dxa" w:w="4536"/>
          </w:tcPr>
          <w:p>
            <w:r>
              <w:t>42, 123, 456, 789, 1024</w:t>
            </w:r>
          </w:p>
        </w:tc>
      </w:tr>
    </w:tbl>
    <w:p/>
    <w:p>
      <w:pPr>
        <w:pStyle w:val="Heading1"/>
      </w:pPr>
      <w:r>
        <w:t>3. Track A — LoRA Fine-Tuning (Primary)</w:t>
      </w:r>
    </w:p>
    <w:p>
      <w:pPr>
        <w:pStyle w:val="Heading2"/>
      </w:pPr>
      <w:r>
        <w:t>3.1 Adapter configuration</w:t>
      </w:r>
    </w:p>
    <w:p>
      <w:pPr>
        <w:pStyle w:val="ListBullet"/>
      </w:pPr>
      <w:r>
        <w:t>Target modules: q_proj and v_proj of every decoder layer (Hu et al., 2021; proposal Step 2). Embeddings and lm_head are never adapted; all four checkpoints tie their embeddings, and PEFT excludes tied output embeddings automatically.</w:t>
      </w:r>
    </w:p>
    <w:p>
      <w:pPr>
        <w:pStyle w:val="ListBullet"/>
      </w:pPr>
      <w:r>
        <w:t>Ranks: r ∈ {4, 8, 16, 32, 64}; scaling α = 2r at every rank (Section 2.3).</w:t>
      </w:r>
    </w:p>
    <w:p>
      <w:pPr>
        <w:pStyle w:val="ListBullet"/>
      </w:pPr>
      <w:r>
        <w:t>lora_dropout = 0.0 and lora_bias = False, so that no regularization or bias term differentiates ranks.</w:t>
      </w:r>
    </w:p>
    <w:p>
      <w:pPr>
        <w:pStyle w:val="ListBullet"/>
      </w:pPr>
      <w:r>
        <w:t>Initialization: PEFT defaults — A drawn from a fan-in Kaiming uniform, B initialized to zero — using the run's seed. The B = 0 init guarantees each run starts exactly at the frozen backbone.</w:t>
      </w:r>
    </w:p>
    <w:p>
      <w:pPr>
        <w:pStyle w:val="ListBullet"/>
      </w:pPr>
      <w:r>
        <w:t>Adapter parameters are stored and optimized in fp32 while compute runs in bf16 (a standard mixed-precision stability practice). The backbone is fully frozen (requires_grad = False).</w:t>
      </w:r>
    </w:p>
    <w:p>
      <w:pPr>
        <w:pStyle w:val="ListBullet"/>
      </w:pPr>
      <w:r>
        <w:t>No weight merging during the sequence: the adapter persists and continues training across the three tasks (Section 3.3).</w:t>
      </w:r>
    </w:p>
    <w:p>
      <w:pPr>
        <w:pStyle w:val="Heading2"/>
      </w:pPr>
      <w:r>
        <w:t>3.2 Trainable-parameter budget per configuration</w:t>
      </w:r>
    </w:p>
    <w:p>
      <w:r>
        <w:rPr>
          <w:b w:val="0"/>
          <w:i w:val="0"/>
        </w:rPr>
        <w:t>At fixed r, the total number of trainable adapter parameters scales with layer count because each layer contributes one (q, v) adapter pair. The budget must be reported alongside rank, because 'rank' controls per-matrix expressivity while the derived total budget co-varies with model depth (16 / 28 / 40 / 36 layers). Full FT, by contrast, trains every parameter (0.97B–2.77B non-embedding plus heads); the two tracks therefore probe opposite ends of the capacity spectrum, and the rank sweep interpolates between them in per-matrix expressivity.</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
              <w:rPr>
                <w:b/>
              </w:rPr>
              <w:t>Model (layers)</w:t>
            </w:r>
          </w:p>
        </w:tc>
        <w:tc>
          <w:tcPr>
            <w:tcW w:type="dxa" w:w="1512"/>
          </w:tcPr>
          <w:p>
            <w:r/>
            <w:r>
              <w:rPr>
                <w:b/>
              </w:rPr>
              <w:t>r = 4</w:t>
            </w:r>
          </w:p>
        </w:tc>
        <w:tc>
          <w:tcPr>
            <w:tcW w:type="dxa" w:w="1512"/>
          </w:tcPr>
          <w:p>
            <w:r/>
            <w:r>
              <w:rPr>
                <w:b/>
              </w:rPr>
              <w:t>r = 8</w:t>
            </w:r>
          </w:p>
        </w:tc>
        <w:tc>
          <w:tcPr>
            <w:tcW w:type="dxa" w:w="1512"/>
          </w:tcPr>
          <w:p>
            <w:r/>
            <w:r>
              <w:rPr>
                <w:b/>
              </w:rPr>
              <w:t>r = 16</w:t>
            </w:r>
          </w:p>
        </w:tc>
        <w:tc>
          <w:tcPr>
            <w:tcW w:type="dxa" w:w="1512"/>
          </w:tcPr>
          <w:p>
            <w:r/>
            <w:r>
              <w:rPr>
                <w:b/>
              </w:rPr>
              <w:t>r = 32</w:t>
            </w:r>
          </w:p>
        </w:tc>
        <w:tc>
          <w:tcPr>
            <w:tcW w:type="dxa" w:w="1512"/>
          </w:tcPr>
          <w:p>
            <w:r/>
            <w:r>
              <w:rPr>
                <w:b/>
              </w:rPr>
              <w:t>r = 64</w:t>
            </w:r>
          </w:p>
        </w:tc>
      </w:tr>
      <w:tr>
        <w:tc>
          <w:tcPr>
            <w:tcW w:type="dxa" w:w="1512"/>
          </w:tcPr>
          <w:p>
            <w:r>
              <w:t>Llama-3.2-1B (16)</w:t>
            </w:r>
          </w:p>
        </w:tc>
        <w:tc>
          <w:tcPr>
            <w:tcW w:type="dxa" w:w="1512"/>
          </w:tcPr>
          <w:p>
            <w:r>
              <w:t>0.43M</w:t>
            </w:r>
          </w:p>
        </w:tc>
        <w:tc>
          <w:tcPr>
            <w:tcW w:type="dxa" w:w="1512"/>
          </w:tcPr>
          <w:p>
            <w:r>
              <w:t>0.85M</w:t>
            </w:r>
          </w:p>
        </w:tc>
        <w:tc>
          <w:tcPr>
            <w:tcW w:type="dxa" w:w="1512"/>
          </w:tcPr>
          <w:p>
            <w:r>
              <w:t>1.70M</w:t>
            </w:r>
          </w:p>
        </w:tc>
        <w:tc>
          <w:tcPr>
            <w:tcW w:type="dxa" w:w="1512"/>
          </w:tcPr>
          <w:p>
            <w:r>
              <w:t>3.41M</w:t>
            </w:r>
          </w:p>
        </w:tc>
        <w:tc>
          <w:tcPr>
            <w:tcW w:type="dxa" w:w="1512"/>
          </w:tcPr>
          <w:p>
            <w:r>
              <w:t>6.82M</w:t>
            </w:r>
          </w:p>
        </w:tc>
      </w:tr>
      <w:tr>
        <w:tc>
          <w:tcPr>
            <w:tcW w:type="dxa" w:w="1512"/>
          </w:tcPr>
          <w:p>
            <w:r>
              <w:t>Qwen2.5-1.5B (28)</w:t>
            </w:r>
          </w:p>
        </w:tc>
        <w:tc>
          <w:tcPr>
            <w:tcW w:type="dxa" w:w="1512"/>
          </w:tcPr>
          <w:p>
            <w:r>
              <w:t>0.54M</w:t>
            </w:r>
          </w:p>
        </w:tc>
        <w:tc>
          <w:tcPr>
            <w:tcW w:type="dxa" w:w="1512"/>
          </w:tcPr>
          <w:p>
            <w:r>
              <w:t>1.09M</w:t>
            </w:r>
          </w:p>
        </w:tc>
        <w:tc>
          <w:tcPr>
            <w:tcW w:type="dxa" w:w="1512"/>
          </w:tcPr>
          <w:p>
            <w:r>
              <w:t>2.18M</w:t>
            </w:r>
          </w:p>
        </w:tc>
        <w:tc>
          <w:tcPr>
            <w:tcW w:type="dxa" w:w="1512"/>
          </w:tcPr>
          <w:p>
            <w:r>
              <w:t>4.36M</w:t>
            </w:r>
          </w:p>
        </w:tc>
        <w:tc>
          <w:tcPr>
            <w:tcW w:type="dxa" w:w="1512"/>
          </w:tcPr>
          <w:p>
            <w:r>
              <w:t>8.72M</w:t>
            </w:r>
          </w:p>
        </w:tc>
      </w:tr>
      <w:tr>
        <w:tc>
          <w:tcPr>
            <w:tcW w:type="dxa" w:w="1512"/>
          </w:tcPr>
          <w:p>
            <w:r>
              <w:t>Granite-3.3-2B (40)</w:t>
            </w:r>
          </w:p>
        </w:tc>
        <w:tc>
          <w:tcPr>
            <w:tcW w:type="dxa" w:w="1512"/>
          </w:tcPr>
          <w:p>
            <w:r>
              <w:t>1.06M</w:t>
            </w:r>
          </w:p>
        </w:tc>
        <w:tc>
          <w:tcPr>
            <w:tcW w:type="dxa" w:w="1512"/>
          </w:tcPr>
          <w:p>
            <w:r>
              <w:t>2.13M</w:t>
            </w:r>
          </w:p>
        </w:tc>
        <w:tc>
          <w:tcPr>
            <w:tcW w:type="dxa" w:w="1512"/>
          </w:tcPr>
          <w:p>
            <w:r>
              <w:t>4.26M</w:t>
            </w:r>
          </w:p>
        </w:tc>
        <w:tc>
          <w:tcPr>
            <w:tcW w:type="dxa" w:w="1512"/>
          </w:tcPr>
          <w:p>
            <w:r>
              <w:t>8.52M</w:t>
            </w:r>
          </w:p>
        </w:tc>
        <w:tc>
          <w:tcPr>
            <w:tcW w:type="dxa" w:w="1512"/>
          </w:tcPr>
          <w:p>
            <w:r>
              <w:t>17.04M</w:t>
            </w:r>
          </w:p>
        </w:tc>
      </w:tr>
      <w:tr>
        <w:tc>
          <w:tcPr>
            <w:tcW w:type="dxa" w:w="1512"/>
          </w:tcPr>
          <w:p>
            <w:r>
              <w:t>Qwen2.5-3B (36)</w:t>
            </w:r>
          </w:p>
        </w:tc>
        <w:tc>
          <w:tcPr>
            <w:tcW w:type="dxa" w:w="1512"/>
          </w:tcPr>
          <w:p>
            <w:r>
              <w:t>0.92M</w:t>
            </w:r>
          </w:p>
        </w:tc>
        <w:tc>
          <w:tcPr>
            <w:tcW w:type="dxa" w:w="1512"/>
          </w:tcPr>
          <w:p>
            <w:r>
              <w:t>1.84M</w:t>
            </w:r>
          </w:p>
        </w:tc>
        <w:tc>
          <w:tcPr>
            <w:tcW w:type="dxa" w:w="1512"/>
          </w:tcPr>
          <w:p>
            <w:r>
              <w:t>3.69M</w:t>
            </w:r>
          </w:p>
        </w:tc>
        <w:tc>
          <w:tcPr>
            <w:tcW w:type="dxa" w:w="1512"/>
          </w:tcPr>
          <w:p>
            <w:r>
              <w:t>7.37M</w:t>
            </w:r>
          </w:p>
        </w:tc>
        <w:tc>
          <w:tcPr>
            <w:tcW w:type="dxa" w:w="1512"/>
          </w:tcPr>
          <w:p>
            <w:r>
              <w:t>14.75M</w:t>
            </w:r>
          </w:p>
        </w:tc>
      </w:tr>
    </w:tbl>
    <w:p/>
    <w:p>
      <w:r>
        <w:rPr>
          <w:b w:val="0"/>
          <w:i w:val="0"/>
        </w:rPr>
        <w:t>Values are the q/v adapter parameters (A and B factors) summed over all layers; the per-task classification heads add only ≈4–5k parameters each and are listed separately in the results. Publishing this table pre-empts the follow-up question 'is the effect rank, or just more trainable parameters?' — the answer is that rank is the design variable, the budget is a derived quantity reported per configuration, and the depth-driven budget differences across models are explicitly acknowledged (Section 10).</w:t>
      </w:r>
    </w:p>
    <w:p>
      <w:pPr>
        <w:pStyle w:val="Heading2"/>
      </w:pPr>
      <w:r>
        <w:t>3.3 Sequential adaptation policy</w:t>
      </w:r>
    </w:p>
    <w:p>
      <w:r>
        <w:rPr>
          <w:b w:val="0"/>
          <w:i w:val="0"/>
        </w:rPr>
        <w:t>A single LoRA adapter per run is trained continuously across the three tasks (RTE → MNLI → SST-2); it is not merged into the backbone and not re-initialized between tasks. Rationale:</w:t>
      </w:r>
    </w:p>
    <w:p>
      <w:pPr>
        <w:pStyle w:val="ListBullet"/>
      </w:pPr>
      <w:r>
        <w:t>It isolates adapter-level plasticity and stability, which is the object of the study: the rank-forgetting association is measured inside the low-rank subspace of one adapter.</w:t>
      </w:r>
    </w:p>
    <w:p>
      <w:pPr>
        <w:pStyle w:val="ListBullet"/>
      </w:pPr>
      <w:r>
        <w:t>It matches the proposal's Step 5, which counts intruder dimensions per trained adapter.</w:t>
      </w:r>
    </w:p>
    <w:p>
      <w:pPr>
        <w:pStyle w:val="ListBullet"/>
      </w:pPr>
      <w:r>
        <w:t>It is the standard continual-learning configuration for PEFT.</w:t>
      </w:r>
    </w:p>
    <w:p>
      <w:r>
        <w:rPr>
          <w:b w:val="0"/>
          <w:i w:val="0"/>
        </w:rPr>
        <w:t>A merge-and-reinitialize variant — merging the adapter into the backbone and starting a fresh adapter at each task boundary, the continual-learning protocol of Shuttleworth et al. (2025) — is pre-registered as a robustness extension after the main sweep, not part of the primary 60 runs, because it changes the forgetting mechanism (intruder accumulation in backbone weights) rather than measuring rank's effect within one adapter.</w:t>
      </w:r>
    </w:p>
    <w:p>
      <w:pPr>
        <w:pStyle w:val="Heading2"/>
      </w:pPr>
      <w:r>
        <w:t>3.4 Classification heads</w:t>
      </w:r>
    </w:p>
    <w:p>
      <w:pPr>
        <w:pStyle w:val="ListBullet"/>
      </w:pPr>
      <w:r>
        <w:t>One linear classification head per task (d_model → n_labels), initialized from the run's seed and identical across the five ranks of a given seed (proposal Step 1).</w:t>
      </w:r>
    </w:p>
    <w:p>
      <w:pPr>
        <w:pStyle w:val="ListBullet"/>
      </w:pPr>
      <w:r>
        <w:t>During task i, only task i's head and the LoRA adapter receive gradients; previously trained heads are frozen. Evaluation of task j always uses task j's own frozen head on the current representation — the standard task-incremental protocol (de Lange et al., 2022).</w:t>
      </w:r>
    </w:p>
    <w:p>
      <w:pPr>
        <w:pStyle w:val="ListBullet"/>
      </w:pPr>
      <w:r>
        <w:t>Heads are kept in fp32; loss is cross-entropy without label smoothing.</w:t>
      </w:r>
    </w:p>
    <w:p>
      <w:pPr>
        <w:pStyle w:val="Heading2"/>
      </w:pPr>
      <w:r>
        <w:t>3.5 Optimizer and schedule</w:t>
      </w:r>
    </w:p>
    <w:p>
      <w:r>
        <w:rPr>
          <w:b w:val="0"/>
          <w:i w:val="0"/>
        </w:rPr>
        <w:t>AdamW with β = (0.9, 0.999), ε = 1e-8, weight decay 0.0, gradient clipping at 1.0. Each task trains for 3 epochs at batch size 16 (468 steps) with 3% linear warmup followed by cosine decay to zero, restarted at each task boundary. The learning rate is the model's Track-A value from Section 2.2 and is identical for all five ranks.</w:t>
      </w:r>
    </w:p>
    <w:p>
      <w:pPr>
        <w:pStyle w:val="Heading2"/>
      </w:pPr>
      <w:r>
        <w:t>3.6 Consolidated LoRA hyperparameters</w:t>
      </w:r>
    </w:p>
    <w:tbl>
      <w:tblPr>
        <w:tblStyle w:val="TableGrid"/>
        <w:tblW w:type="auto" w:w="0"/>
        <w:tblLook w:firstColumn="1" w:firstRow="1" w:lastColumn="0" w:lastRow="0" w:noHBand="0" w:noVBand="1" w:val="04A0"/>
      </w:tblPr>
      <w:tblGrid>
        <w:gridCol w:w="4536"/>
        <w:gridCol w:w="4536"/>
      </w:tblGrid>
      <w:tr>
        <w:tc>
          <w:tcPr>
            <w:tcW w:type="dxa" w:w="4536"/>
          </w:tcPr>
          <w:p>
            <w:r/>
            <w:r>
              <w:rPr>
                <w:b/>
              </w:rPr>
              <w:t>Hyperparameter</w:t>
            </w:r>
          </w:p>
        </w:tc>
        <w:tc>
          <w:tcPr>
            <w:tcW w:type="dxa" w:w="4536"/>
          </w:tcPr>
          <w:p>
            <w:r/>
            <w:r>
              <w:rPr>
                <w:b/>
              </w:rPr>
              <w:t>Value</w:t>
            </w:r>
          </w:p>
        </w:tc>
      </w:tr>
      <w:tr>
        <w:tc>
          <w:tcPr>
            <w:tcW w:type="dxa" w:w="4536"/>
          </w:tcPr>
          <w:p>
            <w:r>
              <w:t>Target modules</w:t>
            </w:r>
          </w:p>
        </w:tc>
        <w:tc>
          <w:tcPr>
            <w:tcW w:type="dxa" w:w="4536"/>
          </w:tcPr>
          <w:p>
            <w:r>
              <w:t>q_proj, v_proj (all layers)</w:t>
            </w:r>
          </w:p>
        </w:tc>
      </w:tr>
      <w:tr>
        <w:tc>
          <w:tcPr>
            <w:tcW w:type="dxa" w:w="4536"/>
          </w:tcPr>
          <w:p>
            <w:r>
              <w:t>Ranks / alpha</w:t>
            </w:r>
          </w:p>
        </w:tc>
        <w:tc>
          <w:tcPr>
            <w:tcW w:type="dxa" w:w="4536"/>
          </w:tcPr>
          <w:p>
            <w:r>
              <w:t>r ∈ {4, 8, 16, 32, 64}; α = 2r</w:t>
            </w:r>
          </w:p>
        </w:tc>
      </w:tr>
      <w:tr>
        <w:tc>
          <w:tcPr>
            <w:tcW w:type="dxa" w:w="4536"/>
          </w:tcPr>
          <w:p>
            <w:r>
              <w:t>LoRA dropout / bias</w:t>
            </w:r>
          </w:p>
        </w:tc>
        <w:tc>
          <w:tcPr>
            <w:tcW w:type="dxa" w:w="4536"/>
          </w:tcPr>
          <w:p>
            <w:r>
              <w:t>0.0 / False</w:t>
            </w:r>
          </w:p>
        </w:tc>
      </w:tr>
      <w:tr>
        <w:tc>
          <w:tcPr>
            <w:tcW w:type="dxa" w:w="4536"/>
          </w:tcPr>
          <w:p>
            <w:r>
              <w:t>Init</w:t>
            </w:r>
          </w:p>
        </w:tc>
        <w:tc>
          <w:tcPr>
            <w:tcW w:type="dxa" w:w="4536"/>
          </w:tcPr>
          <w:p>
            <w:r>
              <w:t>PEFT default (A: Kaiming-uniform fan-in; B: zeros), seeded</w:t>
            </w:r>
          </w:p>
        </w:tc>
      </w:tr>
      <w:tr>
        <w:tc>
          <w:tcPr>
            <w:tcW w:type="dxa" w:w="4536"/>
          </w:tcPr>
          <w:p>
            <w:r>
              <w:t>Precision</w:t>
            </w:r>
          </w:p>
        </w:tc>
        <w:tc>
          <w:tcPr>
            <w:tcW w:type="dxa" w:w="4536"/>
          </w:tcPr>
          <w:p>
            <w:r>
              <w:t>bf16 compute; fp32 adapter storage and optimizer states</w:t>
            </w:r>
          </w:p>
        </w:tc>
      </w:tr>
      <w:tr>
        <w:tc>
          <w:tcPr>
            <w:tcW w:type="dxa" w:w="4536"/>
          </w:tcPr>
          <w:p>
            <w:r>
              <w:t>Optimizer</w:t>
            </w:r>
          </w:p>
        </w:tc>
        <w:tc>
          <w:tcPr>
            <w:tcW w:type="dxa" w:w="4536"/>
          </w:tcPr>
          <w:p>
            <w:r>
              <w:t>AdamW (0.9, 0.999, 1e-8), wd 0, clip 1.0</w:t>
            </w:r>
          </w:p>
        </w:tc>
      </w:tr>
      <w:tr>
        <w:tc>
          <w:tcPr>
            <w:tcW w:type="dxa" w:w="4536"/>
          </w:tcPr>
          <w:p>
            <w:r>
              <w:t>Batch / epochs / steps</w:t>
            </w:r>
          </w:p>
        </w:tc>
        <w:tc>
          <w:tcPr>
            <w:tcW w:type="dxa" w:w="4536"/>
          </w:tcPr>
          <w:p>
            <w:r>
              <w:t>16 / 3 / 468 per task</w:t>
            </w:r>
          </w:p>
        </w:tc>
      </w:tr>
      <w:tr>
        <w:tc>
          <w:tcPr>
            <w:tcW w:type="dxa" w:w="4536"/>
          </w:tcPr>
          <w:p>
            <w:r>
              <w:t>Schedule</w:t>
            </w:r>
          </w:p>
        </w:tc>
        <w:tc>
          <w:tcPr>
            <w:tcW w:type="dxa" w:w="4536"/>
          </w:tcPr>
          <w:p>
            <w:r>
              <w:t>3% linear warmup + cosine to 0, restarted per task</w:t>
            </w:r>
          </w:p>
        </w:tc>
      </w:tr>
      <w:tr>
        <w:tc>
          <w:tcPr>
            <w:tcW w:type="dxa" w:w="4536"/>
          </w:tcPr>
          <w:p>
            <w:r>
              <w:t>Learning rates</w:t>
            </w:r>
          </w:p>
        </w:tc>
        <w:tc>
          <w:tcPr>
            <w:tcW w:type="dxa" w:w="4536"/>
          </w:tcPr>
          <w:p>
            <w:r>
              <w:t>2.0e-4 / 1.85e-4 / 1.6e-4 / 1.5e-4 (Section 2.2)</w:t>
            </w:r>
          </w:p>
        </w:tc>
      </w:tr>
      <w:tr>
        <w:tc>
          <w:tcPr>
            <w:tcW w:type="dxa" w:w="4536"/>
          </w:tcPr>
          <w:p>
            <w:r>
              <w:t>Max length / padding</w:t>
            </w:r>
          </w:p>
        </w:tc>
        <w:tc>
          <w:tcPr>
            <w:tcW w:type="dxa" w:w="4536"/>
          </w:tcPr>
          <w:p>
            <w:r>
              <w:t>256 tokens / right, dynamic</w:t>
            </w:r>
          </w:p>
        </w:tc>
      </w:tr>
    </w:tbl>
    <w:p/>
    <w:p>
      <w:pPr>
        <w:pStyle w:val="Heading1"/>
      </w:pPr>
      <w:r>
        <w:t>4. Track B — Full Fine-Tuning (Comparison Baseline)</w:t>
      </w:r>
    </w:p>
    <w:p>
      <w:pPr>
        <w:pStyle w:val="Heading2"/>
      </w:pPr>
      <w:r>
        <w:t>4.1 Purpose and hypotheses</w:t>
      </w:r>
    </w:p>
    <w:p>
      <w:r>
        <w:rPr>
          <w:b w:val="0"/>
          <w:i w:val="0"/>
        </w:rPr>
        <w:t>The full fine-tuning track trains every backbone parameter (plus the current task's head) under the same sequential protocol. It serves three purposes:</w:t>
      </w:r>
    </w:p>
    <w:p>
      <w:pPr>
        <w:pStyle w:val="ListBullet"/>
      </w:pPr>
      <w:r>
        <w:t>Plasticity reference: it verifies that each model can learn all three tasks to a healthy accuracy, providing the per-model ceiling against which LoRA's final-task accuracy is judged (and against which low-rank underfitting is detected, Section 6.3).</w:t>
      </w:r>
    </w:p>
    <w:p>
      <w:pPr>
        <w:pStyle w:val="ListBullet"/>
      </w:pPr>
      <w:r>
        <w:t>Forgetting upper anchor: at 7B, full fine-tuning forgets more than any LoRA configuration (Biderman et al., 2024, §4.2) and produces essentially no intruder dimensions (Shuttleworth et al., 2025, §3). The 12 Track-B runs test whether this pattern replicates at sub-3B classification scale and anchor the interpretation of the LoRA rank curves.</w:t>
      </w:r>
    </w:p>
    <w:p>
      <w:pPr>
        <w:pStyle w:val="ListBullet"/>
      </w:pPr>
      <w:r>
        <w:t>Mechanism sanity check: near-zero intruder-dimension counts in Track B validate the SVD measurement pipeline of Section 7.</w:t>
      </w:r>
    </w:p>
    <w:p>
      <w:r>
        <w:rPr>
          <w:b w:val="0"/>
          <w:i w:val="0"/>
        </w:rPr>
        <w:t>Track B also operationalizes the learning-forgetting tradeoff: LoRA runs are expected to sit between the frozen backbone (no adaptation) and full fine-tuning (maximal overwrite), with rank steering the position along that spectrum. The proposal's original 9 baseline runs (3 models × 3 seeds) expand to 20 (4 models × 5 seeds).</w:t>
      </w:r>
    </w:p>
    <w:p>
      <w:pPr>
        <w:pStyle w:val="Heading2"/>
      </w:pPr>
      <w:r>
        <w:t>4.2 Configuration</w:t>
      </w:r>
    </w:p>
    <w:p>
      <w:pPr>
        <w:pStyle w:val="ListBullet"/>
      </w:pPr>
      <w:r>
        <w:t>Trainable scope: all non-embedding backbone weights plus the current task's classification head. Embeddings remain frozen (as in all PEFT literature baselines and to contain memory); this is stated explicitly in results.</w:t>
      </w:r>
    </w:p>
    <w:p>
      <w:pPr>
        <w:pStyle w:val="ListBullet"/>
      </w:pPr>
      <w:r>
        <w:t>Learning rate: LR_full(m) = LR_LoRA(m)/10 — i.e., 2.0e-5, 1.85e-5, 1.6e-5, 1.5e-5 — following Biderman et al. (2024, §4.7), who report full fine-tuning optima one order of magnitude below LoRA's (their best full-FT rates were 5e-5 and 1e-5 at 7B; QLoRA searched full fine-tuning over 1e-6 to 5e-5).</w:t>
      </w:r>
    </w:p>
    <w:p>
      <w:pPr>
        <w:pStyle w:val="ListBullet"/>
      </w:pPr>
      <w:r>
        <w:t>Optimizer: 8-bit AdamW (bitsandbytes) uniformly for all four models. This remains memory-forced even on the 24 GB RTX 4090 — standard AdamW would need ≈37 GB for the 3.09B model (6.2 GB bf16 weights + 6.2 GB bf16 gradients + 24.7 GB fp32 moments) — and is applied uniformly to all models so that the optimizer never differs between models. Block-wise 8-bit optimizers match fp32 AdamW quality (Dettmers et al., 2022).</w:t>
      </w:r>
    </w:p>
    <w:p>
      <w:pPr>
        <w:pStyle w:val="ListBullet"/>
      </w:pPr>
      <w:r>
        <w:t>Memory aids: gradient checkpointing enabled for all Track-B runs; effective batch 16 via micro-batch 8 × accumulation 2 (micro-batch 4 × accumulation 4 as fallback if a run approaches the 24 GB limit).</w:t>
      </w:r>
    </w:p>
    <w:p>
      <w:pPr>
        <w:pStyle w:val="ListBullet"/>
      </w:pPr>
      <w:r>
        <w:t>Everything else — data, task order, epochs, schedule, seeds, heads, evaluation — is identical to Track A, so that any Track-A vs Track-B difference is attributable to the adaptation method, not the protocol.</w:t>
      </w:r>
    </w:p>
    <w:p>
      <w:pPr>
        <w:pStyle w:val="Heading2"/>
      </w:pPr>
      <w:r>
        <w:t>4.3 Memory feasibility and placement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b/>
              </w:rPr>
              <w:t>Model</w:t>
            </w:r>
          </w:p>
        </w:tc>
        <w:tc>
          <w:tcPr>
            <w:tcW w:type="dxa" w:w="1814"/>
          </w:tcPr>
          <w:p>
            <w:r/>
            <w:r>
              <w:rPr>
                <w:b/>
              </w:rPr>
              <w:t>bf16 weights</w:t>
            </w:r>
          </w:p>
        </w:tc>
        <w:tc>
          <w:tcPr>
            <w:tcW w:type="dxa" w:w="1814"/>
          </w:tcPr>
          <w:p>
            <w:r/>
            <w:r>
              <w:rPr>
                <w:b/>
              </w:rPr>
              <w:t>Track A (LoRA) peak ≈</w:t>
            </w:r>
          </w:p>
        </w:tc>
        <w:tc>
          <w:tcPr>
            <w:tcW w:type="dxa" w:w="1814"/>
          </w:tcPr>
          <w:p>
            <w:r/>
            <w:r>
              <w:rPr>
                <w:b/>
              </w:rPr>
              <w:t>Track B (8-bit Adam) peak ≈</w:t>
            </w:r>
          </w:p>
        </w:tc>
        <w:tc>
          <w:tcPr>
            <w:tcW w:type="dxa" w:w="1814"/>
          </w:tcPr>
          <w:p>
            <w:r/>
            <w:r>
              <w:rPr>
                <w:b/>
              </w:rPr>
              <w:t>Placement</w:t>
            </w:r>
          </w:p>
        </w:tc>
      </w:tr>
      <w:tr>
        <w:tc>
          <w:tcPr>
            <w:tcW w:type="dxa" w:w="1814"/>
          </w:tcPr>
          <w:p>
            <w:r>
              <w:t>Llama-3.2-1B</w:t>
            </w:r>
          </w:p>
        </w:tc>
        <w:tc>
          <w:tcPr>
            <w:tcW w:type="dxa" w:w="1814"/>
          </w:tcPr>
          <w:p>
            <w:r>
              <w:t>2.5 GB</w:t>
            </w:r>
          </w:p>
        </w:tc>
        <w:tc>
          <w:tcPr>
            <w:tcW w:type="dxa" w:w="1814"/>
          </w:tcPr>
          <w:p>
            <w:r>
              <w:t>≈4–6 GB</w:t>
            </w:r>
          </w:p>
        </w:tc>
        <w:tc>
          <w:tcPr>
            <w:tcW w:type="dxa" w:w="1814"/>
          </w:tcPr>
          <w:p>
            <w:r>
              <w:t>≈7.4 GB + activations</w:t>
            </w:r>
          </w:p>
        </w:tc>
        <w:tc>
          <w:tcPr>
            <w:tcW w:type="dxa" w:w="1814"/>
          </w:tcPr>
          <w:p>
            <w:r>
              <w:t>RTX 4090 (24 GB)</w:t>
            </w:r>
          </w:p>
        </w:tc>
      </w:tr>
      <w:tr>
        <w:tc>
          <w:tcPr>
            <w:tcW w:type="dxa" w:w="1814"/>
          </w:tcPr>
          <w:p>
            <w:r>
              <w:t>Qwen2.5-1.5B</w:t>
            </w:r>
          </w:p>
        </w:tc>
        <w:tc>
          <w:tcPr>
            <w:tcW w:type="dxa" w:w="1814"/>
          </w:tcPr>
          <w:p>
            <w:r>
              <w:t>3.1 GB</w:t>
            </w:r>
          </w:p>
        </w:tc>
        <w:tc>
          <w:tcPr>
            <w:tcW w:type="dxa" w:w="1814"/>
          </w:tcPr>
          <w:p>
            <w:r>
              <w:t>≈5–7 GB</w:t>
            </w:r>
          </w:p>
        </w:tc>
        <w:tc>
          <w:tcPr>
            <w:tcW w:type="dxa" w:w="1814"/>
          </w:tcPr>
          <w:p>
            <w:r>
              <w:t>≈9.2 GB + activations</w:t>
            </w:r>
          </w:p>
        </w:tc>
        <w:tc>
          <w:tcPr>
            <w:tcW w:type="dxa" w:w="1814"/>
          </w:tcPr>
          <w:p>
            <w:r>
              <w:t>RTX 4090 (24 GB)</w:t>
            </w:r>
          </w:p>
        </w:tc>
      </w:tr>
      <w:tr>
        <w:tc>
          <w:tcPr>
            <w:tcW w:type="dxa" w:w="1814"/>
          </w:tcPr>
          <w:p>
            <w:r>
              <w:t>Granite-3.3-2B</w:t>
            </w:r>
          </w:p>
        </w:tc>
        <w:tc>
          <w:tcPr>
            <w:tcW w:type="dxa" w:w="1814"/>
          </w:tcPr>
          <w:p>
            <w:r>
              <w:t>5.1 GB</w:t>
            </w:r>
          </w:p>
        </w:tc>
        <w:tc>
          <w:tcPr>
            <w:tcW w:type="dxa" w:w="1814"/>
          </w:tcPr>
          <w:p>
            <w:r>
              <w:t>≈7–9 GB</w:t>
            </w:r>
          </w:p>
        </w:tc>
        <w:tc>
          <w:tcPr>
            <w:tcW w:type="dxa" w:w="1814"/>
          </w:tcPr>
          <w:p>
            <w:r>
              <w:t>≈15.2 GB + activations</w:t>
            </w:r>
          </w:p>
        </w:tc>
        <w:tc>
          <w:tcPr>
            <w:tcW w:type="dxa" w:w="1814"/>
          </w:tcPr>
          <w:p>
            <w:r>
              <w:t>RTX 4090 (24 GB)</w:t>
            </w:r>
          </w:p>
        </w:tc>
      </w:tr>
      <w:tr>
        <w:tc>
          <w:tcPr>
            <w:tcW w:type="dxa" w:w="1814"/>
          </w:tcPr>
          <w:p>
            <w:r>
              <w:t>Qwen2.5-3B</w:t>
            </w:r>
          </w:p>
        </w:tc>
        <w:tc>
          <w:tcPr>
            <w:tcW w:type="dxa" w:w="1814"/>
          </w:tcPr>
          <w:p>
            <w:r>
              <w:t>6.2 GB</w:t>
            </w:r>
          </w:p>
        </w:tc>
        <w:tc>
          <w:tcPr>
            <w:tcW w:type="dxa" w:w="1814"/>
          </w:tcPr>
          <w:p>
            <w:r>
              <w:t>≈8–10 GB</w:t>
            </w:r>
          </w:p>
        </w:tc>
        <w:tc>
          <w:tcPr>
            <w:tcW w:type="dxa" w:w="1814"/>
          </w:tcPr>
          <w:p>
            <w:r>
              <w:t>≈18.5 GB + activations (fits)</w:t>
            </w:r>
          </w:p>
        </w:tc>
        <w:tc>
          <w:tcPr>
            <w:tcW w:type="dxa" w:w="1814"/>
          </w:tcPr>
          <w:p>
            <w:r>
              <w:t>RTX 4090 (24 GB)</w:t>
            </w:r>
          </w:p>
        </w:tc>
      </w:tr>
    </w:tbl>
    <w:p/>
    <w:p>
      <w:r>
        <w:rPr>
          <w:b w:val="0"/>
          <w:i w:val="0"/>
        </w:rPr>
        <w:t>Track-B estimates assume bf16 weights (2 bytes), bf16 gradients (2 bytes), and 8-bit optimizer moments (2 × 1 byte) = 6 bytes/parameter, plus activations under gradient checkpointing. All four models fit on the single 24 GB RTX 4090; the largest (Qwen2.5-3B) peaks at ≈18.5 GB plus checkpointed activations. Standard fp32 AdamW remains infeasible even at 24 GB for the two largest models (≈37 GB for the 3.09B model), which is why the uniform 8-bit optimizer policy is retained as a deliberate design choice rather than a hardware workaround. Track-A estimates include fp32 adapter states (negligible) and activations; gradient checkpointing is not needed for Track A at 24 GB — an implementation detail with no effect on the math.</w:t>
      </w:r>
    </w:p>
    <w:p>
      <w:pPr>
        <w:pStyle w:val="Heading1"/>
      </w:pPr>
      <w:r>
        <w:t>5. Sequential Task Protocol</w:t>
      </w:r>
    </w:p>
    <w:p>
      <w:pPr>
        <w:pStyle w:val="Heading2"/>
      </w:pPr>
      <w:r>
        <w:t>5.1 Tasks and data</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b/>
              </w:rPr>
              <w:t>Task</w:t>
            </w:r>
          </w:p>
        </w:tc>
        <w:tc>
          <w:tcPr>
            <w:tcW w:type="dxa" w:w="2268"/>
          </w:tcPr>
          <w:p>
            <w:r/>
            <w:r>
              <w:rPr>
                <w:b/>
              </w:rPr>
              <w:t>Type / classes</w:t>
            </w:r>
          </w:p>
        </w:tc>
        <w:tc>
          <w:tcPr>
            <w:tcW w:type="dxa" w:w="2268"/>
          </w:tcPr>
          <w:p>
            <w:r/>
            <w:r>
              <w:rPr>
                <w:b/>
              </w:rPr>
              <w:t>Train subset</w:t>
            </w:r>
          </w:p>
        </w:tc>
        <w:tc>
          <w:tcPr>
            <w:tcW w:type="dxa" w:w="2268"/>
          </w:tcPr>
          <w:p>
            <w:r/>
            <w:r>
              <w:rPr>
                <w:b/>
              </w:rPr>
              <w:t>Evaluation set</w:t>
            </w:r>
          </w:p>
        </w:tc>
      </w:tr>
      <w:tr>
        <w:tc>
          <w:tcPr>
            <w:tcW w:type="dxa" w:w="2268"/>
          </w:tcPr>
          <w:p>
            <w:r>
              <w:t>RTE</w:t>
            </w:r>
          </w:p>
        </w:tc>
        <w:tc>
          <w:tcPr>
            <w:tcW w:type="dxa" w:w="2268"/>
          </w:tcPr>
          <w:p>
            <w:r>
              <w:t>Textual entailment, 2 classes</w:t>
            </w:r>
          </w:p>
        </w:tc>
        <w:tc>
          <w:tcPr>
            <w:tcW w:type="dxa" w:w="2268"/>
          </w:tcPr>
          <w:p>
            <w:r>
              <w:t>2,490 samples</w:t>
            </w:r>
          </w:p>
        </w:tc>
        <w:tc>
          <w:tcPr>
            <w:tcW w:type="dxa" w:w="2268"/>
          </w:tcPr>
          <w:p>
            <w:r>
              <w:t>Official validation (277)</w:t>
            </w:r>
          </w:p>
        </w:tc>
      </w:tr>
      <w:tr>
        <w:tc>
          <w:tcPr>
            <w:tcW w:type="dxa" w:w="2268"/>
          </w:tcPr>
          <w:p>
            <w:r>
              <w:t>MNLI Matched</w:t>
            </w:r>
          </w:p>
        </w:tc>
        <w:tc>
          <w:tcPr>
            <w:tcW w:type="dxa" w:w="2268"/>
          </w:tcPr>
          <w:p>
            <w:r>
              <w:t>NLI, 3 classes</w:t>
            </w:r>
          </w:p>
        </w:tc>
        <w:tc>
          <w:tcPr>
            <w:tcW w:type="dxa" w:w="2268"/>
          </w:tcPr>
          <w:p>
            <w:r>
              <w:t>2,490 samples</w:t>
            </w:r>
          </w:p>
        </w:tc>
        <w:tc>
          <w:tcPr>
            <w:tcW w:type="dxa" w:w="2268"/>
          </w:tcPr>
          <w:p>
            <w:r>
              <w:t>Official validation_matched (9,815)</w:t>
            </w:r>
          </w:p>
        </w:tc>
      </w:tr>
      <w:tr>
        <w:tc>
          <w:tcPr>
            <w:tcW w:type="dxa" w:w="2268"/>
          </w:tcPr>
          <w:p>
            <w:r>
              <w:t>SST-2</w:t>
            </w:r>
          </w:p>
        </w:tc>
        <w:tc>
          <w:tcPr>
            <w:tcW w:type="dxa" w:w="2268"/>
          </w:tcPr>
          <w:p>
            <w:r>
              <w:t>Sentiment, 2 classes</w:t>
            </w:r>
          </w:p>
        </w:tc>
        <w:tc>
          <w:tcPr>
            <w:tcW w:type="dxa" w:w="2268"/>
          </w:tcPr>
          <w:p>
            <w:r>
              <w:t>2,490 samples</w:t>
            </w:r>
          </w:p>
        </w:tc>
        <w:tc>
          <w:tcPr>
            <w:tcW w:type="dxa" w:w="2268"/>
          </w:tcPr>
          <w:p>
            <w:r>
              <w:t>Official validation (872)</w:t>
            </w:r>
          </w:p>
        </w:tc>
      </w:tr>
    </w:tbl>
    <w:p/>
    <w:p>
      <w:pPr>
        <w:pStyle w:val="ListBullet"/>
      </w:pPr>
      <w:r>
        <w:t>Source: the GLUE benchmark (Wang et al., 2019) via the Hugging Face datasets library (nyu-mll/glue), as in the proposal.</w:t>
      </w:r>
    </w:p>
    <w:p>
      <w:pPr>
        <w:pStyle w:val="ListBullet"/>
      </w:pPr>
      <w:r>
        <w:t>The 2,490-sample training subset of each task is drawn once with seed 42 and then shared by every run of every track and seed, so that data selection can never differ between configurations. Label distributions of the drawn subsets are reported in the results appendix.</w:t>
      </w:r>
    </w:p>
    <w:p>
      <w:pPr>
        <w:pStyle w:val="ListBullet"/>
      </w:pPr>
      <w:r>
        <w:t>RTE and MNLI use the tokenizer's pair encoding (premise, hypothesis); SST-2 uses single-sentence encoding. Maximum length 256 tokens with right truncation and dynamic right padding — sufficient for all three tasks at these models' tokenizers.</w:t>
      </w:r>
    </w:p>
    <w:p>
      <w:pPr>
        <w:pStyle w:val="ListBullet"/>
      </w:pPr>
      <w:r>
        <w:t>Evaluation uses the official validation sets in full (no subsampling) to avoid evaluation noise entering the BWT estimate.</w:t>
      </w:r>
    </w:p>
    <w:p>
      <w:pPr>
        <w:pStyle w:val="Heading2"/>
      </w:pPr>
      <w:r>
        <w:t>5.2 Task order and boundaries</w:t>
      </w:r>
    </w:p>
    <w:p>
      <w:r>
        <w:rPr>
          <w:b w:val="0"/>
          <w:i w:val="0"/>
        </w:rPr>
        <w:t>The order RTE → MNLI Matched → SST-2 is fixed for all 132 runs, as pre-registered in the proposal. After each task, the model is evaluated on every task seen so far (including the one just finished), producing the accuracy matrix A. Task-order permutations, which Biderman et al. (2024) note can matter, remain future work (proposal Section 1.11).</w:t>
      </w:r>
    </w:p>
    <w:p>
      <w:pPr>
        <w:pStyle w:val="Heading2"/>
      </w:pPr>
      <w:r>
        <w:t>5.3 Per-task training configuration</w:t>
      </w:r>
    </w:p>
    <w:p>
      <w:r>
        <w:rPr>
          <w:b w:val="0"/>
          <w:i w:val="0"/>
        </w:rPr>
        <w:t>Each task trains for 3 epochs — 156 optimizer steps per epoch at batch 16, 468 steps per task, 1,404 steps per full sequence — with the schedule of Section 2.4 restarted at each task boundary. Identical for all models, both tracks, and all ranks.</w:t>
      </w:r>
    </w:p>
    <w:p>
      <w:pPr>
        <w:pStyle w:val="Heading2"/>
      </w:pPr>
      <w:r>
        <w:t>5.4 Evaluation protocol</w:t>
      </w:r>
    </w:p>
    <w:p>
      <w:r>
        <w:rPr>
          <w:b w:val="0"/>
          <w:i w:val="0"/>
        </w:rPr>
        <w:t>After task i, accuracy A_{i,j} is measured for every j ≤ i using task j's frozen classification head on the current model state (Track A: current adapter + frozen backbone; Track B: current full weights). Evaluation batch size 64, no gradient, bf16 inference matching training precision. The full accuracy matrix, not just its summary, is logged for every run.</w:t>
      </w:r>
    </w:p>
    <w:p>
      <w:pPr>
        <w:pStyle w:val="Heading1"/>
      </w:pPr>
      <w:r>
        <w:t>6. Forgetting Measurement: Backward Transfer</w:t>
      </w:r>
    </w:p>
    <w:p>
      <w:pPr>
        <w:pStyle w:val="Heading2"/>
      </w:pPr>
      <w:r>
        <w:t>6.1 Backward transfer</w:t>
      </w:r>
    </w:p>
    <w:p>
      <w:r>
        <w:rPr>
          <w:b w:val="0"/>
          <w:i w:val="0"/>
        </w:rPr>
        <w:t>Following Lopez-Paz &amp; Ranzato (2017) and the proposal's Step 4:</w:t>
      </w:r>
    </w:p>
    <w:p>
      <w:r>
        <w:rPr>
          <w:b/>
          <w:i w:val="0"/>
        </w:rPr>
        <w:t>BWT = (1 / (T − 1)) × Σ_{j=1}^{T−1} (A_{T,j} − A_{j,j}), with T = 3 tasks.</w:t>
      </w:r>
    </w:p>
    <w:p>
      <w:r>
        <w:rPr>
          <w:b w:val="0"/>
          <w:i w:val="0"/>
        </w:rPr>
        <w:t>A_{i,j} is the accuracy on task j after completing task i. BWT averages the accuracy change on each earlier task from its own post-training peak to the end of the sequence. Sign convention: BWT &lt; 0 indicates forgetting; results additionally report −BWT as a 'forgetting magnitude' for readability. With three tasks, BWT = [(A_{3,1} − A_{1,1}) + (A_{3,2} − A_{2,2})] / 2.</w:t>
      </w:r>
    </w:p>
    <w:p>
      <w:pPr>
        <w:pStyle w:val="Heading2"/>
      </w:pPr>
      <w:r>
        <w:t>6.2 Companion metrics</w:t>
      </w:r>
    </w:p>
    <w:p>
      <w:pPr>
        <w:pStyle w:val="ListBullet"/>
      </w:pPr>
      <w:r>
        <w:t>Final-task accuracy A_{3,3}: the accuracy reached on SST-2 immediately after its training — the learning (plasticity) measure.</w:t>
      </w:r>
    </w:p>
    <w:p>
      <w:pPr>
        <w:pStyle w:val="ListBullet"/>
      </w:pPr>
      <w:r>
        <w:t>Average accuracy over the full matrix, for comparability with the continual-learning literature.</w:t>
      </w:r>
    </w:p>
    <w:p>
      <w:pPr>
        <w:pStyle w:val="ListBullet"/>
      </w:pPr>
      <w:r>
        <w:t>Per-task forgetting components (A_{3,1} − A_{1,1}) and (A_{3,2} − A_{2,2}), so that task-specific effects are visible rather than averaged away.</w:t>
      </w:r>
    </w:p>
    <w:p>
      <w:pPr>
        <w:pStyle w:val="Heading2"/>
      </w:pPr>
      <w:r>
        <w:t>6.3 Disentangling underfitting from forgetting</w:t>
      </w:r>
    </w:p>
    <w:p>
      <w:r>
        <w:rPr>
          <w:b w:val="0"/>
          <w:i w:val="0"/>
        </w:rPr>
        <w:t>Low ranks can fail in two different ways: too little capacity to learn the current task (underfitting — the regime Lun &amp; Ming, 2026, emphasize at sub-1B) versus instability of previously learned tasks (forgetting — the regime Biderman et al., 2024, emphasize at 7B). The two failures are separated by construction: final-task accuracy A_{3,3} diagnoses the former, BWT diagnoses the latter, and they are always reported side by side, never aggregated into a single score (proposal Section 1.10). A configuration with A_{3,3} below the plasticity threshold but BWT ≈ 0 is classified as capacity-limited, not stability-limited.</w:t>
      </w:r>
    </w:p>
    <w:p>
      <w:pPr>
        <w:pStyle w:val="Heading2"/>
      </w:pPr>
      <w:r>
        <w:t>6.4 The Feasible Rank Window: pre-registered definition</w:t>
      </w:r>
    </w:p>
    <w:p>
      <w:r>
        <w:rPr>
          <w:b w:val="0"/>
          <w:i w:val="0"/>
        </w:rPr>
        <w:t>For each model m, let σ_m denote the standard deviation across the five seeds of the relevant metric. A rank r belongs to model m's feasible rank window if and only if both criteria hold:</w:t>
      </w:r>
    </w:p>
    <w:p>
      <w:pPr>
        <w:pStyle w:val="ListBullet"/>
      </w:pPr>
      <w:r>
        <w:t>Plasticity criterion: A_{3,3}(m, r) ≥ A_{3,3}^{full-FT}(m) − max(2, 2σ_m) percentage points — the rank learns the new task to within a small, noise-aware margin of what full fine-tuning achieves.</w:t>
      </w:r>
    </w:p>
    <w:p>
      <w:pPr>
        <w:pStyle w:val="ListBullet"/>
      </w:pPr>
      <w:r>
        <w:t>Stability criterion: BWT(m, r) ≥ −max(2, 2σ_m) percentage points — average forgetting of previously seen tasks stays within the noise-aware margin.</w:t>
      </w:r>
    </w:p>
    <w:p>
      <w:r>
        <w:rPr>
          <w:b w:val="0"/>
          <w:i w:val="0"/>
        </w:rPr>
        <w:t>The window is the contiguous rank interval satisfying both criteria. Each model's window is reported three ways — raw r, r/d_model (the Lun &amp; Ming convention, RQ2), and r divided by the Wv output width (Section 10 notes why the second ratio matters for GQA models) — and the drift of the window across 1.24B → 1.54B → 2.53B → 3.09B answers RQ2/RQ4, with the Qwen within-family pair carrying the primary scaling inference.</w:t>
      </w:r>
    </w:p>
    <w:p>
      <w:pPr>
        <w:pStyle w:val="Heading1"/>
      </w:pPr>
      <w:r>
        <w:t>7. Intruder-Dimension Measurement</w:t>
      </w:r>
    </w:p>
    <w:p>
      <w:pPr>
        <w:pStyle w:val="Heading2"/>
      </w:pPr>
      <w:r>
        <w:t>7.1 Procedure</w:t>
      </w:r>
    </w:p>
    <w:p>
      <w:r>
        <w:rPr>
          <w:b w:val="0"/>
          <w:i w:val="0"/>
        </w:rPr>
        <w:t>At each task boundary (after tasks 1, 2, and 3), and for every adapted weight matrix (Wq and Wv of every layer), the fine-tuned matrix W_ft = W0 + (α/r)·B·A is formed mathematically (the adapter is not merged into the stored checkpoint) and compared with the frozen pre-trained matrix W0 via singular value decomposition, following Shuttleworth et al. (2025, Algorithm 1):</w:t>
      </w:r>
    </w:p>
    <w:p>
      <w:pPr>
        <w:pStyle w:val="ListBullet"/>
      </w:pPr>
      <w:r>
        <w:t>Compute SVD(W0) and SVD(W_ft) in fp32 on CPU.</w:t>
      </w:r>
    </w:p>
    <w:p>
      <w:pPr>
        <w:pStyle w:val="ListBullet"/>
      </w:pPr>
      <w:r>
        <w:t>For each of the top k = 10 singular vectors of W_ft, compute the maximum cosine similarity with all top singular vectors of W0.</w:t>
      </w:r>
    </w:p>
    <w:p>
      <w:pPr>
        <w:pStyle w:val="ListBullet"/>
      </w:pPr>
      <w:r>
        <w:t>If that maximum is below the threshold ε, the vector is an intruder dimension.</w:t>
      </w:r>
    </w:p>
    <w:p>
      <w:pPr>
        <w:pStyle w:val="ListBullet"/>
      </w:pPr>
      <w:r>
        <w:t>ε = 0.9 is the primary threshold (Shuttleworth et al. report that full fine-tuning produces essentially no intruders even at ε as low as 0.6–0.9, so ε = 0.9 is the conservative choice); counts are additionally reported at ε ∈ {0.6, 0.7, 0.8} as a sensitivity analysis.</w:t>
      </w:r>
    </w:p>
    <w:p>
      <w:pPr>
        <w:pStyle w:val="ListBullet"/>
      </w:pPr>
      <w:r>
        <w:t>Counts are summed per layer, per matrix type, and per model, yielding one total intruder count per configuration per checkpoint.</w:t>
      </w:r>
    </w:p>
    <w:p>
      <w:r>
        <w:rPr>
          <w:b w:val="0"/>
          <w:i w:val="0"/>
        </w:rPr>
        <w:t>SVD cost is trivial at this scale (largest matrix 2048 × 2048; e.g., Granite contributes 2 × 40 × 3 = 240 decompositions per run) and is performed offline after training.</w:t>
      </w:r>
    </w:p>
    <w:p>
      <w:pPr>
        <w:pStyle w:val="Heading2"/>
      </w:pPr>
      <w:r>
        <w:t>7.2 Cross-family validity of the measurement</w:t>
      </w:r>
    </w:p>
    <w:p>
      <w:r>
        <w:rPr>
          <w:b w:val="0"/>
          <w:i w:val="0"/>
        </w:rPr>
        <w:t>Cosine similarity between singular vectors is scale-invariant, so multiplicative differences in weight magnitude across families do not by themselves invalidate comparisons. Granite-3.3-2B's distinctive rescaling multipliers (embedding_multiplier = 12.0, residual_multiplier = 0.22, attention_multiplier = 0.015625, logits_scaling = 8.0, verified from its configuration) act on activations rather than on the adapted weight matrices, so Wq/Wv directions remain comparable; nevertheless, ε-sensitivity curves are produced per family as a robustness check, and any threshold-dependent conclusion is required to hold across the full ε range.</w:t>
      </w:r>
    </w:p>
    <w:p>
      <w:pPr>
        <w:pStyle w:val="Heading2"/>
      </w:pPr>
      <w:r>
        <w:t>7.3 Link to forgetting (RQ3)</w:t>
      </w:r>
    </w:p>
    <w:p>
      <w:pPr>
        <w:pStyle w:val="ListBullet"/>
      </w:pPr>
      <w:r>
        <w:t>Total intruder counts are correlated with BWT across all 100 Track-A runs (4 models × 5 ranks × 5 seeds) and within each model separately, using Spearman rank correlation (Shuttleworth et al. report ρ = 0.971 between intruder count and pre-training-loss forgetting in their setting).</w:t>
      </w:r>
    </w:p>
    <w:p>
      <w:pPr>
        <w:pStyle w:val="ListBullet"/>
      </w:pPr>
      <w:r>
        <w:t>Track-B runs serve as the pipeline's negative control: full fine-tuning should yield ≈0 intruder dimensions (Shuttleworth et al., 2025); a nonzero count would indicate a measurement defect and trigger investigation before any RQ3 inference.</w:t>
      </w:r>
    </w:p>
    <w:p>
      <w:pPr>
        <w:pStyle w:val="ListBullet"/>
      </w:pPr>
      <w:r>
        <w:t>Because a single adapter accumulates modifications across the three tasks, intruder counts are also tracked per checkpoint, enabling an accumulation-vs-forgetting analysis within each run.</w:t>
      </w:r>
    </w:p>
    <w:p>
      <w:pPr>
        <w:pStyle w:val="Heading1"/>
      </w:pPr>
      <w:r>
        <w:t>8. Seeds, Repetition, and Statistical Treatment</w:t>
      </w:r>
    </w:p>
    <w:p>
      <w:pPr>
        <w:pStyle w:val="ListBullet"/>
      </w:pPr>
      <w:r>
        <w:t>Five seeds — 42, 123, 456, 789, 1024 — govern adapter initialization, classification-head initialization, and mini-batch shuffling order. Data subset selection is deliberately NOT re-sampled per seed (it is fixed once with seed 42 and shared), so that seed variance reflects initialization and optimization stochasticity, the quantity the seed literature warns about, not data variance.</w:t>
      </w:r>
    </w:p>
    <w:p>
      <w:pPr>
        <w:pStyle w:val="ListBullet"/>
      </w:pPr>
      <w:r>
        <w:t>Every configuration is run with all five seeds; results report mean ± standard deviation, and per-seed values appear in the appendix. No configuration is ever interpreted from a single seed.</w:t>
      </w:r>
    </w:p>
    <w:p>
      <w:pPr>
        <w:pStyle w:val="ListBullet"/>
      </w:pPr>
      <w:r>
        <w:t>This follows the explicit warning of Narula et al. (2026), who retracted a rank-forgetting claim after discovering that one seed produced a forgetting score of 0.352 while two other seeds of the identical configuration produced almost none. Accordingly, all rank-forgetting conclusions in this project are framed as directional patterns supported by five-seed replication, not as statistically confirmed effect sizes.</w:t>
      </w:r>
    </w:p>
    <w:p>
      <w:pPr>
        <w:pStyle w:val="ListBullet"/>
      </w:pPr>
      <w:r>
        <w:t>Five seeds (up from the three pre-registered in the proposal) widen the empirical seed-variance estimate σ_m that enters the feasible-window thresholds (Section 6.4) and stabilize the reported mean bands; the resulting 132-run total remains comfortably feasible on the desktop GPU (Section 9).</w:t>
      </w:r>
    </w:p>
    <w:p>
      <w:pPr>
        <w:pStyle w:val="ListBullet"/>
      </w:pPr>
      <w:r>
        <w:t>Rank comparisons are made within models (paired across seeds); cross-model statements are always qualified by the family structure of Section 1.4.</w:t>
      </w:r>
    </w:p>
    <w:p>
      <w:pPr>
        <w:pStyle w:val="Heading1"/>
      </w:pPr>
      <w:r>
        <w:t>9. Compute Plan, Environment, and Reproducibility</w:t>
      </w:r>
    </w:p>
    <w:p>
      <w:pPr>
        <w:pStyle w:val="Heading2"/>
      </w:pPr>
      <w:r>
        <w:t>9.1 Run matrix</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b/>
              </w:rPr>
              <w:t>Component</w:t>
            </w:r>
          </w:p>
        </w:tc>
        <w:tc>
          <w:tcPr>
            <w:tcW w:type="dxa" w:w="2268"/>
          </w:tcPr>
          <w:p>
            <w:r/>
            <w:r>
              <w:rPr>
                <w:b/>
              </w:rPr>
              <w:t>Count</w:t>
            </w:r>
          </w:p>
        </w:tc>
        <w:tc>
          <w:tcPr>
            <w:tcW w:type="dxa" w:w="2268"/>
          </w:tcPr>
          <w:p>
            <w:r/>
            <w:r>
              <w:rPr>
                <w:b/>
              </w:rPr>
              <w:t>Unit estimate (RTX 4090, native bf16)</w:t>
            </w:r>
          </w:p>
        </w:tc>
        <w:tc>
          <w:tcPr>
            <w:tcW w:type="dxa" w:w="2268"/>
          </w:tcPr>
          <w:p>
            <w:r/>
            <w:r>
              <w:rPr>
                <w:b/>
              </w:rPr>
              <w:t>Estimated GPU-hours</w:t>
            </w:r>
          </w:p>
        </w:tc>
      </w:tr>
      <w:tr>
        <w:tc>
          <w:tcPr>
            <w:tcW w:type="dxa" w:w="2268"/>
          </w:tcPr>
          <w:p>
            <w:r>
              <w:t>Track A: LoRA, Llama-3.2-1B</w:t>
            </w:r>
          </w:p>
        </w:tc>
        <w:tc>
          <w:tcPr>
            <w:tcW w:type="dxa" w:w="2268"/>
          </w:tcPr>
          <w:p>
            <w:r>
              <w:t>20</w:t>
            </w:r>
          </w:p>
        </w:tc>
        <w:tc>
          <w:tcPr>
            <w:tcW w:type="dxa" w:w="2268"/>
          </w:tcPr>
          <w:p>
            <w:r>
              <w:t>≈0.15 h/run</w:t>
            </w:r>
          </w:p>
        </w:tc>
        <w:tc>
          <w:tcPr>
            <w:tcW w:type="dxa" w:w="2268"/>
          </w:tcPr>
          <w:p>
            <w:r>
              <w:t>≈3 h</w:t>
            </w:r>
          </w:p>
        </w:tc>
      </w:tr>
      <w:tr>
        <w:tc>
          <w:tcPr>
            <w:tcW w:type="dxa" w:w="2268"/>
          </w:tcPr>
          <w:p>
            <w:r>
              <w:t>Track A: LoRA, Qwen2.5-1.5B</w:t>
            </w:r>
          </w:p>
        </w:tc>
        <w:tc>
          <w:tcPr>
            <w:tcW w:type="dxa" w:w="2268"/>
          </w:tcPr>
          <w:p>
            <w:r>
              <w:t>20</w:t>
            </w:r>
          </w:p>
        </w:tc>
        <w:tc>
          <w:tcPr>
            <w:tcW w:type="dxa" w:w="2268"/>
          </w:tcPr>
          <w:p>
            <w:r>
              <w:t>≈0.2 h/run</w:t>
            </w:r>
          </w:p>
        </w:tc>
        <w:tc>
          <w:tcPr>
            <w:tcW w:type="dxa" w:w="2268"/>
          </w:tcPr>
          <w:p>
            <w:r>
              <w:t>≈4 h</w:t>
            </w:r>
          </w:p>
        </w:tc>
      </w:tr>
      <w:tr>
        <w:tc>
          <w:tcPr>
            <w:tcW w:type="dxa" w:w="2268"/>
          </w:tcPr>
          <w:p>
            <w:r>
              <w:t>Track A: LoRA, Granite-3.3-2B</w:t>
            </w:r>
          </w:p>
        </w:tc>
        <w:tc>
          <w:tcPr>
            <w:tcW w:type="dxa" w:w="2268"/>
          </w:tcPr>
          <w:p>
            <w:r>
              <w:t>20</w:t>
            </w:r>
          </w:p>
        </w:tc>
        <w:tc>
          <w:tcPr>
            <w:tcW w:type="dxa" w:w="2268"/>
          </w:tcPr>
          <w:p>
            <w:r>
              <w:t>≈0.35 h/run</w:t>
            </w:r>
          </w:p>
        </w:tc>
        <w:tc>
          <w:tcPr>
            <w:tcW w:type="dxa" w:w="2268"/>
          </w:tcPr>
          <w:p>
            <w:r>
              <w:t>≈7 h</w:t>
            </w:r>
          </w:p>
        </w:tc>
      </w:tr>
      <w:tr>
        <w:tc>
          <w:tcPr>
            <w:tcW w:type="dxa" w:w="2268"/>
          </w:tcPr>
          <w:p>
            <w:r>
              <w:t>Track A: LoRA, Qwen2.5-3B</w:t>
            </w:r>
          </w:p>
        </w:tc>
        <w:tc>
          <w:tcPr>
            <w:tcW w:type="dxa" w:w="2268"/>
          </w:tcPr>
          <w:p>
            <w:r>
              <w:t>20</w:t>
            </w:r>
          </w:p>
        </w:tc>
        <w:tc>
          <w:tcPr>
            <w:tcW w:type="dxa" w:w="2268"/>
          </w:tcPr>
          <w:p>
            <w:r>
              <w:t>≈0.4 h/run</w:t>
            </w:r>
          </w:p>
        </w:tc>
        <w:tc>
          <w:tcPr>
            <w:tcW w:type="dxa" w:w="2268"/>
          </w:tcPr>
          <w:p>
            <w:r>
              <w:t>≈8 h</w:t>
            </w:r>
          </w:p>
        </w:tc>
      </w:tr>
      <w:tr>
        <w:tc>
          <w:tcPr>
            <w:tcW w:type="dxa" w:w="2268"/>
          </w:tcPr>
          <w:p>
            <w:r>
              <w:t>Track B: full fine-tuning (5 runs per model)</w:t>
            </w:r>
          </w:p>
        </w:tc>
        <w:tc>
          <w:tcPr>
            <w:tcW w:type="dxa" w:w="2268"/>
          </w:tcPr>
          <w:p>
            <w:r>
              <w:t>20</w:t>
            </w:r>
          </w:p>
        </w:tc>
        <w:tc>
          <w:tcPr>
            <w:tcW w:type="dxa" w:w="2268"/>
          </w:tcPr>
          <w:p>
            <w:r>
              <w:t>2–3× the LoRA time of the same model</w:t>
            </w:r>
          </w:p>
        </w:tc>
        <w:tc>
          <w:tcPr>
            <w:tcW w:type="dxa" w:w="2268"/>
          </w:tcPr>
          <w:p>
            <w:r>
              <w:t>≈14 h</w:t>
            </w:r>
          </w:p>
        </w:tc>
      </w:tr>
      <w:tr>
        <w:tc>
          <w:tcPr>
            <w:tcW w:type="dxa" w:w="2268"/>
          </w:tcPr>
          <w:p>
            <w:r>
              <w:t>Sanity sweeps (12 single-task runs)</w:t>
            </w:r>
          </w:p>
        </w:tc>
        <w:tc>
          <w:tcPr>
            <w:tcW w:type="dxa" w:w="2268"/>
          </w:tcPr>
          <w:p>
            <w:r>
              <w:t>12</w:t>
            </w:r>
          </w:p>
        </w:tc>
        <w:tc>
          <w:tcPr>
            <w:tcW w:type="dxa" w:w="2268"/>
          </w:tcPr>
          <w:p>
            <w:r>
              <w:t>≈0.1–0.3 h/run</w:t>
            </w:r>
          </w:p>
        </w:tc>
        <w:tc>
          <w:tcPr>
            <w:tcW w:type="dxa" w:w="2268"/>
          </w:tcPr>
          <w:p>
            <w:r>
              <w:t>≈2–3 h</w:t>
            </w:r>
          </w:p>
        </w:tc>
      </w:tr>
      <w:tr>
        <w:tc>
          <w:tcPr>
            <w:tcW w:type="dxa" w:w="2268"/>
          </w:tcPr>
          <w:p>
            <w:r>
              <w:t>Evaluation passes + SVD analysis</w:t>
            </w:r>
          </w:p>
        </w:tc>
        <w:tc>
          <w:tcPr>
            <w:tcW w:type="dxa" w:w="2268"/>
          </w:tcPr>
          <w:p>
            <w:r>
              <w:t>—</w:t>
            </w:r>
          </w:p>
        </w:tc>
        <w:tc>
          <w:tcPr>
            <w:tcW w:type="dxa" w:w="2268"/>
          </w:tcPr>
          <w:p>
            <w:r>
              <w:t>offline</w:t>
            </w:r>
          </w:p>
        </w:tc>
        <w:tc>
          <w:tcPr>
            <w:tcW w:type="dxa" w:w="2268"/>
          </w:tcPr>
          <w:p>
            <w:r>
              <w:t>≈8 h</w:t>
            </w:r>
          </w:p>
        </w:tc>
      </w:tr>
      <w:tr>
        <w:tc>
          <w:tcPr>
            <w:tcW w:type="dxa" w:w="2268"/>
          </w:tcPr>
          <w:p>
            <w:r>
              <w:t>Total</w:t>
            </w:r>
          </w:p>
        </w:tc>
        <w:tc>
          <w:tcPr>
            <w:tcW w:type="dxa" w:w="2268"/>
          </w:tcPr>
          <w:p>
            <w:r>
              <w:t>132 runs</w:t>
            </w:r>
          </w:p>
        </w:tc>
        <w:tc>
          <w:tcPr>
            <w:tcW w:type="dxa" w:w="2268"/>
          </w:tcPr>
          <w:p>
            <w:r/>
          </w:p>
        </w:tc>
        <w:tc>
          <w:tcPr>
            <w:tcW w:type="dxa" w:w="2268"/>
          </w:tcPr>
          <w:p>
            <w:r>
              <w:t>≈45–55 GPU-hours</w:t>
            </w:r>
          </w:p>
        </w:tc>
      </w:tr>
    </w:tbl>
    <w:p/>
    <w:p>
      <w:r>
        <w:rPr>
          <w:b w:val="0"/>
          <w:i w:val="0"/>
        </w:rPr>
        <w:t>All runs execute on a single desktop RTX 4090 (24 GB, Ada Lovelace, native bf16). The full plan is ≈45–55 GPU-hours — roughly two to three days of continuous compute — which fits the 8-month timeline with a very large margin and removes dependence on free-tier session limits and queueing. Relative to the T4-based plan of the proposal, the RTX 4090 is ≈3–4× faster for this workload, and its 24 GB buffer fits every configuration of both tracks on one device, so device count, GPU generation, and memory capacity are constant across all 132 runs.</w:t>
      </w:r>
    </w:p>
    <w:p>
      <w:pPr>
        <w:pStyle w:val="Heading2"/>
      </w:pPr>
      <w:r>
        <w:t>9.2 Precision policy</w:t>
      </w:r>
    </w:p>
    <w:p>
      <w:pPr>
        <w:pStyle w:val="ListBullet"/>
      </w:pPr>
      <w:r>
        <w:t>Compute precision is bf16 for every run of both tracks, executed natively on the RTX 4090 (Ada Lovelace provides native bf16 tensor cores), matching the proposal's no-quantization design (quantization is excluded entirely so that rank never interacts with weight precision).</w:t>
      </w:r>
    </w:p>
    <w:p>
      <w:pPr>
        <w:pStyle w:val="ListBullet"/>
      </w:pPr>
      <w:r>
        <w:t>Hardware note: moving from the free-tier T4 plan to the desktop RTX 4090 removes the bf16-emulation overhead entirely and makes device count, GPU generation, and memory capacity constant across all runs — one fewer source of run-to-run variation. The proposal's Tools section should be updated to list the desktop RTX 4090 (24 GB) as the training platform in place of Colab/Kaggle. One precision policy is used for all runs — mixing bf16 and fp16 runs is prohibited, because numerics would then differ between models.</w:t>
      </w:r>
    </w:p>
    <w:p>
      <w:pPr>
        <w:pStyle w:val="ListBullet"/>
      </w:pPr>
      <w:r>
        <w:t>Adapter and head parameters and optimizer states are fp32 (Track A) / 8-bit (Track B); SVD analysis runs in fp32 on CPU.</w:t>
      </w:r>
    </w:p>
    <w:p>
      <w:pPr>
        <w:pStyle w:val="Heading2"/>
      </w:pPr>
      <w:r>
        <w:t>9.3 Software stack and reproducibility</w:t>
      </w:r>
    </w:p>
    <w:p>
      <w:pPr>
        <w:pStyle w:val="ListBullet"/>
      </w:pPr>
      <w:r>
        <w:t>Python 3.11; PyTorch 2.x (CUDA); transformers pinned at a version supporting all four architectures (≥ 4.46 for Granite); PEFT ≥ 0.13; datasets; bitsandbytes (Track B); Weights &amp; Biases; NumPy, SciPy (Spearman correlation), Matplotlib.</w:t>
      </w:r>
    </w:p>
    <w:p>
      <w:pPr>
        <w:pStyle w:val="ListBullet"/>
      </w:pPr>
      <w:r>
        <w:t>Exact versions are pinned at kickoff; requirements.txt and pip freeze are stored with the results; every checkpoint is loaded with a pinned revision hash.</w:t>
      </w:r>
    </w:p>
    <w:p>
      <w:pPr>
        <w:pStyle w:val="ListBullet"/>
      </w:pPr>
      <w:r>
        <w:t>Attention implementation: torch scaled-dot-product attention (SDPA) for all models and runs; FlashAttention-2 is not used, keeping the attention kernel identical across every run.</w:t>
      </w:r>
    </w:p>
    <w:p>
      <w:pPr>
        <w:pStyle w:val="ListBullet"/>
      </w:pPr>
      <w:r>
        <w:t>Every run logs to the Weights &amp; Biases project 'feasible-rank-window': per-step loss, learning rate, gradient norm; per-task accuracy matrices; BWT; adapter and head artifacts at each task boundary (needed for Section 7). Gradient-norm spikes (&gt; 10× running median) and NaN losses are auto-flagged (Section 11).</w:t>
      </w:r>
    </w:p>
    <w:p>
      <w:pPr>
        <w:pStyle w:val="Heading1"/>
      </w:pPr>
      <w:r>
        <w:t>10. Validity, Confounds, and Mitigations</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b/>
              </w:rPr>
              <w:t>Confound / threat</w:t>
            </w:r>
          </w:p>
        </w:tc>
        <w:tc>
          <w:tcPr>
            <w:tcW w:type="dxa" w:w="3024"/>
          </w:tcPr>
          <w:p>
            <w:r/>
            <w:r>
              <w:rPr>
                <w:b/>
              </w:rPr>
              <w:t>Status in this design</w:t>
            </w:r>
          </w:p>
        </w:tc>
        <w:tc>
          <w:tcPr>
            <w:tcW w:type="dxa" w:w="3024"/>
          </w:tcPr>
          <w:p>
            <w:r/>
            <w:r>
              <w:rPr>
                <w:b/>
              </w:rPr>
              <w:t>Mitigation</w:t>
            </w:r>
          </w:p>
        </w:tc>
      </w:tr>
      <w:tr>
        <w:tc>
          <w:tcPr>
            <w:tcW w:type="dxa" w:w="3024"/>
          </w:tcPr>
          <w:p>
            <w:r>
              <w:t>Learning rate appropriateness varies with model size (evaluator's concern)</w:t>
            </w:r>
          </w:p>
        </w:tc>
        <w:tc>
          <w:tcPr>
            <w:tcW w:type="dxa" w:w="3024"/>
          </w:tcPr>
          <w:p>
            <w:r>
              <w:t>Acknowledged and pre-registered</w:t>
            </w:r>
          </w:p>
        </w:tc>
        <w:tc>
          <w:tcPr>
            <w:tcW w:type="dxa" w:w="3024"/>
          </w:tcPr>
          <w:p>
            <w:r>
              <w:t>Per-model LR rule (Section 2.2) fixed a priori from literature schedules; sanity sweep (Section 11) verifies plateau membership empirically; within-model rank comparisons remain the primary claims; cross-scale claims framed as directional (proposal §1.10)</w:t>
            </w:r>
          </w:p>
        </w:tc>
      </w:tr>
      <w:tr>
        <w:tc>
          <w:tcPr>
            <w:tcW w:type="dxa" w:w="3024"/>
          </w:tcPr>
          <w:p>
            <w:r>
              <w:t>Family / architecture differences</w:t>
            </w:r>
          </w:p>
        </w:tc>
        <w:tc>
          <w:tcPr>
            <w:tcW w:type="dxa" w:w="3024"/>
          </w:tcPr>
          <w:p>
            <w:r>
              <w:t>Partially controlled by design</w:t>
            </w:r>
          </w:p>
        </w:tc>
        <w:tc>
          <w:tcPr>
            <w:tcW w:type="dxa" w:w="3024"/>
          </w:tcPr>
          <w:p>
            <w:r>
              <w:t>Qwen2.5 1.5B/3B pair gives a family-matched size contrast; Llama and Granite provide near-matched cross-family contrasts (Section 1.4); Granite's rescaling multipliers validated for the SVD pipeline (Section 7.2)</w:t>
            </w:r>
          </w:p>
        </w:tc>
      </w:tr>
      <w:tr>
        <w:tc>
          <w:tcPr>
            <w:tcW w:type="dxa" w:w="3024"/>
          </w:tcPr>
          <w:p>
            <w:r>
              <w:t>Seed variance can dwarf config effects (Narula et al., 2026)</w:t>
            </w:r>
          </w:p>
        </w:tc>
        <w:tc>
          <w:tcPr>
            <w:tcW w:type="dxa" w:w="3024"/>
          </w:tcPr>
          <w:p>
            <w:r>
              <w:t>Controlled</w:t>
            </w:r>
          </w:p>
        </w:tc>
        <w:tc>
          <w:tcPr>
            <w:tcW w:type="dxa" w:w="3024"/>
          </w:tcPr>
          <w:p>
            <w:r>
              <w:t>5 seeds per configuration; mean ± std; directional claims only</w:t>
            </w:r>
          </w:p>
        </w:tc>
      </w:tr>
      <w:tr>
        <w:tc>
          <w:tcPr>
            <w:tcW w:type="dxa" w:w="3024"/>
          </w:tcPr>
          <w:p>
            <w:r>
              <w:t>Trainable-parameter budget co-varies with depth at fixed rank</w:t>
            </w:r>
          </w:p>
        </w:tc>
        <w:tc>
          <w:tcPr>
            <w:tcW w:type="dxa" w:w="3024"/>
          </w:tcPr>
          <w:p>
            <w:r>
              <w:t>Acknowledged</w:t>
            </w:r>
          </w:p>
        </w:tc>
        <w:tc>
          <w:tcPr>
            <w:tcW w:type="dxa" w:w="3024"/>
          </w:tcPr>
          <w:p>
            <w:r>
              <w:t>Budget reported per configuration (Section 3.2); rank defined per-matrix; Track B anchors the full-budget end</w:t>
            </w:r>
          </w:p>
        </w:tc>
      </w:tr>
      <w:tr>
        <w:tc>
          <w:tcPr>
            <w:tcW w:type="dxa" w:w="3024"/>
          </w:tcPr>
          <w:p>
            <w:r>
              <w:t>Effective step size co-varying with rank</w:t>
            </w:r>
          </w:p>
        </w:tc>
        <w:tc>
          <w:tcPr>
            <w:tcW w:type="dxa" w:w="3024"/>
          </w:tcPr>
          <w:p>
            <w:r>
              <w:t>Neutralized</w:t>
            </w:r>
          </w:p>
        </w:tc>
        <w:tc>
          <w:tcPr>
            <w:tcW w:type="dxa" w:w="3024"/>
          </w:tcPr>
          <w:p>
            <w:r>
              <w:t>α = 2r ⇒ α/r = 2 ⇒ adapter step size 2η identical at every rank (Section 2.3)</w:t>
            </w:r>
          </w:p>
        </w:tc>
      </w:tr>
      <w:tr>
        <w:tc>
          <w:tcPr>
            <w:tcW w:type="dxa" w:w="3024"/>
          </w:tcPr>
          <w:p>
            <w:r>
              <w:t>Dropout / padding / precision inconsistencies across models</w:t>
            </w:r>
          </w:p>
        </w:tc>
        <w:tc>
          <w:tcPr>
            <w:tcW w:type="dxa" w:w="3024"/>
          </w:tcPr>
          <w:p>
            <w:r>
              <w:t>Excluded</w:t>
            </w:r>
          </w:p>
        </w:tc>
        <w:tc>
          <w:tcPr>
            <w:tcW w:type="dxa" w:w="3024"/>
          </w:tcPr>
          <w:p>
            <w:r>
              <w:t>Dropout 0.0 everywhere; fixed padding policy; single bf16 policy (Sections 2.4, 9.2)</w:t>
            </w:r>
          </w:p>
        </w:tc>
      </w:tr>
      <w:tr>
        <w:tc>
          <w:tcPr>
            <w:tcW w:type="dxa" w:w="3024"/>
          </w:tcPr>
          <w:p>
            <w:r>
              <w:t>Task-order effects</w:t>
            </w:r>
          </w:p>
        </w:tc>
        <w:tc>
          <w:tcPr>
            <w:tcW w:type="dxa" w:w="3024"/>
          </w:tcPr>
          <w:p>
            <w:r>
              <w:t>Fixed</w:t>
            </w:r>
          </w:p>
        </w:tc>
        <w:tc>
          <w:tcPr>
            <w:tcW w:type="dxa" w:w="3024"/>
          </w:tcPr>
          <w:p>
            <w:r>
              <w:t>One pre-registered order; permutations listed as future work (Biderman et al. note)</w:t>
            </w:r>
          </w:p>
        </w:tc>
      </w:tr>
      <w:tr>
        <w:tc>
          <w:tcPr>
            <w:tcW w:type="dxa" w:w="3024"/>
          </w:tcPr>
          <w:p>
            <w:r>
              <w:t>Quantization interactions</w:t>
            </w:r>
          </w:p>
        </w:tc>
        <w:tc>
          <w:tcPr>
            <w:tcW w:type="dxa" w:w="3024"/>
          </w:tcPr>
          <w:p>
            <w:r>
              <w:t>Excluded</w:t>
            </w:r>
          </w:p>
        </w:tc>
        <w:tc>
          <w:tcPr>
            <w:tcW w:type="dxa" w:w="3024"/>
          </w:tcPr>
          <w:p>
            <w:r>
              <w:t>bf16 everywhere, no 4/8-bit weights (proposal design)</w:t>
            </w:r>
          </w:p>
        </w:tc>
      </w:tr>
      <w:tr>
        <w:tc>
          <w:tcPr>
            <w:tcW w:type="dxa" w:w="3024"/>
          </w:tcPr>
          <w:p>
            <w:r>
              <w:t>Llama-3.2-1B's pruned/distilled lineage</w:t>
            </w:r>
          </w:p>
        </w:tc>
        <w:tc>
          <w:tcPr>
            <w:tcW w:type="dxa" w:w="3024"/>
          </w:tcPr>
          <w:p>
            <w:r>
              <w:t>Documented</w:t>
            </w:r>
          </w:p>
        </w:tc>
        <w:tc>
          <w:tcPr>
            <w:tcW w:type="dxa" w:w="3024"/>
          </w:tcPr>
          <w:p>
            <w:r>
              <w:t>Pre-training-based LR extrapolation is unreliable for distilled models, which is an additional reason the LR rule is anchored on fine-tuning-calibrated evidence (GPT-3 row, QLoRA, Biderman) rather than pre-training curves</w:t>
            </w:r>
          </w:p>
        </w:tc>
      </w:tr>
      <w:tr>
        <w:tc>
          <w:tcPr>
            <w:tcW w:type="dxa" w:w="3024"/>
          </w:tcPr>
          <w:p>
            <w:r>
              <w:t>Evaluation noise</w:t>
            </w:r>
          </w:p>
        </w:tc>
        <w:tc>
          <w:tcPr>
            <w:tcW w:type="dxa" w:w="3024"/>
          </w:tcPr>
          <w:p>
            <w:r>
              <w:t>Minimized</w:t>
            </w:r>
          </w:p>
        </w:tc>
        <w:tc>
          <w:tcPr>
            <w:tcW w:type="dxa" w:w="3024"/>
          </w:tcPr>
          <w:p>
            <w:r>
              <w:t>Full official validation sets, no subsampling; evaluation batch and precision fixed</w:t>
            </w:r>
          </w:p>
        </w:tc>
      </w:tr>
    </w:tbl>
    <w:p/>
    <w:p>
      <w:pPr>
        <w:pStyle w:val="Heading1"/>
      </w:pPr>
      <w:r>
        <w:t>11. Sanity and Verification Protocol (Pre-Run)</w:t>
      </w:r>
    </w:p>
    <w:p>
      <w:r>
        <w:rPr>
          <w:b w:val="0"/>
          <w:i w:val="0"/>
        </w:rPr>
        <w:t>Before the 72 full-sequence runs begin, a small verification battery establishes that every model trains healthily at its assigned learning rate, so that 'LR appropriateness' is demonstrated rather than assumed:</w:t>
      </w:r>
    </w:p>
    <w:p>
      <w:pPr>
        <w:pStyle w:val="ListBullet"/>
      </w:pPr>
      <w:r>
        <w:t>LoRA sanity (8 single-task runs): each model fine-tuned on RTE only, r = 16, seed 42, at its rule LR and at the original constant 2e-4. Pass criteria: (i) no NaN loss and no gradient-norm spike &gt; 10× the running median; (ii) final RTE accuracy differs by ≤ 2 points between the two rates, demonstrating that both sit inside the model's learning-rate plateau.</w:t>
      </w:r>
    </w:p>
    <w:p>
      <w:pPr>
        <w:pStyle w:val="ListBullet"/>
      </w:pPr>
      <w:r>
        <w:t>Full-FT sanity (4 single-task runs): each model fine-tuned on RTE only, seed 42, at its rule LR and at 2× the rule LR. Same pass criteria.</w:t>
      </w:r>
    </w:p>
    <w:p>
      <w:pPr>
        <w:pStyle w:val="ListBullet"/>
      </w:pPr>
      <w:r>
        <w:t>Smoke test: one complete 3-task sequence per model (LoRA, r = 16, seed 42) before batch launch, confirming the pipeline end-to-end including SVD extraction.</w:t>
      </w:r>
    </w:p>
    <w:p>
      <w:pPr>
        <w:pStyle w:val="ListBullet"/>
      </w:pPr>
      <w:r>
        <w:t>Fallback policy: if a rule LR shows instability, the LR is reduced by one step (×0.75) and the deviation is logged and reported — the same stability-driven adjustment Biderman et al. (2024, Appendix A) made for their unstable r = 256 configuration. If the 2e-4 comparison beats the rule LR by &gt; 2 points on any model, the LR-sensitivity result is reported explicitly rather than hidden.</w:t>
      </w:r>
    </w:p>
    <w:p>
      <w:r>
        <w:rPr>
          <w:b w:val="0"/>
          <w:i w:val="0"/>
        </w:rPr>
        <w:t>These 12 verification runs bring the grand total to 132 runs and cost ≈2–3 GPU-hours on the RTX 4090.</w:t>
      </w:r>
    </w:p>
    <w:p>
      <w:pPr>
        <w:pStyle w:val="Heading1"/>
      </w:pPr>
      <w:r>
        <w:t>12. Expected Outputs and Deliverables</w:t>
      </w:r>
    </w:p>
    <w:p>
      <w:pPr>
        <w:pStyle w:val="ListBullet"/>
      </w:pPr>
      <w:r>
        <w:t>Rank-forgetting curves: BWT vs r (mean ± seed band) for each of the four models — the first empirical rank-forgetting curves for decoder-only models below 3B.</w:t>
      </w:r>
    </w:p>
    <w:p>
      <w:pPr>
        <w:pStyle w:val="ListBullet"/>
      </w:pPr>
      <w:r>
        <w:t>Final-task accuracy vs r for each model, separating learning from retention.</w:t>
      </w:r>
    </w:p>
    <w:p>
      <w:pPr>
        <w:pStyle w:val="ListBullet"/>
      </w:pPr>
      <w:r>
        <w:t>The feasible rank window per model, in raw r, r/d_model, and r/Wv-width units, per the pre-registered definition of Section 6.4.</w:t>
      </w:r>
    </w:p>
    <w:p>
      <w:pPr>
        <w:pStyle w:val="ListBullet"/>
      </w:pPr>
      <w:r>
        <w:t>Window-drift analysis across 1.24B → 1.54B → 2.53B → 3.09B, with the Qwen within-family pair as primary scaling evidence and the cross-family contrasts as generality checks (RQ2/RQ4).</w:t>
      </w:r>
    </w:p>
    <w:p>
      <w:pPr>
        <w:pStyle w:val="ListBullet"/>
      </w:pPr>
      <w:r>
        <w:t>Intruder-dimension counts correlated with BWT across ranks, models, and seeds (RQ3), including the per-family ε-sensitivity analysis.</w:t>
      </w:r>
    </w:p>
    <w:p>
      <w:pPr>
        <w:pStyle w:val="ListBullet"/>
      </w:pPr>
      <w:r>
        <w:t>The LoRA-vs-full-fine-tuning learning-forgetting comparison at sub-3B classification scale, testing the transfer of Biderman et al. (2024) and Shuttleworth et al. (2025) patterns to this scale.</w:t>
      </w:r>
    </w:p>
    <w:p>
      <w:pPr>
        <w:pStyle w:val="ListBullet"/>
      </w:pPr>
      <w:r>
        <w:t>A practical rank-selection guidance table for sub-3B sequential-classification deployment (RQ4), derived strictly from the empirical windows above.</w:t>
      </w:r>
    </w:p>
    <w:p>
      <w:pPr>
        <w:pStyle w:val="Heading1"/>
      </w:pPr>
      <w:r>
        <w:t>Appendix A. Consolidated Hyperparameter Reference</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b/>
              </w:rPr>
              <w:t>Item</w:t>
            </w:r>
          </w:p>
        </w:tc>
        <w:tc>
          <w:tcPr>
            <w:tcW w:type="dxa" w:w="3024"/>
          </w:tcPr>
          <w:p>
            <w:r/>
            <w:r>
              <w:rPr>
                <w:b/>
              </w:rPr>
              <w:t>Track A (LoRA)</w:t>
            </w:r>
          </w:p>
        </w:tc>
        <w:tc>
          <w:tcPr>
            <w:tcW w:type="dxa" w:w="3024"/>
          </w:tcPr>
          <w:p>
            <w:r/>
            <w:r>
              <w:rPr>
                <w:b/>
              </w:rPr>
              <w:t>Track B (Full FT)</w:t>
            </w:r>
          </w:p>
        </w:tc>
      </w:tr>
      <w:tr>
        <w:tc>
          <w:tcPr>
            <w:tcW w:type="dxa" w:w="3024"/>
          </w:tcPr>
          <w:p>
            <w:r>
              <w:t>Trainable scope</w:t>
            </w:r>
          </w:p>
        </w:tc>
        <w:tc>
          <w:tcPr>
            <w:tcW w:type="dxa" w:w="3024"/>
          </w:tcPr>
          <w:p>
            <w:r>
              <w:t>q/v adapters + current task head</w:t>
            </w:r>
          </w:p>
        </w:tc>
        <w:tc>
          <w:tcPr>
            <w:tcW w:type="dxa" w:w="3024"/>
          </w:tcPr>
          <w:p>
            <w:r>
              <w:t>All non-embedding weights + current task head</w:t>
            </w:r>
          </w:p>
        </w:tc>
      </w:tr>
      <w:tr>
        <w:tc>
          <w:tcPr>
            <w:tcW w:type="dxa" w:w="3024"/>
          </w:tcPr>
          <w:p>
            <w:r>
              <w:t>Rank / alpha</w:t>
            </w:r>
          </w:p>
        </w:tc>
        <w:tc>
          <w:tcPr>
            <w:tcW w:type="dxa" w:w="3024"/>
          </w:tcPr>
          <w:p>
            <w:r>
              <w:t>r ∈ {4,8,16,32,64}, α = 2r</w:t>
            </w:r>
          </w:p>
        </w:tc>
        <w:tc>
          <w:tcPr>
            <w:tcW w:type="dxa" w:w="3024"/>
          </w:tcPr>
          <w:p>
            <w:r>
              <w:t>n/a</w:t>
            </w:r>
          </w:p>
        </w:tc>
      </w:tr>
      <w:tr>
        <w:tc>
          <w:tcPr>
            <w:tcW w:type="dxa" w:w="3024"/>
          </w:tcPr>
          <w:p>
            <w:r>
              <w:t>Learning rates (1B / 1.5B / 2.53B / 3B)</w:t>
            </w:r>
          </w:p>
        </w:tc>
        <w:tc>
          <w:tcPr>
            <w:tcW w:type="dxa" w:w="3024"/>
          </w:tcPr>
          <w:p>
            <w:r>
              <w:t>2.0e-4 / 1.85e-4 / 1.6e-4 / 1.5e-4</w:t>
            </w:r>
          </w:p>
        </w:tc>
        <w:tc>
          <w:tcPr>
            <w:tcW w:type="dxa" w:w="3024"/>
          </w:tcPr>
          <w:p>
            <w:r>
              <w:t>2.0e-5 / 1.85e-5 / 1.6e-5 / 1.5e-5</w:t>
            </w:r>
          </w:p>
        </w:tc>
      </w:tr>
      <w:tr>
        <w:tc>
          <w:tcPr>
            <w:tcW w:type="dxa" w:w="3024"/>
          </w:tcPr>
          <w:p>
            <w:r>
              <w:t>Optimizer</w:t>
            </w:r>
          </w:p>
        </w:tc>
        <w:tc>
          <w:tcPr>
            <w:tcW w:type="dxa" w:w="3024"/>
          </w:tcPr>
          <w:p>
            <w:r>
              <w:t>AdamW fp32 states</w:t>
            </w:r>
          </w:p>
        </w:tc>
        <w:tc>
          <w:tcPr>
            <w:tcW w:type="dxa" w:w="3024"/>
          </w:tcPr>
          <w:p>
            <w:r>
              <w:t>AdamW 8-bit (bitsandbytes)</w:t>
            </w:r>
          </w:p>
        </w:tc>
      </w:tr>
      <w:tr>
        <w:tc>
          <w:tcPr>
            <w:tcW w:type="dxa" w:w="3024"/>
          </w:tcPr>
          <w:p>
            <w:r>
              <w:t>Batch (effective)</w:t>
            </w:r>
          </w:p>
        </w:tc>
        <w:tc>
          <w:tcPr>
            <w:tcW w:type="dxa" w:w="3024"/>
          </w:tcPr>
          <w:p>
            <w:r>
              <w:t>16</w:t>
            </w:r>
          </w:p>
        </w:tc>
        <w:tc>
          <w:tcPr>
            <w:tcW w:type="dxa" w:w="3024"/>
          </w:tcPr>
          <w:p>
            <w:r>
              <w:t>16 (8 × 2 accumulation; 4 × 4 if needed)</w:t>
            </w:r>
          </w:p>
        </w:tc>
      </w:tr>
      <w:tr>
        <w:tc>
          <w:tcPr>
            <w:tcW w:type="dxa" w:w="3024"/>
          </w:tcPr>
          <w:p>
            <w:r>
              <w:t>Gradient checkpointing</w:t>
            </w:r>
          </w:p>
        </w:tc>
        <w:tc>
          <w:tcPr>
            <w:tcW w:type="dxa" w:w="3024"/>
          </w:tcPr>
          <w:p>
            <w:r>
              <w:t>off (24 GB headroom)</w:t>
            </w:r>
          </w:p>
        </w:tc>
        <w:tc>
          <w:tcPr>
            <w:tcW w:type="dxa" w:w="3024"/>
          </w:tcPr>
          <w:p>
            <w:r>
              <w:t>on</w:t>
            </w:r>
          </w:p>
        </w:tc>
      </w:tr>
      <w:tr>
        <w:tc>
          <w:tcPr>
            <w:tcW w:type="dxa" w:w="3024"/>
          </w:tcPr>
          <w:p>
            <w:r>
              <w:t>Epochs / steps per task</w:t>
            </w:r>
          </w:p>
        </w:tc>
        <w:tc>
          <w:tcPr>
            <w:tcW w:type="dxa" w:w="3024"/>
          </w:tcPr>
          <w:p>
            <w:r>
              <w:t>3 / 468</w:t>
            </w:r>
          </w:p>
        </w:tc>
        <w:tc>
          <w:tcPr>
            <w:tcW w:type="dxa" w:w="3024"/>
          </w:tcPr>
          <w:p>
            <w:r>
              <w:t>3 / 468</w:t>
            </w:r>
          </w:p>
        </w:tc>
      </w:tr>
      <w:tr>
        <w:tc>
          <w:tcPr>
            <w:tcW w:type="dxa" w:w="3024"/>
          </w:tcPr>
          <w:p>
            <w:r>
              <w:t>Schedule</w:t>
            </w:r>
          </w:p>
        </w:tc>
        <w:tc>
          <w:tcPr>
            <w:tcW w:type="dxa" w:w="3024"/>
          </w:tcPr>
          <w:p>
            <w:r>
              <w:t>3% warmup + cosine to 0 per task</w:t>
            </w:r>
          </w:p>
        </w:tc>
        <w:tc>
          <w:tcPr>
            <w:tcW w:type="dxa" w:w="3024"/>
          </w:tcPr>
          <w:p>
            <w:r>
              <w:t>identical</w:t>
            </w:r>
          </w:p>
        </w:tc>
      </w:tr>
      <w:tr>
        <w:tc>
          <w:tcPr>
            <w:tcW w:type="dxa" w:w="3024"/>
          </w:tcPr>
          <w:p>
            <w:r>
              <w:t>Weight decay / clip</w:t>
            </w:r>
          </w:p>
        </w:tc>
        <w:tc>
          <w:tcPr>
            <w:tcW w:type="dxa" w:w="3024"/>
          </w:tcPr>
          <w:p>
            <w:r>
              <w:t>0 / 1.0</w:t>
            </w:r>
          </w:p>
        </w:tc>
        <w:tc>
          <w:tcPr>
            <w:tcW w:type="dxa" w:w="3024"/>
          </w:tcPr>
          <w:p>
            <w:r>
              <w:t>0 / 1.0</w:t>
            </w:r>
          </w:p>
        </w:tc>
      </w:tr>
      <w:tr>
        <w:tc>
          <w:tcPr>
            <w:tcW w:type="dxa" w:w="3024"/>
          </w:tcPr>
          <w:p>
            <w:r>
              <w:t>Precision</w:t>
            </w:r>
          </w:p>
        </w:tc>
        <w:tc>
          <w:tcPr>
            <w:tcW w:type="dxa" w:w="3024"/>
          </w:tcPr>
          <w:p>
            <w:r>
              <w:t>bf16 compute, fp32 adapters+heads</w:t>
            </w:r>
          </w:p>
        </w:tc>
        <w:tc>
          <w:tcPr>
            <w:tcW w:type="dxa" w:w="3024"/>
          </w:tcPr>
          <w:p>
            <w:r>
              <w:t>bf16 compute, 8-bit optimizer</w:t>
            </w:r>
          </w:p>
        </w:tc>
      </w:tr>
      <w:tr>
        <w:tc>
          <w:tcPr>
            <w:tcW w:type="dxa" w:w="3024"/>
          </w:tcPr>
          <w:p>
            <w:r>
              <w:t>Seeds</w:t>
            </w:r>
          </w:p>
        </w:tc>
        <w:tc>
          <w:tcPr>
            <w:tcW w:type="dxa" w:w="3024"/>
          </w:tcPr>
          <w:p>
            <w:r>
              <w:t>42, 123, 456, 789, 1024</w:t>
            </w:r>
          </w:p>
        </w:tc>
        <w:tc>
          <w:tcPr>
            <w:tcW w:type="dxa" w:w="3024"/>
          </w:tcPr>
          <w:p>
            <w:r>
              <w:t>42, 123, 456, 789, 1024</w:t>
            </w:r>
          </w:p>
        </w:tc>
      </w:tr>
      <w:tr>
        <w:tc>
          <w:tcPr>
            <w:tcW w:type="dxa" w:w="3024"/>
          </w:tcPr>
          <w:p>
            <w:r>
              <w:t>Runs</w:t>
            </w:r>
          </w:p>
        </w:tc>
        <w:tc>
          <w:tcPr>
            <w:tcW w:type="dxa" w:w="3024"/>
          </w:tcPr>
          <w:p>
            <w:r>
              <w:t>100</w:t>
            </w:r>
          </w:p>
        </w:tc>
        <w:tc>
          <w:tcPr>
            <w:tcW w:type="dxa" w:w="3024"/>
          </w:tcPr>
          <w:p>
            <w:r>
              <w:t>20</w:t>
            </w:r>
          </w:p>
        </w:tc>
      </w:tr>
    </w:tbl>
    <w:p/>
    <w:p>
      <w:pPr>
        <w:pStyle w:val="Heading1"/>
      </w:pPr>
      <w:r>
        <w:t>Appendix B. Design Choice → Literature Anchor</w:t>
      </w:r>
    </w:p>
    <w:tbl>
      <w:tblPr>
        <w:tblStyle w:val="TableGrid"/>
        <w:tblW w:type="auto" w:w="0"/>
        <w:tblLook w:firstColumn="1" w:firstRow="1" w:lastColumn="0" w:lastRow="0" w:noHBand="0" w:noVBand="1" w:val="04A0"/>
      </w:tblPr>
      <w:tblGrid>
        <w:gridCol w:w="4536"/>
        <w:gridCol w:w="4536"/>
      </w:tblGrid>
      <w:tr>
        <w:tc>
          <w:tcPr>
            <w:tcW w:type="dxa" w:w="4536"/>
          </w:tcPr>
          <w:p>
            <w:r/>
            <w:r>
              <w:rPr>
                <w:b/>
              </w:rPr>
              <w:t>Design choice</w:t>
            </w:r>
          </w:p>
        </w:tc>
        <w:tc>
          <w:tcPr>
            <w:tcW w:type="dxa" w:w="4536"/>
          </w:tcPr>
          <w:p>
            <w:r/>
            <w:r>
              <w:rPr>
                <w:b/>
              </w:rPr>
              <w:t>Anchor</w:t>
            </w:r>
          </w:p>
        </w:tc>
      </w:tr>
      <w:tr>
        <w:tc>
          <w:tcPr>
            <w:tcW w:type="dxa" w:w="4536"/>
          </w:tcPr>
          <w:p>
            <w:r>
              <w:t>LoRA on q/v projections; rank sweep {4…64}</w:t>
            </w:r>
          </w:p>
        </w:tc>
        <w:tc>
          <w:tcPr>
            <w:tcW w:type="dxa" w:w="4536"/>
          </w:tcPr>
          <w:p>
            <w:r>
              <w:t>Hu et al. (2021); proposal Step 2</w:t>
            </w:r>
          </w:p>
        </w:tc>
      </w:tr>
      <w:tr>
        <w:tc>
          <w:tcPr>
            <w:tcW w:type="dxa" w:w="4536"/>
          </w:tcPr>
          <w:p>
            <w:r>
              <w:t>α = 2r at all ranks</w:t>
            </w:r>
          </w:p>
        </w:tc>
        <w:tc>
          <w:tcPr>
            <w:tcW w:type="dxa" w:w="4536"/>
          </w:tcPr>
          <w:p>
            <w:r>
              <w:t>Biderman et al. (2024, §4.7); validated by Shuttleworth et al. (2025)</w:t>
            </w:r>
          </w:p>
        </w:tc>
      </w:tr>
      <w:tr>
        <w:tc>
          <w:tcPr>
            <w:tcW w:type="dxa" w:w="4536"/>
          </w:tcPr>
          <w:p>
            <w:r>
              <w:t>Per-model LR rule, exponent −1/3, anchor 2e-4</w:t>
            </w:r>
          </w:p>
        </w:tc>
        <w:tc>
          <w:tcPr>
            <w:tcW w:type="dxa" w:w="4536"/>
          </w:tcPr>
          <w:p>
            <w:r>
              <w:t>Brown et al. (2020, GPT-3 Table 2.1: 1.3B → 2.0e-4; 2.7B → 1.6e-4); Dettmers et al. (2023, QLoRA Table 9: 2e-4 for 7B/13B)</w:t>
            </w:r>
          </w:p>
        </w:tc>
      </w:tr>
      <w:tr>
        <w:tc>
          <w:tcPr>
            <w:tcW w:type="dxa" w:w="4536"/>
          </w:tcPr>
          <w:p>
            <w:r>
              <w:t>Full-FT LR = LoRA LR ÷ 10</w:t>
            </w:r>
          </w:p>
        </w:tc>
        <w:tc>
          <w:tcPr>
            <w:tcW w:type="dxa" w:w="4536"/>
          </w:tcPr>
          <w:p>
            <w:r>
              <w:t>Biderman et al. (2024, §4.7)</w:t>
            </w:r>
          </w:p>
        </w:tc>
      </w:tr>
      <w:tr>
        <w:tc>
          <w:tcPr>
            <w:tcW w:type="dxa" w:w="4536"/>
          </w:tcPr>
          <w:p>
            <w:r>
              <w:t>LR conservative vs Kaplan Eq. D.1 (forgetting endpoint)</w:t>
            </w:r>
          </w:p>
        </w:tc>
        <w:tc>
          <w:tcPr>
            <w:tcW w:type="dxa" w:w="4536"/>
          </w:tcPr>
          <w:p>
            <w:r>
              <w:t>Kaplan et al. (2020, App. D.6); Shuttleworth et al. (2025, Fig. 7: LR↑ → intruders↑ → forgetting↑)</w:t>
            </w:r>
          </w:p>
        </w:tc>
      </w:tr>
      <w:tr>
        <w:tc>
          <w:tcPr>
            <w:tcW w:type="dxa" w:w="4536"/>
          </w:tcPr>
          <w:p>
            <w:r>
              <w:t>BWT as primary forgetting metric</w:t>
            </w:r>
          </w:p>
        </w:tc>
        <w:tc>
          <w:tcPr>
            <w:tcW w:type="dxa" w:w="4536"/>
          </w:tcPr>
          <w:p>
            <w:r>
              <w:t>Lopez-Paz &amp; Ranzato (2017); task-incremental protocol per de Lange et al. (2022)</w:t>
            </w:r>
          </w:p>
        </w:tc>
      </w:tr>
      <w:tr>
        <w:tc>
          <w:tcPr>
            <w:tcW w:type="dxa" w:w="4536"/>
          </w:tcPr>
          <w:p>
            <w:r>
              <w:t>Intruder-dimension SVD procedure (k, ε, per-checkpoint)</w:t>
            </w:r>
          </w:p>
        </w:tc>
        <w:tc>
          <w:tcPr>
            <w:tcW w:type="dxa" w:w="4536"/>
          </w:tcPr>
          <w:p>
            <w:r>
              <w:t>Shuttleworth et al. (2025, Alg. 1, Fig. 4, App. B.3)</w:t>
            </w:r>
          </w:p>
        </w:tc>
      </w:tr>
      <w:tr>
        <w:tc>
          <w:tcPr>
            <w:tcW w:type="dxa" w:w="4536"/>
          </w:tcPr>
          <w:p>
            <w:r>
              <w:t>5 seeds; single-seed claims rejected</w:t>
            </w:r>
          </w:p>
        </w:tc>
        <w:tc>
          <w:tcPr>
            <w:tcW w:type="dxa" w:w="4536"/>
          </w:tcPr>
          <w:p>
            <w:r>
              <w:t>Narula et al. (2026)</w:t>
            </w:r>
          </w:p>
        </w:tc>
      </w:tr>
      <w:tr>
        <w:tc>
          <w:tcPr>
            <w:tcW w:type="dxa" w:w="4536"/>
          </w:tcPr>
          <w:p>
            <w:r>
              <w:t>8-bit AdamW for Track B</w:t>
            </w:r>
          </w:p>
        </w:tc>
        <w:tc>
          <w:tcPr>
            <w:tcW w:type="dxa" w:w="4536"/>
          </w:tcPr>
          <w:p>
            <w:r>
              <w:t>Dettmers et al. (2022, block-wise 8-bit optimizers)</w:t>
            </w:r>
          </w:p>
        </w:tc>
      </w:tr>
      <w:tr>
        <w:tc>
          <w:tcPr>
            <w:tcW w:type="dxa" w:w="4536"/>
          </w:tcPr>
          <w:p>
            <w:r>
              <w:t>Sub-3B classification feasibility on single GPU</w:t>
            </w:r>
          </w:p>
        </w:tc>
        <w:tc>
          <w:tcPr>
            <w:tcW w:type="dxa" w:w="4536"/>
          </w:tcPr>
          <w:p>
            <w:r>
              <w:t>Hwang et al. (2025)</w:t>
            </w:r>
          </w:p>
        </w:tc>
      </w:tr>
      <w:tr>
        <w:tc>
          <w:tcPr>
            <w:tcW w:type="dxa" w:w="4536"/>
          </w:tcPr>
          <w:p>
            <w:r>
              <w:t>Full FT forgets more; no intruder dimensions under full FT</w:t>
            </w:r>
          </w:p>
        </w:tc>
        <w:tc>
          <w:tcPr>
            <w:tcW w:type="dxa" w:w="4536"/>
          </w:tcPr>
          <w:p>
            <w:r>
              <w:t>Biderman et al. (2024, §4.2); Shuttleworth et al. (2025, §3, Fig. 9)</w:t>
            </w:r>
          </w:p>
        </w:tc>
      </w:tr>
      <w:tr>
        <w:tc>
          <w:tcPr>
            <w:tcW w:type="dxa" w:w="4536"/>
          </w:tcPr>
          <w:p>
            <w:r>
              <w:t>GLUE tasks and sample sizes</w:t>
            </w:r>
          </w:p>
        </w:tc>
        <w:tc>
          <w:tcPr>
            <w:tcW w:type="dxa" w:w="4536"/>
          </w:tcPr>
          <w:p>
            <w:r>
              <w:t>Wang et al. (2019); Socher et al. (2013); Dagan et al. (2006); Williams et al. (2018)</w:t>
            </w:r>
          </w:p>
        </w:tc>
      </w:tr>
      <w:tr>
        <w:tc>
          <w:tcPr>
            <w:tcW w:type="dxa" w:w="4536"/>
          </w:tcPr>
          <w:p>
            <w:r>
              <w:t>μP / LR-transfer as future work</w:t>
            </w:r>
          </w:p>
        </w:tc>
        <w:tc>
          <w:tcPr>
            <w:tcW w:type="dxa" w:w="4536"/>
          </w:tcPr>
          <w:p>
            <w:r>
              <w:t>Yang et al. (2022, Tensor Programs V)</w:t>
            </w:r>
          </w:p>
        </w:tc>
      </w:tr>
      <w:tr>
        <w:tc>
          <w:tcPr>
            <w:tcW w:type="dxa" w:w="4536"/>
          </w:tcPr>
          <w:p>
            <w:r>
              <w:t>Per-rank LR stability adjustment precedent</w:t>
            </w:r>
          </w:p>
        </w:tc>
        <w:tc>
          <w:tcPr>
            <w:tcW w:type="dxa" w:w="4536"/>
          </w:tcPr>
          <w:p>
            <w:r>
              <w:t>Biderman et al. (2024, App. A: r = 256 downgraded to 1e-4 on instability)</w:t>
            </w:r>
          </w:p>
        </w:tc>
      </w:tr>
    </w:tbl>
    <w:p/>
    <w:p>
      <w:r>
        <w:rPr>
          <w:b w:val="0"/>
          <w:i/>
        </w:rPr>
        <w:t>End of document.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