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cash</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r w:rsidR="00671B6D" w:rsidRPr="00CF1D40" w:rsidTr="00671B6D">
        <w:trPr>
          <w:tblCellSpacing w:w="15" w:type="dxa"/>
        </w:trPr>
        <w:tc>
          <w:tcPr>
            <w:tcW w:w="3924"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{#otherPriorities}{name}</w:t>
            </w:r>
          </w:p>
        </w:tc>
        <w:tc>
          <w:tcPr>
            <w:tcW w:w="5058" w:type="dxa"/>
            <w:vAlign w:val="center"/>
            <w:hideMark/>
          </w:tcPr>
          <w:p w:rsidR="00671B6D" w:rsidRPr="00CF1D40" w:rsidRDefault="00671B6D" w:rsidP="00671B6D">
            <w:pPr>
              <w:spacing w:before="240" w:after="240"/>
              <w:rPr>
                <w:rFonts w:ascii="Aptos" w:hAnsi="Aptos"/>
              </w:rPr>
            </w:pPr>
            <w:r w:rsidRPr="00CF1D40">
              <w:rPr>
                <w:rFonts w:ascii="Aptos" w:hAnsi="Aptos"/>
              </w:rPr>
              <w:t xml:space="preserve">{outcome}{/otherPriorities}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{incomeStructureNoun}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{incomeStructureLabel}</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{amount}{/incomeAlignment}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{incomeStructureNoun}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{incomeRecommendation}</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B635D5C5" w14:textId="BF9E4EC6" w:rsidTr="2DDC80E3">
        <w:trPr>
          <w:tblCellSpacing w:w="15" w:type="dxa"/>
        </w:trPr>
        <w:tc>
          <w:tcPr>
            <w:tcW w:w="3924" w:type="dxa"/>
            <w:tcBorders>
              <w:bottom w:val="single" w:sz="4" w:space="0" w:color="auto"/>
            </w:tcBorders>
          </w:tcPr>
          <w:p w14:paraId="E7B2199F" w14:textId="FDC998F2" w:rsidR="00CF1D40" w:rsidRPr="00CF1D40" w:rsidRDefault="00CF1D40" w:rsidP="00CF1D40">
            <w:pPr>
              <w:spacing w:before="240" w:after="240"/>
              <w:rPr>
                <w:rFonts w:ascii="Aptos" w:hAnsi="Aptos"/>
              </w:rPr>
            </w:pPr>
            <w:r w:rsidRPr="00CF1D40">
              <w:rPr>
                <w:rFonts w:ascii="Aptos" w:hAnsi="Aptos"/>
              </w:rPr>
              <w:t>Final Decision</w:t>
            </w:r>
          </w:p>
        </w:tc>
        <w:tc>
          <w:tcPr>
            <w:tcW w:w="5058" w:type="dxa"/>
            <w:tcBorders>
              <w:bottom w:val="single" w:sz="4" w:space="0" w:color="auto"/>
            </w:tcBorders>
          </w:tcPr>
          <w:p w14:paraId="3B80CCD3" w14:textId="E0972144" w:rsidR="00CF1D40" w:rsidRPr="00CF1D40" w:rsidRDefault="00CF1D40" w:rsidP="00CF1D40">
            <w:pPr>
              <w:spacing w:before="240" w:after="240"/>
              <w:rPr>
                <w:rFonts w:ascii="Aptos" w:hAnsi="Aptos"/>
              </w:rPr>
            </w:pPr>
            <w:r>
              <w:rPr>
                <w:rFonts w:ascii="Aptos" w:hAnsi="Aptos"/>
              </w:rPr>
              <w:t>Pending</w:t>
            </w: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{accessCapitalYear2}</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{accessCapitalYear4}</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{accessCapitalYear6}</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{accessCapitalYear8}</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{accessCapitalYear10}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{#riCppOas}CPP &amp; OAS</w:t>
            </w:r>
            <w:r>
              <w:rPr>
                <w:rFonts w:ascii="Aptos" w:hAnsi="Aptos"/>
              </w:rPr>
              <w:t xml:space="preserve"> (</w:t>
            </w:r>
            <w:r w:rsidRPr="00625B64">
              <w:rPr>
                <w:rFonts w:ascii="Aptos" w:hAnsi="Aptos"/>
              </w:rPr>
              <w:t>{name}</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{estate}{/riCppOas}</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{#riTfsa}TFSA (</w:t>
            </w:r>
            <w:r w:rsidRPr="00625B64">
              <w:rPr>
                <w:rFonts w:ascii="Aptos" w:hAnsi="Aptos"/>
              </w:rPr>
              <w:t>{name}</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{estate}{/riTfsa}</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{riPppIncome}</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{riPppEstate}</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{riCorpLiquidIncome}</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{riCorpLiquidEstate}</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{riCorpFixedIncome}</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{riCorpFixedEstate}</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{riTotalIncome}</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rPr>
        <w:t>{riTotalIncome}</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rPr>
        <w:t xml:space="preserve">{#hasChildren}{childrenNames} {/hasChildren}</w:t>
      </w:r>
      <w:r w:rsidRPr="00D672FC">
        <w:rPr>
          <w:rFonts w:ascii="Aptos" w:hAnsi="Aptos"/>
        </w:rPr>
        <w:t/>
      </w:r>
      <w:r w:rsidR="0033189A" w:rsidRPr="0033189A">
        <w:rPr>
          <w:rFonts w:ascii="Aptos" w:hAnsi="Aptos"/>
        </w:rPr>
        <w:t/>
      </w:r>
      <w:r w:rsidR="0033189A">
        <w:rPr>
          <w:rFonts w:ascii="Aptos" w:hAnsi="Aptos"/>
        </w:rPr>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rPr>
            </w:pPr>
            <w:r w:rsidRPr="000F4D43">
              <w:rPr>
                <w:rFonts w:ascii="Aptos" w:hAnsi="Aptos" w:cs="Poppins"/>
                <w:b/>
                <w:bCs/>
                <w:color w:val="032B58"/>
              </w:rPr>
              <w:t>In-</w:t>
            </w:r>
            <w:r w:rsidR="00557376" w:rsidRPr="000F4D43">
              <w:rPr>
                <w:rFonts w:ascii="Aptos" w:hAnsi="Aptos" w:cs="Poppins"/>
                <w:b/>
                <w:bCs/>
                <w:color w:val="032B58"/>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rPr>
            </w:pPr>
            <w:r w:rsidRPr="000F4D43">
              <w:rPr>
                <w:rFonts w:ascii="Aptos" w:hAnsi="Aptos" w:cs="Poppins"/>
                <w:b/>
                <w:bCs/>
                <w:color w:val="032B58"/>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rPr>
            </w:pPr>
            <w:r w:rsidRPr="000F4D43">
              <w:rPr>
                <w:rFonts w:ascii="Aptos" w:hAnsi="Aptos" w:cs="Poppins"/>
                <w:b/>
                <w:bCs/>
                <w:color w:val="032B58"/>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{advisorName}</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rPr>
        <w:t>{generationMonth}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rPr>
        <w:t>{generationYear}</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