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DF7F6" w14:textId="77777777" w:rsidR="002A563E"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C. JUEZ DE DISTRITO EN</w:t>
      </w:r>
      <w:r w:rsidR="002A563E">
        <w:rPr>
          <w:rFonts w:asciiTheme="minorBidi" w:hAnsiTheme="minorBidi"/>
          <w:sz w:val="24"/>
          <w:szCs w:val="24"/>
          <w:lang w:val="es-MX"/>
        </w:rPr>
        <w:t xml:space="preserve"> MATERIA</w:t>
      </w:r>
    </w:p>
    <w:p w14:paraId="2DAA99BB" w14:textId="77777777" w:rsidR="002A563E" w:rsidRDefault="002A563E" w:rsidP="00ED6C2D">
      <w:pPr>
        <w:spacing w:line="360" w:lineRule="auto"/>
        <w:jc w:val="both"/>
        <w:rPr>
          <w:rFonts w:asciiTheme="minorBidi" w:hAnsiTheme="minorBidi"/>
          <w:sz w:val="24"/>
          <w:szCs w:val="24"/>
          <w:lang w:val="es-MX"/>
        </w:rPr>
      </w:pPr>
      <w:r>
        <w:rPr>
          <w:rFonts w:asciiTheme="minorBidi" w:hAnsiTheme="minorBidi"/>
          <w:sz w:val="24"/>
          <w:szCs w:val="24"/>
          <w:lang w:val="es-MX"/>
        </w:rPr>
        <w:t>ADMINISTRATIVA EN</w:t>
      </w:r>
      <w:r w:rsidR="00320810" w:rsidRPr="00320810">
        <w:rPr>
          <w:rFonts w:asciiTheme="minorBidi" w:hAnsiTheme="minorBidi"/>
          <w:sz w:val="24"/>
          <w:szCs w:val="24"/>
          <w:lang w:val="es-MX"/>
        </w:rPr>
        <w:t xml:space="preserve"> TURNO EN</w:t>
      </w:r>
      <w:r>
        <w:rPr>
          <w:rFonts w:asciiTheme="minorBidi" w:hAnsiTheme="minorBidi"/>
          <w:sz w:val="24"/>
          <w:szCs w:val="24"/>
          <w:lang w:val="es-MX"/>
        </w:rPr>
        <w:t xml:space="preserve"> </w:t>
      </w:r>
    </w:p>
    <w:p w14:paraId="41CDA2C6" w14:textId="1C79B5F3" w:rsidR="00320810" w:rsidRPr="00320810" w:rsidRDefault="002A563E" w:rsidP="00ED6C2D">
      <w:pPr>
        <w:spacing w:line="360" w:lineRule="auto"/>
        <w:jc w:val="both"/>
        <w:rPr>
          <w:rFonts w:asciiTheme="minorBidi" w:hAnsiTheme="minorBidi"/>
          <w:sz w:val="24"/>
          <w:szCs w:val="24"/>
          <w:lang w:val="es-MX"/>
        </w:rPr>
      </w:pPr>
      <w:r w:rsidRPr="00426D90">
        <w:rPr>
          <w:rFonts w:asciiTheme="minorBidi" w:hAnsiTheme="minorBidi"/>
          <w:sz w:val="24"/>
          <w:szCs w:val="24"/>
          <w:highlight w:val="red"/>
          <w:lang w:val="es-MX"/>
        </w:rPr>
        <w:t>(LUGAR_1)</w:t>
      </w:r>
      <w:r w:rsidR="00320810" w:rsidRPr="00320810">
        <w:rPr>
          <w:rFonts w:asciiTheme="minorBidi" w:hAnsiTheme="minorBidi"/>
          <w:sz w:val="24"/>
          <w:szCs w:val="24"/>
          <w:lang w:val="es-MX"/>
        </w:rPr>
        <w:t xml:space="preserve"> </w:t>
      </w:r>
    </w:p>
    <w:p w14:paraId="7B73ED7F" w14:textId="77777777" w:rsidR="00320810" w:rsidRDefault="00320810" w:rsidP="00ED6C2D">
      <w:pPr>
        <w:spacing w:line="360" w:lineRule="auto"/>
        <w:jc w:val="both"/>
        <w:rPr>
          <w:rFonts w:asciiTheme="minorBidi" w:hAnsiTheme="minorBidi"/>
          <w:sz w:val="24"/>
          <w:szCs w:val="24"/>
          <w:lang w:val="es-MX"/>
        </w:rPr>
      </w:pPr>
    </w:p>
    <w:p w14:paraId="332E2BFD" w14:textId="70FCDF00" w:rsidR="002A563E" w:rsidRDefault="002A563E" w:rsidP="00ED6C2D">
      <w:pPr>
        <w:spacing w:line="360" w:lineRule="auto"/>
        <w:jc w:val="right"/>
        <w:rPr>
          <w:rFonts w:asciiTheme="minorBidi" w:hAnsiTheme="minorBidi"/>
          <w:lang w:val="es-MX"/>
        </w:rPr>
      </w:pPr>
      <w:r>
        <w:rPr>
          <w:rFonts w:asciiTheme="minorBidi" w:hAnsiTheme="minorBidi"/>
          <w:lang w:val="es-MX"/>
        </w:rPr>
        <w:t xml:space="preserve">Asunto: Se presenta demanda de </w:t>
      </w:r>
    </w:p>
    <w:p w14:paraId="21F9564D" w14:textId="38F5534A" w:rsidR="002A563E" w:rsidRPr="002A563E" w:rsidRDefault="002A563E" w:rsidP="00ED6C2D">
      <w:pPr>
        <w:spacing w:line="360" w:lineRule="auto"/>
        <w:jc w:val="right"/>
        <w:rPr>
          <w:rFonts w:asciiTheme="minorBidi" w:hAnsiTheme="minorBidi"/>
          <w:lang w:val="es-MX"/>
        </w:rPr>
      </w:pPr>
      <w:r>
        <w:rPr>
          <w:rFonts w:asciiTheme="minorBidi" w:hAnsiTheme="minorBidi"/>
          <w:lang w:val="es-MX"/>
        </w:rPr>
        <w:t>Amparo Indirecto.</w:t>
      </w:r>
    </w:p>
    <w:p w14:paraId="5C3B3792" w14:textId="77777777" w:rsidR="002A563E" w:rsidRDefault="002A563E" w:rsidP="00ED6C2D">
      <w:pPr>
        <w:spacing w:line="360" w:lineRule="auto"/>
        <w:jc w:val="both"/>
        <w:rPr>
          <w:rFonts w:asciiTheme="minorBidi" w:hAnsiTheme="minorBidi"/>
          <w:sz w:val="24"/>
          <w:szCs w:val="24"/>
          <w:lang w:val="es-MX"/>
        </w:rPr>
      </w:pPr>
    </w:p>
    <w:p w14:paraId="4D66BD89" w14:textId="77777777" w:rsidR="002A563E" w:rsidRDefault="002A563E" w:rsidP="00ED6C2D">
      <w:pPr>
        <w:spacing w:line="360" w:lineRule="auto"/>
        <w:jc w:val="both"/>
        <w:rPr>
          <w:rFonts w:asciiTheme="minorBidi" w:hAnsiTheme="minorBidi"/>
          <w:sz w:val="24"/>
          <w:szCs w:val="24"/>
          <w:lang w:val="es-MX"/>
        </w:rPr>
      </w:pPr>
    </w:p>
    <w:p w14:paraId="0B37475C" w14:textId="77777777" w:rsidR="002A563E" w:rsidRDefault="002A563E" w:rsidP="00ED6C2D">
      <w:pPr>
        <w:spacing w:line="360" w:lineRule="auto"/>
        <w:jc w:val="both"/>
        <w:rPr>
          <w:rFonts w:asciiTheme="minorBidi" w:hAnsiTheme="minorBidi"/>
          <w:sz w:val="24"/>
          <w:szCs w:val="24"/>
          <w:lang w:val="es-MX"/>
        </w:rPr>
      </w:pPr>
    </w:p>
    <w:p w14:paraId="77C622B5" w14:textId="77777777" w:rsidR="002A563E" w:rsidRPr="00320810" w:rsidRDefault="002A563E" w:rsidP="00ED6C2D">
      <w:pPr>
        <w:spacing w:line="360" w:lineRule="auto"/>
        <w:jc w:val="both"/>
        <w:rPr>
          <w:rFonts w:asciiTheme="minorBidi" w:hAnsiTheme="minorBidi"/>
          <w:sz w:val="24"/>
          <w:szCs w:val="24"/>
          <w:lang w:val="es-MX"/>
        </w:rPr>
      </w:pPr>
    </w:p>
    <w:p w14:paraId="6531E1B4" w14:textId="591BC69C" w:rsidR="00320810" w:rsidRPr="00320810" w:rsidRDefault="00206707" w:rsidP="00ED6C2D">
      <w:pPr>
        <w:spacing w:line="360" w:lineRule="auto"/>
        <w:ind w:firstLine="708"/>
        <w:jc w:val="both"/>
        <w:rPr>
          <w:rFonts w:asciiTheme="minorBidi" w:hAnsiTheme="minorBidi"/>
          <w:sz w:val="24"/>
          <w:szCs w:val="24"/>
          <w:lang w:val="es-MX"/>
        </w:rPr>
      </w:pPr>
      <w:r w:rsidRPr="00426D90">
        <w:rPr>
          <w:rFonts w:asciiTheme="minorBidi" w:hAnsiTheme="minorBidi"/>
          <w:sz w:val="24"/>
          <w:szCs w:val="24"/>
          <w:highlight w:val="red"/>
          <w:lang w:val="es-MX"/>
        </w:rPr>
        <w:t>(NOMBRE_QUEJOSO)</w:t>
      </w:r>
      <w:r w:rsidR="00320810" w:rsidRPr="00426D90">
        <w:rPr>
          <w:rFonts w:asciiTheme="minorBidi" w:hAnsiTheme="minorBidi"/>
          <w:sz w:val="24"/>
          <w:szCs w:val="24"/>
          <w:highlight w:val="red"/>
          <w:lang w:val="es-MX"/>
        </w:rPr>
        <w:t>,</w:t>
      </w:r>
      <w:r w:rsidR="00320810" w:rsidRPr="00320810">
        <w:rPr>
          <w:rFonts w:asciiTheme="minorBidi" w:hAnsiTheme="minorBidi"/>
          <w:sz w:val="24"/>
          <w:szCs w:val="24"/>
          <w:lang w:val="es-MX"/>
        </w:rPr>
        <w:t xml:space="preserve"> por mi propio derecho</w:t>
      </w:r>
      <w:r>
        <w:rPr>
          <w:rFonts w:asciiTheme="minorBidi" w:hAnsiTheme="minorBidi"/>
          <w:sz w:val="24"/>
          <w:szCs w:val="24"/>
          <w:lang w:val="es-MX"/>
        </w:rPr>
        <w:t xml:space="preserve">, mayor de edad, con CURP: </w:t>
      </w:r>
      <w:r w:rsidR="00384D69" w:rsidRPr="00426D90">
        <w:rPr>
          <w:rFonts w:asciiTheme="minorBidi" w:hAnsiTheme="minorBidi"/>
          <w:sz w:val="24"/>
          <w:szCs w:val="24"/>
          <w:highlight w:val="red"/>
          <w:lang w:val="es-MX"/>
        </w:rPr>
        <w:t>(CURP_1)</w:t>
      </w:r>
      <w:r>
        <w:rPr>
          <w:rFonts w:asciiTheme="minorBidi" w:hAnsiTheme="minorBidi"/>
          <w:sz w:val="24"/>
          <w:szCs w:val="24"/>
          <w:lang w:val="es-MX"/>
        </w:rPr>
        <w:t xml:space="preserve"> </w:t>
      </w:r>
      <w:r w:rsidR="00320810" w:rsidRPr="00320810">
        <w:rPr>
          <w:rFonts w:asciiTheme="minorBidi" w:hAnsiTheme="minorBidi"/>
          <w:sz w:val="24"/>
          <w:szCs w:val="24"/>
          <w:lang w:val="es-MX"/>
        </w:rPr>
        <w:t>señalando como domicilio para oír y recibir todo tipo de notificaciones, documentos y valores el ubicado en</w:t>
      </w:r>
      <w:r>
        <w:rPr>
          <w:rFonts w:asciiTheme="minorBidi" w:hAnsiTheme="minorBidi"/>
          <w:sz w:val="24"/>
          <w:szCs w:val="24"/>
          <w:lang w:val="es-MX"/>
        </w:rPr>
        <w:t xml:space="preserve"> calle Copenhague # 6 interior 7, Colonia Juárez</w:t>
      </w:r>
      <w:r w:rsidR="00320810" w:rsidRPr="00320810">
        <w:rPr>
          <w:rFonts w:asciiTheme="minorBidi" w:hAnsiTheme="minorBidi"/>
          <w:sz w:val="24"/>
          <w:szCs w:val="24"/>
          <w:lang w:val="es-MX"/>
        </w:rPr>
        <w:t>,</w:t>
      </w:r>
      <w:r>
        <w:rPr>
          <w:rFonts w:asciiTheme="minorBidi" w:hAnsiTheme="minorBidi"/>
          <w:sz w:val="24"/>
          <w:szCs w:val="24"/>
          <w:lang w:val="es-MX"/>
        </w:rPr>
        <w:t xml:space="preserve"> Alcaldía Cuauhtémoc, en la Ciudad de México,</w:t>
      </w:r>
      <w:r w:rsidR="00320810" w:rsidRPr="00320810">
        <w:rPr>
          <w:rFonts w:asciiTheme="minorBidi" w:hAnsiTheme="minorBidi"/>
          <w:sz w:val="24"/>
          <w:szCs w:val="24"/>
          <w:lang w:val="es-MX"/>
        </w:rPr>
        <w:t xml:space="preserve"> y autorizando para los mismos efectos, así como para consultar el expediente e interponer toda clase de recursos, a</w:t>
      </w:r>
      <w:r w:rsidR="00426D90">
        <w:rPr>
          <w:rFonts w:asciiTheme="minorBidi" w:hAnsiTheme="minorBidi"/>
          <w:sz w:val="24"/>
          <w:szCs w:val="24"/>
          <w:lang w:val="es-MX"/>
        </w:rPr>
        <w:t>l</w:t>
      </w:r>
      <w:r w:rsidR="00320810" w:rsidRPr="00320810">
        <w:rPr>
          <w:rFonts w:asciiTheme="minorBidi" w:hAnsiTheme="minorBidi"/>
          <w:sz w:val="24"/>
          <w:szCs w:val="24"/>
          <w:lang w:val="es-MX"/>
        </w:rPr>
        <w:t xml:space="preserve"> Licenciado en Derecho</w:t>
      </w:r>
      <w:r>
        <w:rPr>
          <w:rFonts w:asciiTheme="minorBidi" w:hAnsiTheme="minorBidi"/>
          <w:sz w:val="24"/>
          <w:szCs w:val="24"/>
          <w:lang w:val="es-MX"/>
        </w:rPr>
        <w:t xml:space="preserve"> ALEJANDRO VALENZUELA SOSA </w:t>
      </w:r>
      <w:r w:rsidR="00320810" w:rsidRPr="00320810">
        <w:rPr>
          <w:rFonts w:asciiTheme="minorBidi" w:hAnsiTheme="minorBidi"/>
          <w:sz w:val="24"/>
          <w:szCs w:val="24"/>
          <w:lang w:val="es-MX"/>
        </w:rPr>
        <w:t xml:space="preserve">con cédula profesional número </w:t>
      </w:r>
      <w:r>
        <w:rPr>
          <w:rFonts w:asciiTheme="minorBidi" w:hAnsiTheme="minorBidi"/>
          <w:sz w:val="24"/>
          <w:szCs w:val="24"/>
          <w:lang w:val="es-MX"/>
        </w:rPr>
        <w:t>14034010</w:t>
      </w:r>
      <w:r w:rsidR="00426D90">
        <w:rPr>
          <w:rFonts w:asciiTheme="minorBidi" w:hAnsiTheme="minorBidi"/>
          <w:sz w:val="24"/>
          <w:szCs w:val="24"/>
          <w:lang w:val="es-MX"/>
        </w:rPr>
        <w:t xml:space="preserve">, expedida por la Dirección General de Profesiones de la Secretaría de Educación Pública, con el nombre de usuario: </w:t>
      </w:r>
      <w:proofErr w:type="spellStart"/>
      <w:r w:rsidR="00426D90">
        <w:rPr>
          <w:rFonts w:asciiTheme="minorBidi" w:hAnsiTheme="minorBidi"/>
          <w:sz w:val="24"/>
          <w:szCs w:val="24"/>
          <w:lang w:val="es-MX"/>
        </w:rPr>
        <w:t>alejandrovalenl</w:t>
      </w:r>
      <w:proofErr w:type="spellEnd"/>
      <w:r w:rsidR="00426D90">
        <w:rPr>
          <w:rFonts w:asciiTheme="minorBidi" w:hAnsiTheme="minorBidi"/>
          <w:sz w:val="24"/>
          <w:szCs w:val="24"/>
          <w:lang w:val="es-MX"/>
        </w:rPr>
        <w:t xml:space="preserve"> en el Sistema del Poder Judicial en Línea,</w:t>
      </w:r>
      <w:r w:rsidR="00320810" w:rsidRPr="00320810">
        <w:rPr>
          <w:rFonts w:asciiTheme="minorBidi" w:hAnsiTheme="minorBidi"/>
          <w:sz w:val="24"/>
          <w:szCs w:val="24"/>
          <w:lang w:val="es-MX"/>
        </w:rPr>
        <w:t xml:space="preserve"> ante usted, con el debido respeto, comparezco y expongo:</w:t>
      </w:r>
    </w:p>
    <w:p w14:paraId="0BA6D0C2" w14:textId="36F70643"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 xml:space="preserve">Que, con fundamento en los artículos 103, fracción I, y 107 de la Constitución Política de los Estados Unidos Mexicanos; 1°, 2°, 5°, 107, 108 y demás relativos y aplicables de la Ley de Amparo, vengo a demandar el Amparo y Protección de la Justicia de la Unión, en contra de los actos y autoridades que a continuación se precisan, por considerar que violan en mi perjuicio los derechos humanos reconocidos en la Constitución Política de los Estados Unidos Mexicanos y en los Tratados Internacionales de los que el Estado Mexicano es parte.   </w:t>
      </w:r>
    </w:p>
    <w:p w14:paraId="19A36816" w14:textId="4FDFDA95" w:rsidR="00320810" w:rsidRPr="00206707" w:rsidRDefault="00320810" w:rsidP="00ED6C2D">
      <w:pPr>
        <w:spacing w:line="360" w:lineRule="auto"/>
        <w:jc w:val="both"/>
        <w:rPr>
          <w:rFonts w:asciiTheme="minorBidi" w:hAnsiTheme="minorBidi"/>
          <w:b/>
          <w:bCs/>
          <w:sz w:val="24"/>
          <w:szCs w:val="24"/>
          <w:lang w:val="es-MX"/>
        </w:rPr>
      </w:pPr>
      <w:r w:rsidRPr="00206707">
        <w:rPr>
          <w:rFonts w:asciiTheme="minorBidi" w:hAnsiTheme="minorBidi"/>
          <w:b/>
          <w:bCs/>
          <w:sz w:val="24"/>
          <w:szCs w:val="24"/>
          <w:lang w:val="es-MX"/>
        </w:rPr>
        <w:t>I. AUTORIDADES RESPONSABLES</w:t>
      </w:r>
    </w:p>
    <w:p w14:paraId="312446FE" w14:textId="7DF0F094"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 xml:space="preserve">De conformidad con lo dispuesto por el artículo 108, fracción III, de la Ley de </w:t>
      </w:r>
      <w:r w:rsidRPr="00320810">
        <w:rPr>
          <w:rFonts w:asciiTheme="minorBidi" w:hAnsiTheme="minorBidi"/>
          <w:sz w:val="24"/>
          <w:szCs w:val="24"/>
          <w:lang w:val="es-MX"/>
        </w:rPr>
        <w:t>Amparo,</w:t>
      </w:r>
      <w:r w:rsidRPr="00320810">
        <w:rPr>
          <w:rFonts w:asciiTheme="minorBidi" w:hAnsiTheme="minorBidi"/>
          <w:sz w:val="24"/>
          <w:szCs w:val="24"/>
          <w:lang w:val="es-MX"/>
        </w:rPr>
        <w:t xml:space="preserve"> se señalan como autoridades responsables a las siguientes:   </w:t>
      </w:r>
    </w:p>
    <w:p w14:paraId="22CE3E33" w14:textId="1F4A5102"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A. Autoridades Ordenadoras (Legislativas):</w:t>
      </w:r>
    </w:p>
    <w:p w14:paraId="53FE5274" w14:textId="67A795FD"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H. CONGRESO DE LA UNIÓN (CÁMARA DE DIPUTADOS Y CÁMARA DE SENADORES), por la expedición y aprobación de la</w:t>
      </w:r>
      <w:r w:rsidR="00B2597E">
        <w:rPr>
          <w:rFonts w:asciiTheme="minorBidi" w:hAnsiTheme="minorBidi"/>
          <w:sz w:val="24"/>
          <w:szCs w:val="24"/>
          <w:lang w:val="es-MX"/>
        </w:rPr>
        <w:t xml:space="preserve"> </w:t>
      </w:r>
      <w:r w:rsidR="00E94AD6" w:rsidRPr="00E94AD6">
        <w:rPr>
          <w:rFonts w:asciiTheme="minorBidi" w:hAnsiTheme="minorBidi"/>
          <w:sz w:val="24"/>
          <w:szCs w:val="24"/>
          <w:lang w:val="es-MX"/>
        </w:rPr>
        <w:t>Ley en Materia de Telecomunicaciones y Radiodifusión</w:t>
      </w:r>
      <w:r w:rsidR="00E94AD6">
        <w:rPr>
          <w:rFonts w:asciiTheme="minorBidi" w:hAnsiTheme="minorBidi"/>
          <w:sz w:val="24"/>
          <w:szCs w:val="24"/>
          <w:lang w:val="es-MX"/>
        </w:rPr>
        <w:t xml:space="preserve">. </w:t>
      </w:r>
    </w:p>
    <w:p w14:paraId="6EA24B66" w14:textId="416D7226"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B. Autoridades Promulgadoras y Publicadoras (Ejecutivas):</w:t>
      </w:r>
    </w:p>
    <w:p w14:paraId="48EB55B9" w14:textId="17236734"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lastRenderedPageBreak/>
        <w:t>C. PRESIDENTE CONSTITUCIONAL DE LOS ESTADOS UNIDOS MEXICANOS, por la promulgación de la</w:t>
      </w:r>
      <w:r w:rsidR="00E94AD6">
        <w:rPr>
          <w:rFonts w:asciiTheme="minorBidi" w:hAnsiTheme="minorBidi"/>
          <w:sz w:val="24"/>
          <w:szCs w:val="24"/>
          <w:lang w:val="es-MX"/>
        </w:rPr>
        <w:t xml:space="preserve"> </w:t>
      </w:r>
      <w:r w:rsidR="00E94AD6" w:rsidRPr="00E94AD6">
        <w:rPr>
          <w:rFonts w:asciiTheme="minorBidi" w:hAnsiTheme="minorBidi"/>
          <w:sz w:val="24"/>
          <w:szCs w:val="24"/>
          <w:lang w:val="es-MX"/>
        </w:rPr>
        <w:t>Ley en Materia de Telecomunicaciones y Radiodifusión</w:t>
      </w:r>
      <w:r w:rsidR="00E94AD6">
        <w:rPr>
          <w:rFonts w:asciiTheme="minorBidi" w:hAnsiTheme="minorBidi"/>
          <w:sz w:val="24"/>
          <w:szCs w:val="24"/>
          <w:lang w:val="es-MX"/>
        </w:rPr>
        <w:t>.</w:t>
      </w:r>
    </w:p>
    <w:p w14:paraId="696F5328" w14:textId="20D04626"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C. SECRETARIO DE GOBERNACIÓN, por el refrendo del decreto promulgatorio de la</w:t>
      </w:r>
      <w:r w:rsidR="00E94AD6">
        <w:rPr>
          <w:rFonts w:asciiTheme="minorBidi" w:hAnsiTheme="minorBidi"/>
          <w:sz w:val="24"/>
          <w:szCs w:val="24"/>
          <w:lang w:val="es-MX"/>
        </w:rPr>
        <w:t xml:space="preserve"> </w:t>
      </w:r>
      <w:r w:rsidR="00E94AD6" w:rsidRPr="00E94AD6">
        <w:rPr>
          <w:rFonts w:asciiTheme="minorBidi" w:hAnsiTheme="minorBidi"/>
          <w:sz w:val="24"/>
          <w:szCs w:val="24"/>
          <w:lang w:val="es-MX"/>
        </w:rPr>
        <w:t>Ley en Materia de Telecomunicaciones y Radiodifusión</w:t>
      </w:r>
      <w:r w:rsidRPr="00320810">
        <w:rPr>
          <w:rFonts w:asciiTheme="minorBidi" w:hAnsiTheme="minorBidi"/>
          <w:sz w:val="24"/>
          <w:szCs w:val="24"/>
          <w:lang w:val="es-MX"/>
        </w:rPr>
        <w:t>.</w:t>
      </w:r>
    </w:p>
    <w:p w14:paraId="2658E728" w14:textId="7440EA7F"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C. DIRECTOR DEL DIARIO OFICIAL DE LA FEDERACIÓN, por la publicación de la</w:t>
      </w:r>
      <w:r w:rsidR="00E94AD6">
        <w:rPr>
          <w:rFonts w:asciiTheme="minorBidi" w:hAnsiTheme="minorBidi"/>
          <w:sz w:val="24"/>
          <w:szCs w:val="24"/>
          <w:lang w:val="es-MX"/>
        </w:rPr>
        <w:t xml:space="preserve"> </w:t>
      </w:r>
      <w:r w:rsidR="00E94AD6" w:rsidRPr="00E94AD6">
        <w:rPr>
          <w:rFonts w:asciiTheme="minorBidi" w:hAnsiTheme="minorBidi"/>
          <w:sz w:val="24"/>
          <w:szCs w:val="24"/>
          <w:lang w:val="es-MX"/>
        </w:rPr>
        <w:t xml:space="preserve">Ley en Materia de Telecomunicaciones y </w:t>
      </w:r>
      <w:r w:rsidR="00E94AD6" w:rsidRPr="00E94AD6">
        <w:rPr>
          <w:rFonts w:asciiTheme="minorBidi" w:hAnsiTheme="minorBidi"/>
          <w:sz w:val="24"/>
          <w:szCs w:val="24"/>
          <w:lang w:val="es-MX"/>
        </w:rPr>
        <w:t>Radiodifusión.</w:t>
      </w:r>
    </w:p>
    <w:p w14:paraId="6424039E" w14:textId="08B94A43" w:rsidR="00320810" w:rsidRPr="00206707" w:rsidRDefault="00320810" w:rsidP="00ED6C2D">
      <w:pPr>
        <w:spacing w:line="360" w:lineRule="auto"/>
        <w:jc w:val="both"/>
        <w:rPr>
          <w:rFonts w:asciiTheme="minorBidi" w:hAnsiTheme="minorBidi"/>
          <w:b/>
          <w:bCs/>
          <w:sz w:val="24"/>
          <w:szCs w:val="24"/>
          <w:lang w:val="es-MX"/>
        </w:rPr>
      </w:pPr>
      <w:r w:rsidRPr="00206707">
        <w:rPr>
          <w:rFonts w:asciiTheme="minorBidi" w:hAnsiTheme="minorBidi"/>
          <w:b/>
          <w:bCs/>
          <w:sz w:val="24"/>
          <w:szCs w:val="24"/>
          <w:lang w:val="es-MX"/>
        </w:rPr>
        <w:t>I</w:t>
      </w:r>
      <w:r w:rsidR="00206707" w:rsidRPr="00206707">
        <w:rPr>
          <w:rFonts w:asciiTheme="minorBidi" w:hAnsiTheme="minorBidi"/>
          <w:b/>
          <w:bCs/>
          <w:sz w:val="24"/>
          <w:szCs w:val="24"/>
          <w:lang w:val="es-MX"/>
        </w:rPr>
        <w:t>I</w:t>
      </w:r>
      <w:r w:rsidRPr="00206707">
        <w:rPr>
          <w:rFonts w:asciiTheme="minorBidi" w:hAnsiTheme="minorBidi"/>
          <w:b/>
          <w:bCs/>
          <w:sz w:val="24"/>
          <w:szCs w:val="24"/>
          <w:lang w:val="es-MX"/>
        </w:rPr>
        <w:t>. NORMA GENERAL RECLAMADA</w:t>
      </w:r>
    </w:p>
    <w:p w14:paraId="59C7FA77" w14:textId="3F308D6F"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 xml:space="preserve">Con fundamento en el artículo 108, fracción IV, de la Ley de Amparo, se señala como norma general reclamada a la siguiente:   </w:t>
      </w:r>
    </w:p>
    <w:p w14:paraId="2C56CF1B" w14:textId="4EF23243" w:rsidR="00320810" w:rsidRPr="00320810" w:rsidRDefault="00E94AD6" w:rsidP="00ED6C2D">
      <w:pPr>
        <w:spacing w:line="360" w:lineRule="auto"/>
        <w:jc w:val="both"/>
        <w:rPr>
          <w:rFonts w:asciiTheme="minorBidi" w:hAnsiTheme="minorBidi"/>
          <w:sz w:val="24"/>
          <w:szCs w:val="24"/>
          <w:lang w:val="es-MX"/>
        </w:rPr>
      </w:pPr>
      <w:r w:rsidRPr="00E94AD6">
        <w:rPr>
          <w:rFonts w:asciiTheme="minorBidi" w:hAnsiTheme="minorBidi"/>
          <w:sz w:val="24"/>
          <w:szCs w:val="24"/>
          <w:lang w:val="es-MX"/>
        </w:rPr>
        <w:t>Ley en Materia de Telecomunicaciones y Radiodifusión</w:t>
      </w:r>
      <w:r w:rsidR="00320810" w:rsidRPr="00320810">
        <w:rPr>
          <w:rFonts w:asciiTheme="minorBidi" w:hAnsiTheme="minorBidi"/>
          <w:sz w:val="24"/>
          <w:szCs w:val="24"/>
          <w:lang w:val="es-MX"/>
        </w:rPr>
        <w:t xml:space="preserve">, publicada en el </w:t>
      </w:r>
      <w:r w:rsidR="00320810" w:rsidRPr="00E94AD6">
        <w:rPr>
          <w:rFonts w:asciiTheme="minorBidi" w:hAnsiTheme="minorBidi"/>
          <w:sz w:val="24"/>
          <w:szCs w:val="24"/>
          <w:highlight w:val="yellow"/>
          <w:lang w:val="es-MX"/>
        </w:rPr>
        <w:t>**** el día [Fecha de Publicación]</w:t>
      </w:r>
      <w:r w:rsidR="00320810" w:rsidRPr="00320810">
        <w:rPr>
          <w:rFonts w:asciiTheme="minorBidi" w:hAnsiTheme="minorBidi"/>
          <w:sz w:val="24"/>
          <w:szCs w:val="24"/>
          <w:lang w:val="es-MX"/>
        </w:rPr>
        <w:t>, específicamente sus artículos</w:t>
      </w:r>
      <w:r>
        <w:rPr>
          <w:rFonts w:asciiTheme="minorBidi" w:hAnsiTheme="minorBidi"/>
          <w:sz w:val="24"/>
          <w:szCs w:val="24"/>
          <w:lang w:val="es-MX"/>
        </w:rPr>
        <w:t xml:space="preserve"> </w:t>
      </w:r>
      <w:r w:rsidRPr="00E94AD6">
        <w:rPr>
          <w:rFonts w:asciiTheme="minorBidi" w:hAnsiTheme="minorBidi"/>
          <w:sz w:val="24"/>
          <w:szCs w:val="24"/>
          <w:lang w:val="es-MX"/>
        </w:rPr>
        <w:t>Artículo 189</w:t>
      </w:r>
      <w:r>
        <w:rPr>
          <w:rFonts w:asciiTheme="minorBidi" w:hAnsiTheme="minorBidi"/>
          <w:sz w:val="24"/>
          <w:szCs w:val="24"/>
          <w:lang w:val="es-MX"/>
        </w:rPr>
        <w:t>,</w:t>
      </w:r>
      <w:r w:rsidRPr="00E94AD6">
        <w:rPr>
          <w:rFonts w:asciiTheme="minorBidi" w:hAnsiTheme="minorBidi"/>
          <w:sz w:val="24"/>
          <w:szCs w:val="24"/>
          <w:lang w:val="es-MX"/>
        </w:rPr>
        <w:t xml:space="preserve"> Artículo 190</w:t>
      </w:r>
      <w:r>
        <w:rPr>
          <w:rFonts w:asciiTheme="minorBidi" w:hAnsiTheme="minorBidi"/>
          <w:sz w:val="24"/>
          <w:szCs w:val="24"/>
          <w:lang w:val="es-MX"/>
        </w:rPr>
        <w:t xml:space="preserve">, </w:t>
      </w:r>
      <w:r w:rsidRPr="00E94AD6">
        <w:rPr>
          <w:rFonts w:asciiTheme="minorBidi" w:hAnsiTheme="minorBidi"/>
          <w:sz w:val="24"/>
          <w:szCs w:val="24"/>
          <w:lang w:val="es-MX"/>
        </w:rPr>
        <w:t>Artículo 205</w:t>
      </w:r>
      <w:r>
        <w:rPr>
          <w:rFonts w:asciiTheme="minorBidi" w:hAnsiTheme="minorBidi"/>
          <w:sz w:val="24"/>
          <w:szCs w:val="24"/>
          <w:lang w:val="es-MX"/>
        </w:rPr>
        <w:t xml:space="preserve"> y </w:t>
      </w:r>
      <w:r w:rsidRPr="00E94AD6">
        <w:rPr>
          <w:rFonts w:asciiTheme="minorBidi" w:hAnsiTheme="minorBidi"/>
          <w:sz w:val="24"/>
          <w:szCs w:val="24"/>
          <w:lang w:val="es-MX"/>
        </w:rPr>
        <w:t>Artículo 206</w:t>
      </w:r>
      <w:r>
        <w:rPr>
          <w:rFonts w:asciiTheme="minorBidi" w:hAnsiTheme="minorBidi"/>
          <w:sz w:val="24"/>
          <w:szCs w:val="24"/>
          <w:lang w:val="es-MX"/>
        </w:rPr>
        <w:t>.</w:t>
      </w:r>
    </w:p>
    <w:p w14:paraId="49F7AD57" w14:textId="3D92A460"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Naturaleza de la Norma</w:t>
      </w:r>
      <w:r w:rsidR="00E94AD6">
        <w:rPr>
          <w:rFonts w:asciiTheme="minorBidi" w:hAnsiTheme="minorBidi"/>
          <w:sz w:val="24"/>
          <w:szCs w:val="24"/>
          <w:lang w:val="es-MX"/>
        </w:rPr>
        <w:t>:</w:t>
      </w:r>
    </w:p>
    <w:p w14:paraId="4B254192" w14:textId="51E4D4F9"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Manifiesto que la</w:t>
      </w:r>
      <w:r w:rsidR="00483834">
        <w:rPr>
          <w:rFonts w:asciiTheme="minorBidi" w:hAnsiTheme="minorBidi"/>
          <w:sz w:val="24"/>
          <w:szCs w:val="24"/>
          <w:lang w:val="es-MX"/>
        </w:rPr>
        <w:t>s</w:t>
      </w:r>
      <w:r w:rsidRPr="00320810">
        <w:rPr>
          <w:rFonts w:asciiTheme="minorBidi" w:hAnsiTheme="minorBidi"/>
          <w:sz w:val="24"/>
          <w:szCs w:val="24"/>
          <w:lang w:val="es-MX"/>
        </w:rPr>
        <w:t xml:space="preserve"> norma</w:t>
      </w:r>
      <w:r w:rsidR="00483834">
        <w:rPr>
          <w:rFonts w:asciiTheme="minorBidi" w:hAnsiTheme="minorBidi"/>
          <w:sz w:val="24"/>
          <w:szCs w:val="24"/>
          <w:lang w:val="es-MX"/>
        </w:rPr>
        <w:t>s</w:t>
      </w:r>
      <w:r w:rsidRPr="00320810">
        <w:rPr>
          <w:rFonts w:asciiTheme="minorBidi" w:hAnsiTheme="minorBidi"/>
          <w:sz w:val="24"/>
          <w:szCs w:val="24"/>
          <w:lang w:val="es-MX"/>
        </w:rPr>
        <w:t xml:space="preserve"> general</w:t>
      </w:r>
      <w:r w:rsidR="00483834">
        <w:rPr>
          <w:rFonts w:asciiTheme="minorBidi" w:hAnsiTheme="minorBidi"/>
          <w:sz w:val="24"/>
          <w:szCs w:val="24"/>
          <w:lang w:val="es-MX"/>
        </w:rPr>
        <w:t>es</w:t>
      </w:r>
      <w:r w:rsidRPr="00320810">
        <w:rPr>
          <w:rFonts w:asciiTheme="minorBidi" w:hAnsiTheme="minorBidi"/>
          <w:sz w:val="24"/>
          <w:szCs w:val="24"/>
          <w:lang w:val="es-MX"/>
        </w:rPr>
        <w:t xml:space="preserve"> reclamada</w:t>
      </w:r>
      <w:r w:rsidR="00483834">
        <w:rPr>
          <w:rFonts w:asciiTheme="minorBidi" w:hAnsiTheme="minorBidi"/>
          <w:sz w:val="24"/>
          <w:szCs w:val="24"/>
          <w:lang w:val="es-MX"/>
        </w:rPr>
        <w:t>s</w:t>
      </w:r>
      <w:r w:rsidRPr="00320810">
        <w:rPr>
          <w:rFonts w:asciiTheme="minorBidi" w:hAnsiTheme="minorBidi"/>
          <w:sz w:val="24"/>
          <w:szCs w:val="24"/>
          <w:lang w:val="es-MX"/>
        </w:rPr>
        <w:t xml:space="preserve"> s</w:t>
      </w:r>
      <w:r w:rsidR="00483834">
        <w:rPr>
          <w:rFonts w:asciiTheme="minorBidi" w:hAnsiTheme="minorBidi"/>
          <w:sz w:val="24"/>
          <w:szCs w:val="24"/>
          <w:lang w:val="es-MX"/>
        </w:rPr>
        <w:t>on</w:t>
      </w:r>
      <w:r w:rsidRPr="00320810">
        <w:rPr>
          <w:rFonts w:asciiTheme="minorBidi" w:hAnsiTheme="minorBidi"/>
          <w:sz w:val="24"/>
          <w:szCs w:val="24"/>
          <w:lang w:val="es-MX"/>
        </w:rPr>
        <w:t xml:space="preserve"> de carácter autoaplicativa</w:t>
      </w:r>
      <w:r w:rsidR="00483834">
        <w:rPr>
          <w:rFonts w:asciiTheme="minorBidi" w:hAnsiTheme="minorBidi"/>
          <w:sz w:val="24"/>
          <w:szCs w:val="24"/>
          <w:lang w:val="es-MX"/>
        </w:rPr>
        <w:t>s</w:t>
      </w:r>
      <w:r w:rsidRPr="00320810">
        <w:rPr>
          <w:rFonts w:asciiTheme="minorBidi" w:hAnsiTheme="minorBidi"/>
          <w:sz w:val="24"/>
          <w:szCs w:val="24"/>
          <w:lang w:val="es-MX"/>
        </w:rPr>
        <w:t xml:space="preserve">, toda vez que con su sola entrada en vigor me causa un perjuicio real y actual, sin necesidad de un acto posterior de aplicación. El plazo para la presentación de esta demanda es de treinta días, contados a partir de la fecha de su entrada en vigor.   </w:t>
      </w:r>
    </w:p>
    <w:p w14:paraId="0300FE15" w14:textId="71F51428" w:rsidR="00320810" w:rsidRPr="00206707" w:rsidRDefault="00206707" w:rsidP="00ED6C2D">
      <w:pPr>
        <w:spacing w:line="360" w:lineRule="auto"/>
        <w:jc w:val="both"/>
        <w:rPr>
          <w:rFonts w:asciiTheme="minorBidi" w:hAnsiTheme="minorBidi"/>
          <w:b/>
          <w:bCs/>
          <w:sz w:val="24"/>
          <w:szCs w:val="24"/>
          <w:lang w:val="es-MX"/>
        </w:rPr>
      </w:pPr>
      <w:r w:rsidRPr="00206707">
        <w:rPr>
          <w:rFonts w:asciiTheme="minorBidi" w:hAnsiTheme="minorBidi"/>
          <w:b/>
          <w:bCs/>
          <w:sz w:val="24"/>
          <w:szCs w:val="24"/>
          <w:lang w:val="es-MX"/>
        </w:rPr>
        <w:t>III</w:t>
      </w:r>
      <w:r w:rsidR="00320810" w:rsidRPr="00206707">
        <w:rPr>
          <w:rFonts w:asciiTheme="minorBidi" w:hAnsiTheme="minorBidi"/>
          <w:b/>
          <w:bCs/>
          <w:sz w:val="24"/>
          <w:szCs w:val="24"/>
          <w:lang w:val="es-MX"/>
        </w:rPr>
        <w:t>. BAJO PROTESTA DE DECIR VERDAD</w:t>
      </w:r>
    </w:p>
    <w:p w14:paraId="64DFEEC3" w14:textId="32EBBCF9"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Bajo protesta de decir verdad, manifiesto los siguientes:</w:t>
      </w:r>
    </w:p>
    <w:p w14:paraId="55A55334" w14:textId="18BD5EEC"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HECHOS:</w:t>
      </w:r>
    </w:p>
    <w:p w14:paraId="3C88916F" w14:textId="6213255C" w:rsidR="00320810" w:rsidRPr="00320810" w:rsidRDefault="00320810" w:rsidP="00ED6C2D">
      <w:pPr>
        <w:spacing w:line="360" w:lineRule="auto"/>
        <w:jc w:val="both"/>
        <w:rPr>
          <w:rFonts w:asciiTheme="minorBidi" w:hAnsiTheme="minorBidi"/>
          <w:sz w:val="24"/>
          <w:szCs w:val="24"/>
          <w:lang w:val="es-MX"/>
        </w:rPr>
      </w:pPr>
      <w:r w:rsidRPr="00426D90">
        <w:rPr>
          <w:rFonts w:asciiTheme="minorBidi" w:hAnsiTheme="minorBidi"/>
          <w:sz w:val="24"/>
          <w:szCs w:val="24"/>
          <w:highlight w:val="green"/>
          <w:lang w:val="es-MX"/>
        </w:rPr>
        <w:t>[Narración cronológica y detallada de los antecedentes relevantes que llevaron a la afectación por la norma general reclamada. Incluir fechas precisas de publicación de la ley y, si aplica, la fecha del primer acto de aplicación.]</w:t>
      </w:r>
    </w:p>
    <w:p w14:paraId="7149AF51" w14:textId="49A5ED6F" w:rsidR="00483834" w:rsidRPr="00483834" w:rsidRDefault="00426D90" w:rsidP="00ED6C2D">
      <w:pPr>
        <w:spacing w:line="360" w:lineRule="auto"/>
        <w:jc w:val="both"/>
        <w:rPr>
          <w:rFonts w:asciiTheme="minorBidi" w:hAnsiTheme="minorBidi"/>
          <w:sz w:val="24"/>
          <w:szCs w:val="24"/>
          <w:lang w:val="es-MX"/>
        </w:rPr>
      </w:pPr>
      <w:r>
        <w:rPr>
          <w:rFonts w:asciiTheme="minorBidi" w:hAnsiTheme="minorBidi"/>
          <w:sz w:val="24"/>
          <w:szCs w:val="24"/>
          <w:lang w:val="es-MX"/>
        </w:rPr>
        <w:t xml:space="preserve">1. </w:t>
      </w:r>
      <w:r w:rsidR="00483834" w:rsidRPr="00483834">
        <w:rPr>
          <w:rFonts w:asciiTheme="minorBidi" w:hAnsiTheme="minorBidi"/>
          <w:sz w:val="24"/>
          <w:szCs w:val="24"/>
          <w:lang w:val="es-MX"/>
        </w:rPr>
        <w:t>Artículo 189: Obligaciones de Conservación de Datos</w:t>
      </w:r>
    </w:p>
    <w:p w14:paraId="16BFE4AC"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Naturaleza Autoaplicativa: Este artículo es autoaplicativo porque impone directamente a los concesionarios de telecomunicaciones la obligación de conservar los datos generados por las comunicaciones de sus usuarios por un período determinado. La mera existencia de esta obligación, desde el momento de su entrada en vigor, constituye una injerencia inmediata y directa en los derechos de privacidad de todos los usuarios, sin necesidad de un acto posterior de autoridad para que el perjuicio se actualice.   </w:t>
      </w:r>
    </w:p>
    <w:p w14:paraId="52F17E99"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Perjuicio Real y Actual:</w:t>
      </w:r>
    </w:p>
    <w:p w14:paraId="331FD035"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Violación a la Privacidad y Protección de Datos: La retención obligatoria de metadatos, registros de llamadas y datos de tráfico de internet infringe directamente el derecho a la privacidad y a la protección de datos personales. Esta medida afecta a la totalidad </w:t>
      </w:r>
      <w:r w:rsidRPr="00483834">
        <w:rPr>
          <w:rFonts w:asciiTheme="minorBidi" w:hAnsiTheme="minorBidi"/>
          <w:sz w:val="24"/>
          <w:szCs w:val="24"/>
          <w:lang w:val="es-MX"/>
        </w:rPr>
        <w:lastRenderedPageBreak/>
        <w:t xml:space="preserve">de la población sin distinción ni sospecha individualizada, lo cual es desproporcionado.   </w:t>
      </w:r>
    </w:p>
    <w:p w14:paraId="57E5DDEA"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Falta de Certeza Jurídica: La amplia retención de datos sin límites claros o supervisión judicial socava la certeza jurídica de los individuos respecto al manejo de su información personal.   </w:t>
      </w:r>
    </w:p>
    <w:p w14:paraId="3741CBF9"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"Efecto Paralizador" (</w:t>
      </w:r>
      <w:proofErr w:type="spellStart"/>
      <w:r w:rsidRPr="00426D90">
        <w:rPr>
          <w:rFonts w:asciiTheme="minorBidi" w:hAnsiTheme="minorBidi"/>
          <w:i/>
          <w:iCs/>
          <w:sz w:val="24"/>
          <w:szCs w:val="24"/>
          <w:lang w:val="es-MX"/>
        </w:rPr>
        <w:t>Chilling</w:t>
      </w:r>
      <w:proofErr w:type="spellEnd"/>
      <w:r w:rsidRPr="00426D90">
        <w:rPr>
          <w:rFonts w:asciiTheme="minorBidi" w:hAnsiTheme="minorBidi"/>
          <w:i/>
          <w:iCs/>
          <w:sz w:val="24"/>
          <w:szCs w:val="24"/>
          <w:lang w:val="es-MX"/>
        </w:rPr>
        <w:t xml:space="preserve"> </w:t>
      </w:r>
      <w:proofErr w:type="spellStart"/>
      <w:r w:rsidRPr="00426D90">
        <w:rPr>
          <w:rFonts w:asciiTheme="minorBidi" w:hAnsiTheme="minorBidi"/>
          <w:i/>
          <w:iCs/>
          <w:sz w:val="24"/>
          <w:szCs w:val="24"/>
          <w:lang w:val="es-MX"/>
        </w:rPr>
        <w:t>Effect</w:t>
      </w:r>
      <w:proofErr w:type="spellEnd"/>
      <w:r w:rsidRPr="00483834">
        <w:rPr>
          <w:rFonts w:asciiTheme="minorBidi" w:hAnsiTheme="minorBidi"/>
          <w:sz w:val="24"/>
          <w:szCs w:val="24"/>
          <w:lang w:val="es-MX"/>
        </w:rPr>
        <w:t xml:space="preserve">): Al saber que sus actividades de comunicación están siendo sistemáticamente registradas, los usuarios pueden autocensurarse en su libertad de expresión y asociación, por temor a cómo esa información podría ser utilizada en el futuro. La Suprema Corte de Justicia de la Nación (SCJN) ya ha considerado que esta retención generalizada es desproporcionada.   </w:t>
      </w:r>
    </w:p>
    <w:p w14:paraId="5831C47F"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2. Artículo 190: Acceso a Datos Retenidos por Autoridades</w:t>
      </w:r>
    </w:p>
    <w:p w14:paraId="6CB149EF"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Naturaleza Autoaplicativa: Este artículo es autoaplicativo porque establece un mecanismo directo para que las autoridades accedan a los datos retenidos bajo el Artículo 189 sin requerir una orden judicial previa. Esta facultad de acceso directo a datos privados, sin un filtro judicial, afecta de inmediato los derechos de los individuos desde la entrada en vigor de la ley.   </w:t>
      </w:r>
    </w:p>
    <w:p w14:paraId="6A9F6B08"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Perjuicio Real y Actual:</w:t>
      </w:r>
    </w:p>
    <w:p w14:paraId="459A1483"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Grave Infracción a la Privacidad y Protección de Datos: Permite el acceso estatal a información personal altamente sensible (patrones de vida, asociaciones, intereses) sin revisión judicial, lo que constituye una grave y directa infracción a la privacidad y a la protección de datos personales.   </w:t>
      </w:r>
    </w:p>
    <w:p w14:paraId="1B87D4FD"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Vulneración del Debido Proceso y Certeza Jurídica: La ausencia de una orden judicial socava las garantías del debido proceso y la certeza jurídica, ya que el control judicial es una salvaguarda esencial para asegurar que las intromisiones en derechos fundamentales sean proporcionales y justificadas. Esto desequilibra el sistema de pesos y contrapesos, otorgando poderes de vigilancia excesivos a las ramas ejecutiva o administrativa.   </w:t>
      </w:r>
    </w:p>
    <w:p w14:paraId="10386D2D"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Reproducción de Inconstitucionalidad: Esta disposición reproduce los defectos de inconstitucionalidad ya identificados y anulados por la SCJN en legislaciones anteriores, que enfatizaron la necesidad de control judicial estricto para cualquier acceso estatal a datos de comunicaciones.   </w:t>
      </w:r>
    </w:p>
    <w:p w14:paraId="0C3C0D28"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3. Artículo 205: Bloqueo de Señales en Emergencias Públicas</w:t>
      </w:r>
    </w:p>
    <w:p w14:paraId="593CD1D5"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Naturaleza Autoaplicativa: Aunque la aplicación de la medida requiere un acto concreto de bloqueo, la disposición es autoaplicativa al establecer la potestad de bloquear señales de telecomunicaciones (móviles, internet, etc.) en situaciones de "emergencia pública" sin necesidad de una orden judicial. El derecho del individuo a recibir y difundir información se restringe inmediatamente por la mera posibilidad de tal bloqueo sin revisión judicial.   </w:t>
      </w:r>
    </w:p>
    <w:p w14:paraId="711F146B" w14:textId="77777777" w:rsidR="00426D90"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lastRenderedPageBreak/>
        <w:t>Perjuicio Real y Actual:</w:t>
      </w:r>
    </w:p>
    <w:p w14:paraId="361032A4" w14:textId="7E9339D8"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Restricción a la Libertad de Expresión y Acceso a la Información: El bloqueo de señales afecta directamente la libertad de expresión y el derecho de acceso a la información, pilares esenciales de una sociedad democrática. Restringe la capacidad de impartir y recibir información, lo que puede llevar a la censura y al control arbitrario del discurso público.   </w:t>
      </w:r>
    </w:p>
    <w:p w14:paraId="3876D8B8" w14:textId="70D7FDC5"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Vaguedad y Potencial Abuso: La ambigüedad del concepto de "emergencia pública" es preocupante, ya que puede ser interpretada de manera amplia y subjetiva, facilitando el abuso de poder y la imposición de restricciones a la comunicación bajo pretextos de seguridad no siempre legítimos o proporcionales.   </w:t>
      </w:r>
    </w:p>
    <w:p w14:paraId="34D6918A"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Incertidumbre Jurídica: La ausencia de un proceso claro y supervisado judicialmente para una medida tan drástica introduce una profunda incertidumbre jurídica y elude las garantías del debido proceso. La SCJN ha exigido el más alto nivel de escrutinio judicial para limitaciones tan severas a la libertad de expresión.   </w:t>
      </w:r>
    </w:p>
    <w:p w14:paraId="02A4A084"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4. Artículo 206: Acceso a Datos de Geolocalización por Autoridades</w:t>
      </w:r>
    </w:p>
    <w:p w14:paraId="44FDE31A"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Naturaleza Autoaplicativa: Este artículo es autoaplicativo porque otorga a las autoridades la facultad de acceder a datos de geolocalización en tiempo real de los individuos sin una orden judicial. Esta capacidad de acceso directo a la ubicación de los ciudadanos, sin control judicial, afecta de inmediato sus derechos fundamentales desde la entrada en vigor de la ley.   </w:t>
      </w:r>
    </w:p>
    <w:p w14:paraId="6538C96F"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Perjuicio Real y Actual:</w:t>
      </w:r>
    </w:p>
    <w:p w14:paraId="377E7CA1"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Intromisión Profunda en la Privacidad y Protección de Datos: El acceso a la geolocalización en tiempo real revela información altamente sensible sobre los movimientos, asociaciones, hábitos y patrones de vida de un individuo, constituyendo una invasión masiva al derecho a la privacidad y a la protección de datos personales.   </w:t>
      </w:r>
    </w:p>
    <w:p w14:paraId="6CE71188"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Vigilancia Arbitraria y "Panóptico Digital": La ausencia de una orden judicial permite que esta vigilancia invasiva se inicie por mero capricho administrativo, sin demostración de causa probable o proporcionalidad. Esto crea un "panóptico digital" donde los individuos están bajo potencial vigilancia constante, alterando la relación entre el ciudadano y el Estado hacia un modelo de vigilancia.   </w:t>
      </w:r>
    </w:p>
    <w:p w14:paraId="2D96429E"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Afectación a la Libertad de Asociación y Anonimato: La capacidad de rastrear movimientos sin supervisión judicial afecta no solo la privacidad, sino también el derecho al anonimato en espacios públicos y la libertad de asociación, ya que los individuos pueden ser disuadidos de participar en ciertas actividades o de asociarse con determinados grupos si sus movimientos son constantemente monitoreados.   </w:t>
      </w:r>
    </w:p>
    <w:p w14:paraId="584A332A" w14:textId="77777777" w:rsidR="00483834" w:rsidRPr="00483834" w:rsidRDefault="00483834" w:rsidP="00ED6C2D">
      <w:pPr>
        <w:spacing w:line="360" w:lineRule="auto"/>
        <w:jc w:val="both"/>
        <w:rPr>
          <w:rFonts w:asciiTheme="minorBidi" w:hAnsiTheme="minorBidi"/>
          <w:sz w:val="24"/>
          <w:szCs w:val="24"/>
          <w:lang w:val="es-MX"/>
        </w:rPr>
      </w:pPr>
      <w:r w:rsidRPr="00483834">
        <w:rPr>
          <w:rFonts w:asciiTheme="minorBidi" w:hAnsiTheme="minorBidi"/>
          <w:sz w:val="24"/>
          <w:szCs w:val="24"/>
          <w:lang w:val="es-MX"/>
        </w:rPr>
        <w:t xml:space="preserve">Reproducción de Inconstitucionalidad: La SCJN ha sido categórica al declarar inconstitucionales disposiciones similares que permitían el acceso a la geolocalización </w:t>
      </w:r>
      <w:r w:rsidRPr="00483834">
        <w:rPr>
          <w:rFonts w:asciiTheme="minorBidi" w:hAnsiTheme="minorBidi"/>
          <w:sz w:val="24"/>
          <w:szCs w:val="24"/>
          <w:lang w:val="es-MX"/>
        </w:rPr>
        <w:lastRenderedPageBreak/>
        <w:t xml:space="preserve">en tiempo real sin una orden judicial, reconociendo su naturaleza altamente intrusiva y la necesidad absoluta de autorización judicial.   </w:t>
      </w:r>
    </w:p>
    <w:p w14:paraId="326B9DAC" w14:textId="61EE2BD2"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 xml:space="preserve">Manifiesto bajo protesta de decir verdad que tuve conocimiento del acto reclamado el día </w:t>
      </w:r>
      <w:r w:rsidRPr="00426D90">
        <w:rPr>
          <w:rFonts w:asciiTheme="minorBidi" w:hAnsiTheme="minorBidi"/>
          <w:sz w:val="24"/>
          <w:szCs w:val="24"/>
          <w:highlight w:val="green"/>
          <w:lang w:val="es-MX"/>
        </w:rPr>
        <w:t>[Fecha exacta en que tuvo conocimiento del acto reclamado].</w:t>
      </w:r>
      <w:r w:rsidRPr="00320810">
        <w:rPr>
          <w:rFonts w:asciiTheme="minorBidi" w:hAnsiTheme="minorBidi"/>
          <w:sz w:val="24"/>
          <w:szCs w:val="24"/>
          <w:lang w:val="es-MX"/>
        </w:rPr>
        <w:t xml:space="preserve">   </w:t>
      </w:r>
    </w:p>
    <w:p w14:paraId="658C94F1" w14:textId="29AD7937" w:rsidR="00320810" w:rsidRPr="00206707" w:rsidRDefault="00320810" w:rsidP="00ED6C2D">
      <w:pPr>
        <w:spacing w:line="360" w:lineRule="auto"/>
        <w:jc w:val="both"/>
        <w:rPr>
          <w:rFonts w:asciiTheme="minorBidi" w:hAnsiTheme="minorBidi"/>
          <w:b/>
          <w:bCs/>
          <w:sz w:val="24"/>
          <w:szCs w:val="24"/>
          <w:lang w:val="es-MX"/>
        </w:rPr>
      </w:pPr>
      <w:r w:rsidRPr="00206707">
        <w:rPr>
          <w:rFonts w:asciiTheme="minorBidi" w:hAnsiTheme="minorBidi"/>
          <w:b/>
          <w:bCs/>
          <w:sz w:val="24"/>
          <w:szCs w:val="24"/>
          <w:lang w:val="es-MX"/>
        </w:rPr>
        <w:t>I</w:t>
      </w:r>
      <w:r w:rsidR="00206707" w:rsidRPr="00206707">
        <w:rPr>
          <w:rFonts w:asciiTheme="minorBidi" w:hAnsiTheme="minorBidi"/>
          <w:b/>
          <w:bCs/>
          <w:sz w:val="24"/>
          <w:szCs w:val="24"/>
          <w:lang w:val="es-MX"/>
        </w:rPr>
        <w:t>V</w:t>
      </w:r>
      <w:r w:rsidRPr="00206707">
        <w:rPr>
          <w:rFonts w:asciiTheme="minorBidi" w:hAnsiTheme="minorBidi"/>
          <w:b/>
          <w:bCs/>
          <w:sz w:val="24"/>
          <w:szCs w:val="24"/>
          <w:lang w:val="es-MX"/>
        </w:rPr>
        <w:t>. PRECEPTOS CONSTITUCIONALES Y CONVENCIONALES VIOLADOS</w:t>
      </w:r>
    </w:p>
    <w:p w14:paraId="4FFBCBA8" w14:textId="79710457" w:rsidR="00B2597E"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 xml:space="preserve">Con fundamento en el artículo 108, fracción VI, de la Ley de </w:t>
      </w:r>
      <w:r w:rsidR="00206707" w:rsidRPr="00320810">
        <w:rPr>
          <w:rFonts w:asciiTheme="minorBidi" w:hAnsiTheme="minorBidi"/>
          <w:sz w:val="24"/>
          <w:szCs w:val="24"/>
          <w:lang w:val="es-MX"/>
        </w:rPr>
        <w:t>Amparo,</w:t>
      </w:r>
      <w:r w:rsidRPr="00320810">
        <w:rPr>
          <w:rFonts w:asciiTheme="minorBidi" w:hAnsiTheme="minorBidi"/>
          <w:sz w:val="24"/>
          <w:szCs w:val="24"/>
          <w:lang w:val="es-MX"/>
        </w:rPr>
        <w:t xml:space="preserve"> la norma general reclamada viola los preceptos constitucionales y convencionales antes citados, por los siguientes:  </w:t>
      </w:r>
      <w:r w:rsidR="00B2597E" w:rsidRPr="00B2597E">
        <w:rPr>
          <w:rFonts w:asciiTheme="minorBidi" w:hAnsiTheme="minorBidi"/>
          <w:sz w:val="24"/>
          <w:szCs w:val="24"/>
          <w:lang w:val="es-MX"/>
        </w:rPr>
        <w:t>Artículo 6 (Libertad de Expresión y Acceso a la Información)</w:t>
      </w:r>
      <w:r w:rsidR="00B2597E">
        <w:rPr>
          <w:rFonts w:asciiTheme="minorBidi" w:hAnsiTheme="minorBidi"/>
          <w:sz w:val="24"/>
          <w:szCs w:val="24"/>
          <w:lang w:val="es-MX"/>
        </w:rPr>
        <w:t xml:space="preserve">; </w:t>
      </w:r>
      <w:r w:rsidR="00B2597E" w:rsidRPr="00B2597E">
        <w:rPr>
          <w:rFonts w:asciiTheme="minorBidi" w:hAnsiTheme="minorBidi"/>
          <w:sz w:val="24"/>
          <w:szCs w:val="24"/>
          <w:lang w:val="es-MX"/>
        </w:rPr>
        <w:t>Artículo 14 (Debido Proceso y Certeza Jurídica)</w:t>
      </w:r>
      <w:r w:rsidR="00B2597E">
        <w:rPr>
          <w:rFonts w:asciiTheme="minorBidi" w:hAnsiTheme="minorBidi"/>
          <w:sz w:val="24"/>
          <w:szCs w:val="24"/>
          <w:lang w:val="es-MX"/>
        </w:rPr>
        <w:t xml:space="preserve">; </w:t>
      </w:r>
      <w:r w:rsidR="00B2597E" w:rsidRPr="00B2597E">
        <w:rPr>
          <w:rFonts w:asciiTheme="minorBidi" w:hAnsiTheme="minorBidi"/>
          <w:sz w:val="24"/>
          <w:szCs w:val="24"/>
          <w:lang w:val="es-MX"/>
        </w:rPr>
        <w:t>Artículo 16 (Privacidad, Protección de Datos Personales y Debido Proceso)</w:t>
      </w:r>
      <w:r w:rsidR="00B2597E">
        <w:rPr>
          <w:rFonts w:asciiTheme="minorBidi" w:hAnsiTheme="minorBidi"/>
          <w:sz w:val="24"/>
          <w:szCs w:val="24"/>
          <w:lang w:val="es-MX"/>
        </w:rPr>
        <w:t xml:space="preserve"> de la Constitución Política de los Estados Unidos Mexicanos;  </w:t>
      </w:r>
      <w:r w:rsidR="00B2597E" w:rsidRPr="00B2597E">
        <w:rPr>
          <w:rFonts w:asciiTheme="minorBidi" w:hAnsiTheme="minorBidi"/>
          <w:sz w:val="24"/>
          <w:szCs w:val="24"/>
          <w:lang w:val="es-MX"/>
        </w:rPr>
        <w:t>Artículo 11 de la Convención Americana sobre Derechos Humanos (CADH) (Protección de la Vida Privada)</w:t>
      </w:r>
      <w:r w:rsidR="00B2597E">
        <w:rPr>
          <w:rFonts w:asciiTheme="minorBidi" w:hAnsiTheme="minorBidi"/>
          <w:sz w:val="24"/>
          <w:szCs w:val="24"/>
          <w:lang w:val="es-MX"/>
        </w:rPr>
        <w:t xml:space="preserve">; </w:t>
      </w:r>
      <w:r w:rsidR="00B2597E" w:rsidRPr="00B2597E">
        <w:rPr>
          <w:rFonts w:asciiTheme="minorBidi" w:hAnsiTheme="minorBidi"/>
          <w:sz w:val="24"/>
          <w:szCs w:val="24"/>
          <w:lang w:val="es-MX"/>
        </w:rPr>
        <w:t>Artículo 13 de la Convención Americana sobre Derechos Humanos (CADH) (Libertad de Pensamiento y Expresión)</w:t>
      </w:r>
      <w:r w:rsidR="00B2597E">
        <w:rPr>
          <w:rFonts w:asciiTheme="minorBidi" w:hAnsiTheme="minorBidi"/>
          <w:sz w:val="24"/>
          <w:szCs w:val="24"/>
          <w:lang w:val="es-MX"/>
        </w:rPr>
        <w:t xml:space="preserve">; </w:t>
      </w:r>
      <w:r w:rsidR="00B2597E" w:rsidRPr="00B2597E">
        <w:rPr>
          <w:rFonts w:asciiTheme="minorBidi" w:hAnsiTheme="minorBidi"/>
          <w:sz w:val="24"/>
          <w:szCs w:val="24"/>
          <w:lang w:val="es-MX"/>
        </w:rPr>
        <w:t>Artículo 17 del Pacto Internacional de Derechos Civiles y Políticos (PIDCP) (Protección de la Privacidad)</w:t>
      </w:r>
      <w:r w:rsidR="00B2597E">
        <w:rPr>
          <w:rFonts w:asciiTheme="minorBidi" w:hAnsiTheme="minorBidi"/>
          <w:sz w:val="24"/>
          <w:szCs w:val="24"/>
          <w:lang w:val="es-MX"/>
        </w:rPr>
        <w:t xml:space="preserve">; y </w:t>
      </w:r>
      <w:r w:rsidR="00B2597E" w:rsidRPr="00B2597E">
        <w:rPr>
          <w:rFonts w:asciiTheme="minorBidi" w:hAnsiTheme="minorBidi"/>
          <w:sz w:val="24"/>
          <w:szCs w:val="24"/>
          <w:lang w:val="es-MX"/>
        </w:rPr>
        <w:t>Artículo 19 del Pacto Internacional de Derechos Civiles y Políticos (PIDCP) (Libertad de Expresión).</w:t>
      </w:r>
    </w:p>
    <w:p w14:paraId="4A92F321" w14:textId="2469F5BE" w:rsidR="00320810" w:rsidRPr="00206707" w:rsidRDefault="00320810" w:rsidP="00ED6C2D">
      <w:pPr>
        <w:spacing w:line="360" w:lineRule="auto"/>
        <w:jc w:val="both"/>
        <w:rPr>
          <w:rFonts w:asciiTheme="minorBidi" w:hAnsiTheme="minorBidi"/>
          <w:b/>
          <w:bCs/>
          <w:sz w:val="24"/>
          <w:szCs w:val="24"/>
          <w:lang w:val="es-MX"/>
        </w:rPr>
      </w:pPr>
      <w:r w:rsidRPr="00206707">
        <w:rPr>
          <w:rFonts w:asciiTheme="minorBidi" w:hAnsiTheme="minorBidi"/>
          <w:b/>
          <w:bCs/>
          <w:sz w:val="24"/>
          <w:szCs w:val="24"/>
          <w:lang w:val="es-MX"/>
        </w:rPr>
        <w:t>V. CONCEPTOS DE VIOLACIÓN</w:t>
      </w:r>
    </w:p>
    <w:p w14:paraId="1E906FC3" w14:textId="77777777" w:rsidR="00384D69"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 xml:space="preserve">Con fundamento en el artículo 108, fracción VIII, de la Ley de Amparo, la norma general reclamada viola los preceptos constitucionales y convencionales antes citados, por los siguientes:   </w:t>
      </w:r>
    </w:p>
    <w:p w14:paraId="3E482C8D" w14:textId="6705643C" w:rsidR="00B2597E" w:rsidRPr="00B2597E" w:rsidRDefault="00B2597E" w:rsidP="00ED6C2D">
      <w:pPr>
        <w:spacing w:line="360" w:lineRule="auto"/>
        <w:jc w:val="both"/>
        <w:rPr>
          <w:rFonts w:ascii="Arial" w:hAnsi="Arial" w:cs="Arial"/>
          <w:b/>
          <w:bCs/>
          <w:sz w:val="24"/>
          <w:szCs w:val="24"/>
          <w:lang w:val="es-MX"/>
        </w:rPr>
      </w:pPr>
      <w:r>
        <w:rPr>
          <w:rFonts w:ascii="Arial" w:hAnsi="Arial" w:cs="Arial"/>
          <w:b/>
          <w:bCs/>
          <w:sz w:val="24"/>
          <w:szCs w:val="24"/>
          <w:lang w:val="es-MX"/>
        </w:rPr>
        <w:t>PRIMER CONCEPTO DE VIOLACIÓN</w:t>
      </w:r>
      <w:r w:rsidRPr="00B2597E">
        <w:rPr>
          <w:rFonts w:ascii="Arial" w:hAnsi="Arial" w:cs="Arial"/>
          <w:b/>
          <w:bCs/>
          <w:sz w:val="24"/>
          <w:szCs w:val="24"/>
          <w:lang w:val="es-MX"/>
        </w:rPr>
        <w:t>: Violación a la Privacidad y Protección de Datos por Retención Obligatoria de Datos (Artículo 189)</w:t>
      </w:r>
    </w:p>
    <w:p w14:paraId="03CA5E42" w14:textId="7CF83DE2"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El Artículo 189 de la Ley Federal de Telecomunicaciones y Radiodifusión, al imponer a los concesionarios de telecomunicaciones la obligación de conservar los datos generados por las comunicaciones de sus usuarios por un período determinado, constituye una interferencia desproporcionada y arbitraria con derechos fundamentales. Esta disposición es autoaplicativa, ya que su sola existencia afecta de manera inmediata y directa la esfera privada de todos los usuarios, sin requerir un acto posterior de autoridad para su actualización.    </w:t>
      </w:r>
    </w:p>
    <w:p w14:paraId="4EADEC55" w14:textId="54E332AE"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La retención obligatoria de metadatos, registros de llamadas y datos de tráfico de internet vulnera de forma flagrante el derecho a la privacidad consagrado en el Artículo 16 de la Constitución Política de los Estados Unidos Mexicanos. Este derecho fundamental protege la esfera más íntima de los individuos, incluyendo sus comunicaciones y la información generada por ellas. La medida es desproporcionada porque afecta a la totalidad de la población, sin distinción ni sospecha alguna, y sin que exista una justificación individualizada que legitime tal intromisión masiva.    </w:t>
      </w:r>
    </w:p>
    <w:p w14:paraId="00CFF68A" w14:textId="2B1C11BB"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Asimismo, se transgrede el derecho a la protección de datos personales, que exige que la recopilación y el procesamiento de información personal se realicen con </w:t>
      </w:r>
      <w:r w:rsidRPr="00B2597E">
        <w:rPr>
          <w:rFonts w:ascii="Arial" w:hAnsi="Arial" w:cs="Arial"/>
          <w:sz w:val="24"/>
          <w:szCs w:val="24"/>
          <w:lang w:val="es-MX"/>
        </w:rPr>
        <w:lastRenderedPageBreak/>
        <w:t>un propósito legítimo, bajo principios de proporcionalidad y, en la mayoría de los casos, con el consentimiento del titular o mediante autorización judicial. La retención generalizada y sin control judicial previo de datos tan sensibles crea un "efecto paralizador" (</w:t>
      </w:r>
      <w:proofErr w:type="spellStart"/>
      <w:r w:rsidRPr="00E94AD6">
        <w:rPr>
          <w:rFonts w:ascii="Arial" w:hAnsi="Arial" w:cs="Arial"/>
          <w:i/>
          <w:iCs/>
          <w:sz w:val="24"/>
          <w:szCs w:val="24"/>
          <w:lang w:val="es-MX"/>
        </w:rPr>
        <w:t>chilling</w:t>
      </w:r>
      <w:proofErr w:type="spellEnd"/>
      <w:r w:rsidRPr="00E94AD6">
        <w:rPr>
          <w:rFonts w:ascii="Arial" w:hAnsi="Arial" w:cs="Arial"/>
          <w:i/>
          <w:iCs/>
          <w:sz w:val="24"/>
          <w:szCs w:val="24"/>
          <w:lang w:val="es-MX"/>
        </w:rPr>
        <w:t xml:space="preserve"> </w:t>
      </w:r>
      <w:proofErr w:type="spellStart"/>
      <w:r w:rsidRPr="00E94AD6">
        <w:rPr>
          <w:rFonts w:ascii="Arial" w:hAnsi="Arial" w:cs="Arial"/>
          <w:i/>
          <w:iCs/>
          <w:sz w:val="24"/>
          <w:szCs w:val="24"/>
          <w:lang w:val="es-MX"/>
        </w:rPr>
        <w:t>effect</w:t>
      </w:r>
      <w:proofErr w:type="spellEnd"/>
      <w:r w:rsidRPr="00B2597E">
        <w:rPr>
          <w:rFonts w:ascii="Arial" w:hAnsi="Arial" w:cs="Arial"/>
          <w:sz w:val="24"/>
          <w:szCs w:val="24"/>
          <w:lang w:val="es-MX"/>
        </w:rPr>
        <w:t xml:space="preserve">) sobre la libertad de expresión y asociación, ya que los individuos pueden autocensurarse al saber que sus actividades están siendo sistemáticamente registradas.    </w:t>
      </w:r>
    </w:p>
    <w:p w14:paraId="1E8B3820" w14:textId="6EE10893"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La Suprema Corte de Justicia de la Nación (SCJN) ya ha declarado la inconstitucionalidad de disposiciones similares en legislaciones anteriores, enfatizando la imperiosa necesidad de control judicial sobre cualquier medida que implique la retención de datos de comunicaciones. La </w:t>
      </w:r>
      <w:r w:rsidRPr="00B2597E">
        <w:rPr>
          <w:rFonts w:ascii="Arial" w:hAnsi="Arial" w:cs="Arial"/>
          <w:i/>
          <w:iCs/>
          <w:sz w:val="24"/>
          <w:szCs w:val="24"/>
          <w:lang w:val="es-MX"/>
        </w:rPr>
        <w:t xml:space="preserve">ratio </w:t>
      </w:r>
      <w:proofErr w:type="spellStart"/>
      <w:r w:rsidRPr="00B2597E">
        <w:rPr>
          <w:rFonts w:ascii="Arial" w:hAnsi="Arial" w:cs="Arial"/>
          <w:i/>
          <w:iCs/>
          <w:sz w:val="24"/>
          <w:szCs w:val="24"/>
          <w:lang w:val="es-MX"/>
        </w:rPr>
        <w:t>decidendi</w:t>
      </w:r>
      <w:proofErr w:type="spellEnd"/>
      <w:r w:rsidRPr="00B2597E">
        <w:rPr>
          <w:rFonts w:ascii="Arial" w:hAnsi="Arial" w:cs="Arial"/>
          <w:sz w:val="24"/>
          <w:szCs w:val="24"/>
          <w:lang w:val="es-MX"/>
        </w:rPr>
        <w:t xml:space="preserve"> de la SCJN subraya que la ausencia de una supervisión judicial previa y efectiva sobre la retención misma convierte la medida en una herramienta de vigilancia indiscriminada, incompatible con los principios de un Estado democrático de derecho. La mera posibilidad de que esta información sea utilizada sin un filtro judicial socava la certeza jurídica de los ciudadanos respecto al manejo de su información personal.    </w:t>
      </w:r>
    </w:p>
    <w:p w14:paraId="158AEB02" w14:textId="01FD29F9"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Esta violación no solo contraviene el marco constitucional mexicano, sino también tratados internacionales de derechos humanos de los que México es parte, como el Artículo 11 de la Convención Americana sobre Derechos Humanos (CADH), que protege contra injerencias arbitrarias o abusivas en la vida privada, y el Artículo 17 del Pacto Internacional de Derechos Civiles y Políticos (PIDCP), que garantiza una protección similar a la privacidad. La retención masiva de datos sin justificación individualizada ni control judicial es una práctica que ha sido consistentemente condenada por tribunales internacionales y organismos de derechos humanos por su potencial para la vigilancia masiva y el abuso de poder.    </w:t>
      </w:r>
    </w:p>
    <w:p w14:paraId="0D666247" w14:textId="33F5AAD5" w:rsidR="00B2597E" w:rsidRPr="00B2597E" w:rsidRDefault="00B2597E" w:rsidP="00ED6C2D">
      <w:pPr>
        <w:spacing w:line="360" w:lineRule="auto"/>
        <w:jc w:val="both"/>
        <w:rPr>
          <w:rFonts w:ascii="Arial" w:hAnsi="Arial" w:cs="Arial"/>
          <w:b/>
          <w:bCs/>
          <w:sz w:val="24"/>
          <w:szCs w:val="24"/>
          <w:lang w:val="es-MX"/>
        </w:rPr>
      </w:pPr>
      <w:r w:rsidRPr="00B2597E">
        <w:rPr>
          <w:rFonts w:ascii="Arial" w:hAnsi="Arial" w:cs="Arial"/>
          <w:b/>
          <w:bCs/>
          <w:sz w:val="24"/>
          <w:szCs w:val="24"/>
          <w:lang w:val="es-MX"/>
        </w:rPr>
        <w:t>S</w:t>
      </w:r>
      <w:r w:rsidR="00E94AD6">
        <w:rPr>
          <w:rFonts w:ascii="Arial" w:hAnsi="Arial" w:cs="Arial"/>
          <w:b/>
          <w:bCs/>
          <w:sz w:val="24"/>
          <w:szCs w:val="24"/>
          <w:lang w:val="es-MX"/>
        </w:rPr>
        <w:t>EGUNDO CONCEPTO DE VIOLACIÓN</w:t>
      </w:r>
      <w:r w:rsidRPr="00B2597E">
        <w:rPr>
          <w:rFonts w:ascii="Arial" w:hAnsi="Arial" w:cs="Arial"/>
          <w:b/>
          <w:bCs/>
          <w:sz w:val="24"/>
          <w:szCs w:val="24"/>
          <w:lang w:val="es-MX"/>
        </w:rPr>
        <w:t>: Violación a la Privacidad, Protección de Datos y Debido Proceso por Acceso Irrestricto a Datos Retenidos (Artículo 190)</w:t>
      </w:r>
    </w:p>
    <w:p w14:paraId="2491A639" w14:textId="683FEF00"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El Artículo 190 de la Ley Federal de Telecomunicaciones y Radiodifusión, al permitir que las autoridades accedan a los datos retenidos bajo el Artículo 189 sin requerir una orden judicial previa, establece un mecanismo de intromisión estatal inconstitucional en la esfera privada de los individuos. Esta disposición es autoaplicativa, ya que la facultad de acceso directo a datos privados sin un filtro judicial afecta de inmediato los derechos de los ciudadanos desde la entrada en vigor de la ley.    </w:t>
      </w:r>
    </w:p>
    <w:p w14:paraId="31787248" w14:textId="765DB408"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La autorización para que autoridades administrativas o de seguridad accedan a información tan sensible como </w:t>
      </w:r>
      <w:r w:rsidRPr="00B2597E">
        <w:rPr>
          <w:rFonts w:ascii="Arial" w:hAnsi="Arial" w:cs="Arial"/>
          <w:sz w:val="24"/>
          <w:szCs w:val="24"/>
          <w:lang w:val="es-MX"/>
        </w:rPr>
        <w:t>los metadatos de comunicaciones sin la intervención de un juez representan</w:t>
      </w:r>
      <w:r w:rsidRPr="00B2597E">
        <w:rPr>
          <w:rFonts w:ascii="Arial" w:hAnsi="Arial" w:cs="Arial"/>
          <w:sz w:val="24"/>
          <w:szCs w:val="24"/>
          <w:lang w:val="es-MX"/>
        </w:rPr>
        <w:t xml:space="preserve"> una grave y directa infracción al derecho a la privacidad (Artículo 16 Constitucional) y al derecho a la protección de datos personales. La información de comunicaciones revela patrones de vida, asociaciones, intereses y, en esencia, la identidad digital de una persona, por lo que su acceso debe estar sujeto a las más estrictas garantías.    </w:t>
      </w:r>
    </w:p>
    <w:p w14:paraId="448371A9" w14:textId="38937BAC"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lastRenderedPageBreak/>
        <w:t xml:space="preserve">Además, la ausencia de una orden judicial para el acceso a estos datos vulnera de manera fundamental el debido proceso (Artículos 14 y 16 Constitucionales) y la certeza jurídica. El control judicial es una salvaguarda esencial en un Estado de derecho para asegurar que las intromisiones en los derechos fundamentales sean proporcionales, necesarias y justificadas en cada caso concreto, evitando la arbitrariedad. Al eludir este control, el Artículo 190 desequilibra el sistema de pesos y contrapesos, otorgando a las ramas ejecutiva o administrativa poderes de vigilancia excesivos sin el escrutinio independiente del poder judicial.    </w:t>
      </w:r>
    </w:p>
    <w:p w14:paraId="46292E25" w14:textId="0CFC5911"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La SCJN ha sido enfática en su jurisprudencia al declarar inconstitucionales las disposiciones que permitían el acceso a datos de comunicaciones sin supervisión judicial. El razonamiento de la Corte ha sido claro: cualquier acceso estatal a datos privados de comunicaciones requiere una estricta autorización judicial para prevenir injerencias arbitrarias y garantizar la certeza jurídica de los ciudadanos. La disposición del Artículo 190 reproduce exactamente los defectos de inconstitucionalidad ya identificados y anulados por el máximo tribunal, lo que demuestra una persistencia en la vulneración de derechos fundamentales.    </w:t>
      </w:r>
    </w:p>
    <w:p w14:paraId="7846A1E7" w14:textId="47F1A403"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Esta norma también contraviene el Artículo 11 de la CADH y el Artículo 17 del PIDCP, que protegen la privacidad y la vida privada contra injerencias ilegales o arbitrarias. La posibilidad de que las autoridades accedan a esta información sin una justificación individualizada y sin el control de un juez convierte a los ciudadanos en sujetos de una vigilancia potencial constante, afectando su libertad y autonomía en el entorno digital.    </w:t>
      </w:r>
    </w:p>
    <w:p w14:paraId="48BE03D1" w14:textId="073040A8" w:rsidR="00B2597E" w:rsidRPr="00B2597E" w:rsidRDefault="00B2597E" w:rsidP="00ED6C2D">
      <w:pPr>
        <w:spacing w:line="360" w:lineRule="auto"/>
        <w:jc w:val="both"/>
        <w:rPr>
          <w:rFonts w:ascii="Arial" w:hAnsi="Arial" w:cs="Arial"/>
          <w:b/>
          <w:bCs/>
          <w:sz w:val="24"/>
          <w:szCs w:val="24"/>
          <w:lang w:val="es-MX"/>
        </w:rPr>
      </w:pPr>
      <w:r w:rsidRPr="00B2597E">
        <w:rPr>
          <w:rFonts w:ascii="Arial" w:hAnsi="Arial" w:cs="Arial"/>
          <w:b/>
          <w:bCs/>
          <w:sz w:val="24"/>
          <w:szCs w:val="24"/>
          <w:lang w:val="es-MX"/>
        </w:rPr>
        <w:t>T</w:t>
      </w:r>
      <w:r w:rsidR="00E94AD6">
        <w:rPr>
          <w:rFonts w:ascii="Arial" w:hAnsi="Arial" w:cs="Arial"/>
          <w:b/>
          <w:bCs/>
          <w:sz w:val="24"/>
          <w:szCs w:val="24"/>
          <w:lang w:val="es-MX"/>
        </w:rPr>
        <w:t>ERCER CONCEPTO DE VIOLACIÓN</w:t>
      </w:r>
      <w:r w:rsidRPr="00B2597E">
        <w:rPr>
          <w:rFonts w:ascii="Arial" w:hAnsi="Arial" w:cs="Arial"/>
          <w:b/>
          <w:bCs/>
          <w:sz w:val="24"/>
          <w:szCs w:val="24"/>
          <w:lang w:val="es-MX"/>
        </w:rPr>
        <w:t>: Violación a la Libertad de Expresión y Acceso a la Información por Bloqueo de Señales sin Supervisión Judicial (Artículo 205)</w:t>
      </w:r>
    </w:p>
    <w:p w14:paraId="2CB41738" w14:textId="3DBDC5D5"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El Artículo 205 de la Ley Federal de Telecomunicaciones y Radiodifusión, al facultar a las autoridades para bloquear señales de telecomunicaciones (móviles, internet, etc.) en situaciones de "emergencia pública" sin la necesidad de una orden judicial, impone una restricción inconstitucional y desproporcionada a derechos fundamentales. Aunque la aplicación de la medida requiere un acto concreto de bloqueo, la disposición es autoaplicativa al establecer la potestad de bloquear sin control judicial, limitando de inmediato el derecho de los individuos a recibir y difundir información.    </w:t>
      </w:r>
    </w:p>
    <w:p w14:paraId="4E6C4840" w14:textId="345B4F53"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El bloqueo de señales es una medida de extrema gravedad que afecta directamente la libertad de expresión y el derecho de acceso a la información, ambos tutelados por el Artículo 6 de la Constitución Política de los Estados Unidos Mexicanos. Estos derechos son pilares esenciales de una sociedad democrática, permitiendo el libre flujo de ideas, el debate público y la participación ciudadana informada. Restringir la capacidad de impartir y recibir información, incluso bajo el pretexto de una </w:t>
      </w:r>
      <w:r w:rsidRPr="00B2597E">
        <w:rPr>
          <w:rFonts w:ascii="Arial" w:hAnsi="Arial" w:cs="Arial"/>
          <w:sz w:val="24"/>
          <w:szCs w:val="24"/>
          <w:lang w:val="es-MX"/>
        </w:rPr>
        <w:lastRenderedPageBreak/>
        <w:t xml:space="preserve">"emergencia pública", sin un escrutinio judicial riguroso, abre la puerta a la censura y al control arbitrario del discurso público.    </w:t>
      </w:r>
    </w:p>
    <w:p w14:paraId="01526E3E" w14:textId="2DFEFFEA"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La vaguedad del concepto de "emergencia pública" es particularmente preocupante, ya que puede ser interpretado de manera amplia y subjetiva, facilitando el abuso de poder y la imposición de restricciones a la comunicación bajo pretextos de seguridad que no siempre son legítimos o proporcionales. La ausencia de un proceso claro y supervisado judicialmente para definir y aplicar una medida tan drástica introduce una profunda incertidumbre jurídica y elude las garantías del debido proceso.    </w:t>
      </w:r>
    </w:p>
    <w:p w14:paraId="2A67CFCC" w14:textId="2AAC88E7"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La SCJN ha sido clara en su jurisprudencia al declarar inconstitucionales las disposiciones que permitían el bloqueo de señales sin una orden judicial. La </w:t>
      </w:r>
      <w:r w:rsidRPr="00E94AD6">
        <w:rPr>
          <w:rFonts w:ascii="Arial" w:hAnsi="Arial" w:cs="Arial"/>
          <w:i/>
          <w:iCs/>
          <w:sz w:val="24"/>
          <w:szCs w:val="24"/>
          <w:lang w:val="es-MX"/>
        </w:rPr>
        <w:t xml:space="preserve">ratio </w:t>
      </w:r>
      <w:proofErr w:type="spellStart"/>
      <w:r w:rsidRPr="00E94AD6">
        <w:rPr>
          <w:rFonts w:ascii="Arial" w:hAnsi="Arial" w:cs="Arial"/>
          <w:i/>
          <w:iCs/>
          <w:sz w:val="24"/>
          <w:szCs w:val="24"/>
          <w:lang w:val="es-MX"/>
        </w:rPr>
        <w:t>decidendi</w:t>
      </w:r>
      <w:proofErr w:type="spellEnd"/>
      <w:r w:rsidRPr="00B2597E">
        <w:rPr>
          <w:rFonts w:ascii="Arial" w:hAnsi="Arial" w:cs="Arial"/>
          <w:sz w:val="24"/>
          <w:szCs w:val="24"/>
          <w:lang w:val="es-MX"/>
        </w:rPr>
        <w:t xml:space="preserve"> de la Corte ha enfatizado que una limitación tan severa a un derecho fundamental como la libertad de expresión requiere el más alto nivel de escrutinio judicial, asegurando que la medida sea estrictamente necesaria, idónea y proporcional al fin perseguido, y que no se convierta en una herramienta para silenciar voces o controlar la información.    </w:t>
      </w:r>
    </w:p>
    <w:p w14:paraId="4C1982DB" w14:textId="380CD80A"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Esta disposición también contraviene el Artículo 13 de la CADH y el Artículo 19 del PIDCP, que garantizan la libertad de pensamiento y expresión, incluyendo el derecho a buscar, recibir y difundir informaciones e ideas de toda índole. La posibilidad de un bloqueo indiscriminado sin control judicial es una amenaza directa a estos derechos, ya que puede impedir la comunicación en momentos críticos, como desastres naturales o situaciones de crisis social, donde el acceso a la información es vital para la seguridad y el bienestar de la población.    </w:t>
      </w:r>
    </w:p>
    <w:p w14:paraId="09BDDB83" w14:textId="00EF5FF2" w:rsidR="00B2597E" w:rsidRPr="00B2597E" w:rsidRDefault="00B2597E" w:rsidP="00ED6C2D">
      <w:pPr>
        <w:spacing w:line="360" w:lineRule="auto"/>
        <w:jc w:val="both"/>
        <w:rPr>
          <w:rFonts w:ascii="Arial" w:hAnsi="Arial" w:cs="Arial"/>
          <w:b/>
          <w:bCs/>
          <w:sz w:val="24"/>
          <w:szCs w:val="24"/>
          <w:lang w:val="es-MX"/>
        </w:rPr>
      </w:pPr>
      <w:r w:rsidRPr="00B2597E">
        <w:rPr>
          <w:rFonts w:ascii="Arial" w:hAnsi="Arial" w:cs="Arial"/>
          <w:b/>
          <w:bCs/>
          <w:sz w:val="24"/>
          <w:szCs w:val="24"/>
          <w:lang w:val="es-MX"/>
        </w:rPr>
        <w:t>C</w:t>
      </w:r>
      <w:r w:rsidR="00E94AD6">
        <w:rPr>
          <w:rFonts w:ascii="Arial" w:hAnsi="Arial" w:cs="Arial"/>
          <w:b/>
          <w:bCs/>
          <w:sz w:val="24"/>
          <w:szCs w:val="24"/>
          <w:lang w:val="es-MX"/>
        </w:rPr>
        <w:t>UARTO CONCEPTO DE VIOLACIÓN</w:t>
      </w:r>
      <w:r w:rsidRPr="00B2597E">
        <w:rPr>
          <w:rFonts w:ascii="Arial" w:hAnsi="Arial" w:cs="Arial"/>
          <w:b/>
          <w:bCs/>
          <w:sz w:val="24"/>
          <w:szCs w:val="24"/>
          <w:lang w:val="es-MX"/>
        </w:rPr>
        <w:t>: Violación a la Privacidad, Protección de Datos y Debido Proceso por Acceso Irrestricto a Geolocalización (Artículo 206)</w:t>
      </w:r>
    </w:p>
    <w:p w14:paraId="77155E64" w14:textId="154ACC90"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El Artículo 206 de la Ley Federal de Telecomunicaciones y Radiodifusión, al otorgar a las autoridades la facultad de acceder a datos de geolocalización en tiempo real de los individuos sin una orden judicial, representa una intromisión profunda y desproporcionada en la privacidad y la vida privada de las personas. Esta disposición es autoaplicativa, ya que la mera existencia de esta facultad de acceso directo a la ubicación de los ciudadanos sin control judicial afecta de inmediato sus derechos fundamentales.    </w:t>
      </w:r>
    </w:p>
    <w:p w14:paraId="00799445" w14:textId="71965EC4"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El acceso a datos de geolocalización en tiempo real revela información altamente sensible sobre los movimientos, asociaciones, hábitos y patrones de vida de un individuo. Permite trazar un perfil detallado de su existencia, incluyendo sus visitas a lugares privados o públicos, sus interacciones sociales y hasta sus afiliaciones políticas o religiosas. Esta capacidad de seguimiento constante y sin justificación individualizada ni control judicial constituye una invasión masiva al derecho a la </w:t>
      </w:r>
      <w:r w:rsidRPr="00B2597E">
        <w:rPr>
          <w:rFonts w:ascii="Arial" w:hAnsi="Arial" w:cs="Arial"/>
          <w:sz w:val="24"/>
          <w:szCs w:val="24"/>
          <w:lang w:val="es-MX"/>
        </w:rPr>
        <w:lastRenderedPageBreak/>
        <w:t xml:space="preserve">privacidad (Artículo 16 Constitucional) y al derecho a la protección de datos personales.    </w:t>
      </w:r>
    </w:p>
    <w:p w14:paraId="690C3AD1" w14:textId="30BE76B9"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La ausencia de una orden judicial para una medida de vigilancia tan invasiva socava gravemente la certeza jurídica y las garantías del debido proceso. En un Estado de derecho, cualquier intromisión en la esfera privada de los ciudadanos debe estar sujeta a la autorización de un juez, quien debe ponderar la necesidad y proporcionalidad de la medida en cada caso concreto, basándose en una causa probable. Al eliminar este requisito, el Artículo 206 permite que la vigilancia en tiempo real se inicie por mero capricho administrativo, sin una demostración de justificación o proporcionalidad, transformando la relación entre el ciudadano y el Estado hacia un modelo de vigilancia constante.    </w:t>
      </w:r>
    </w:p>
    <w:p w14:paraId="544D6879" w14:textId="15DD51E1"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 xml:space="preserve">La SCJN ha sido categórica al declarar la inconstitucionalidad de disposiciones que permitían el acceso a la geolocalización en tiempo real sin una orden judicial, reconociendo la naturaleza altamente intrusiva de esta medida. La </w:t>
      </w:r>
      <w:r w:rsidRPr="00E94AD6">
        <w:rPr>
          <w:rFonts w:ascii="Arial" w:hAnsi="Arial" w:cs="Arial"/>
          <w:i/>
          <w:iCs/>
          <w:sz w:val="24"/>
          <w:szCs w:val="24"/>
          <w:lang w:val="es-MX"/>
        </w:rPr>
        <w:t xml:space="preserve">ratio </w:t>
      </w:r>
      <w:proofErr w:type="spellStart"/>
      <w:r w:rsidRPr="00E94AD6">
        <w:rPr>
          <w:rFonts w:ascii="Arial" w:hAnsi="Arial" w:cs="Arial"/>
          <w:i/>
          <w:iCs/>
          <w:sz w:val="24"/>
          <w:szCs w:val="24"/>
          <w:lang w:val="es-MX"/>
        </w:rPr>
        <w:t>decidendi</w:t>
      </w:r>
      <w:proofErr w:type="spellEnd"/>
      <w:r w:rsidRPr="00B2597E">
        <w:rPr>
          <w:rFonts w:ascii="Arial" w:hAnsi="Arial" w:cs="Arial"/>
          <w:sz w:val="24"/>
          <w:szCs w:val="24"/>
          <w:lang w:val="es-MX"/>
        </w:rPr>
        <w:t xml:space="preserve"> de la Corte ha enfatizado la absoluta necesidad de autorización judicial para salvaguardar las libertades individuales frente a la intrusión arbitraria del Estado. La disposición del Artículo 206 es idéntica en su efecto inconstitucional a la legislación previa que fue invalidada por el máximo tribunal.    </w:t>
      </w:r>
    </w:p>
    <w:p w14:paraId="10A37FB3" w14:textId="5EB018C7" w:rsidR="00B2597E" w:rsidRPr="00B2597E" w:rsidRDefault="00B2597E" w:rsidP="00ED6C2D">
      <w:pPr>
        <w:spacing w:line="360" w:lineRule="auto"/>
        <w:ind w:firstLine="708"/>
        <w:jc w:val="both"/>
        <w:rPr>
          <w:rFonts w:ascii="Arial" w:hAnsi="Arial" w:cs="Arial"/>
          <w:sz w:val="24"/>
          <w:szCs w:val="24"/>
          <w:lang w:val="es-MX"/>
        </w:rPr>
      </w:pPr>
      <w:r w:rsidRPr="00B2597E">
        <w:rPr>
          <w:rFonts w:ascii="Arial" w:hAnsi="Arial" w:cs="Arial"/>
          <w:sz w:val="24"/>
          <w:szCs w:val="24"/>
          <w:lang w:val="es-MX"/>
        </w:rPr>
        <w:t>Esta norma también vulnera el Artículo 11 de la CADH y el Artículo 17 del PIDCP, que protegen la privacidad y la vida privada. La capacidad del Estado para rastrear los movimientos de los ciudadanos sin supervisión judicial afecta no solo el derecho a la privacidad, sino también el derecho al anonimato en espacios públicos y la libertad de asociación, ya que los individuos pueden ser disuadidos de participar en ciertas actividades o de asociarse con determinados grupos si sus movimientos son constantemente monitoreados.   </w:t>
      </w:r>
    </w:p>
    <w:p w14:paraId="0029AA07" w14:textId="463C4157" w:rsidR="002A563E" w:rsidRPr="002A563E" w:rsidRDefault="00320810" w:rsidP="00ED6C2D">
      <w:pPr>
        <w:spacing w:line="360" w:lineRule="auto"/>
        <w:jc w:val="both"/>
        <w:rPr>
          <w:rFonts w:asciiTheme="minorBidi" w:hAnsiTheme="minorBidi"/>
          <w:b/>
          <w:bCs/>
          <w:sz w:val="24"/>
          <w:szCs w:val="24"/>
          <w:lang w:val="es-MX"/>
        </w:rPr>
      </w:pPr>
      <w:r w:rsidRPr="002A563E">
        <w:rPr>
          <w:rFonts w:asciiTheme="minorBidi" w:hAnsiTheme="minorBidi"/>
          <w:b/>
          <w:bCs/>
          <w:sz w:val="24"/>
          <w:szCs w:val="24"/>
          <w:lang w:val="es-MX"/>
        </w:rPr>
        <w:t>VI. SUSPENSIÓN DEL ACTO RECLAMADO</w:t>
      </w:r>
    </w:p>
    <w:p w14:paraId="13278805" w14:textId="47410375"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 xml:space="preserve">Con fundamento en los artículos 125, 128, 129 y demás relativos de la Ley de Amparo, se solicita la suspensión provisional y, en su momento, la definitiva del acto reclamado, para lo cual se manifiesta lo siguiente:   </w:t>
      </w:r>
    </w:p>
    <w:p w14:paraId="2005B7D8" w14:textId="242E7A3E"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A. Solicitud de Suspensión Provisional:</w:t>
      </w:r>
    </w:p>
    <w:p w14:paraId="1057B578" w14:textId="31A53FD0"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 xml:space="preserve">Se solicita se conceda la suspensión provisional del acto reclamado, consistente en </w:t>
      </w:r>
      <w:r w:rsidR="00426D90">
        <w:rPr>
          <w:rFonts w:asciiTheme="minorBidi" w:hAnsiTheme="minorBidi"/>
          <w:sz w:val="24"/>
          <w:szCs w:val="24"/>
          <w:lang w:val="es-MX"/>
        </w:rPr>
        <w:t>la aplicación de las normas generales impugnadas</w:t>
      </w:r>
      <w:r w:rsidRPr="00320810">
        <w:rPr>
          <w:rFonts w:asciiTheme="minorBidi" w:hAnsiTheme="minorBidi"/>
          <w:sz w:val="24"/>
          <w:szCs w:val="24"/>
          <w:lang w:val="es-MX"/>
        </w:rPr>
        <w:t>, toda vez que concurren los requisitos previstos en la Ley de Amparo:</w:t>
      </w:r>
    </w:p>
    <w:p w14:paraId="24E3A63F" w14:textId="126F8E2A"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Apariencia del Buen Derecho: Existe la apariencia del buen derecho, ya que de un análisis preliminar y sin prejuzgar sobre el fondo del asunto, los argumentos expuestos en los conceptos de violación demuestran una alta probabilidad de inconstitucionalidad</w:t>
      </w:r>
      <w:r w:rsidR="00426D90">
        <w:rPr>
          <w:rFonts w:asciiTheme="minorBidi" w:hAnsiTheme="minorBidi"/>
          <w:sz w:val="24"/>
          <w:szCs w:val="24"/>
          <w:lang w:val="es-MX"/>
        </w:rPr>
        <w:t xml:space="preserve"> y de </w:t>
      </w:r>
      <w:proofErr w:type="spellStart"/>
      <w:r w:rsidRPr="00320810">
        <w:rPr>
          <w:rFonts w:asciiTheme="minorBidi" w:hAnsiTheme="minorBidi"/>
          <w:sz w:val="24"/>
          <w:szCs w:val="24"/>
          <w:lang w:val="es-MX"/>
        </w:rPr>
        <w:t>inconvencionalidad</w:t>
      </w:r>
      <w:proofErr w:type="spellEnd"/>
      <w:r w:rsidRPr="00320810">
        <w:rPr>
          <w:rFonts w:asciiTheme="minorBidi" w:hAnsiTheme="minorBidi"/>
          <w:sz w:val="24"/>
          <w:szCs w:val="24"/>
          <w:lang w:val="es-MX"/>
        </w:rPr>
        <w:t xml:space="preserve"> de la</w:t>
      </w:r>
      <w:r w:rsidR="00426D90">
        <w:rPr>
          <w:rFonts w:asciiTheme="minorBidi" w:hAnsiTheme="minorBidi"/>
          <w:sz w:val="24"/>
          <w:szCs w:val="24"/>
          <w:lang w:val="es-MX"/>
        </w:rPr>
        <w:t>s</w:t>
      </w:r>
      <w:r w:rsidRPr="00320810">
        <w:rPr>
          <w:rFonts w:asciiTheme="minorBidi" w:hAnsiTheme="minorBidi"/>
          <w:sz w:val="24"/>
          <w:szCs w:val="24"/>
          <w:lang w:val="es-MX"/>
        </w:rPr>
        <w:t xml:space="preserve"> norma</w:t>
      </w:r>
      <w:r w:rsidR="00426D90">
        <w:rPr>
          <w:rFonts w:asciiTheme="minorBidi" w:hAnsiTheme="minorBidi"/>
          <w:sz w:val="24"/>
          <w:szCs w:val="24"/>
          <w:lang w:val="es-MX"/>
        </w:rPr>
        <w:t>s</w:t>
      </w:r>
      <w:r w:rsidRPr="00320810">
        <w:rPr>
          <w:rFonts w:asciiTheme="minorBidi" w:hAnsiTheme="minorBidi"/>
          <w:sz w:val="24"/>
          <w:szCs w:val="24"/>
          <w:lang w:val="es-MX"/>
        </w:rPr>
        <w:t xml:space="preserve"> general</w:t>
      </w:r>
      <w:r w:rsidR="00426D90">
        <w:rPr>
          <w:rFonts w:asciiTheme="minorBidi" w:hAnsiTheme="minorBidi"/>
          <w:sz w:val="24"/>
          <w:szCs w:val="24"/>
          <w:lang w:val="es-MX"/>
        </w:rPr>
        <w:t>es</w:t>
      </w:r>
      <w:r w:rsidRPr="00320810">
        <w:rPr>
          <w:rFonts w:asciiTheme="minorBidi" w:hAnsiTheme="minorBidi"/>
          <w:sz w:val="24"/>
          <w:szCs w:val="24"/>
          <w:lang w:val="es-MX"/>
        </w:rPr>
        <w:t xml:space="preserve"> reclamada</w:t>
      </w:r>
      <w:r w:rsidR="00426D90">
        <w:rPr>
          <w:rFonts w:asciiTheme="minorBidi" w:hAnsiTheme="minorBidi"/>
          <w:sz w:val="24"/>
          <w:szCs w:val="24"/>
          <w:lang w:val="es-MX"/>
        </w:rPr>
        <w:t>s</w:t>
      </w:r>
      <w:r w:rsidRPr="00320810">
        <w:rPr>
          <w:rFonts w:asciiTheme="minorBidi" w:hAnsiTheme="minorBidi"/>
          <w:sz w:val="24"/>
          <w:szCs w:val="24"/>
          <w:lang w:val="es-MX"/>
        </w:rPr>
        <w:t xml:space="preserve">, lo que se traduce en un perjuicio inminente e irreparable a la esfera jurídica del quejoso de no concederse la medida.   </w:t>
      </w:r>
    </w:p>
    <w:p w14:paraId="6AA94DD4" w14:textId="3AB2C016" w:rsidR="00357B9D" w:rsidRPr="00357B9D"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lastRenderedPageBreak/>
        <w:t xml:space="preserve">No Afectación del Interés Social ni Contravención al Orden Público: La concesión de la suspensión no causa perjuicio al interés social ni contraviene disposiciones de orden público, toda vez que </w:t>
      </w:r>
      <w:r w:rsidR="00357B9D">
        <w:rPr>
          <w:rFonts w:asciiTheme="minorBidi" w:hAnsiTheme="minorBidi"/>
          <w:sz w:val="24"/>
          <w:szCs w:val="24"/>
          <w:lang w:val="es-MX"/>
        </w:rPr>
        <w:t xml:space="preserve">tanto el </w:t>
      </w:r>
      <w:r w:rsidR="00357B9D" w:rsidRPr="00357B9D">
        <w:rPr>
          <w:rFonts w:asciiTheme="minorBidi" w:hAnsiTheme="minorBidi"/>
          <w:sz w:val="24"/>
          <w:szCs w:val="24"/>
          <w:lang w:val="es-MX"/>
        </w:rPr>
        <w:t>Artículo 189</w:t>
      </w:r>
      <w:r w:rsidR="00357B9D">
        <w:rPr>
          <w:rFonts w:asciiTheme="minorBidi" w:hAnsiTheme="minorBidi"/>
          <w:sz w:val="24"/>
          <w:szCs w:val="24"/>
          <w:lang w:val="es-MX"/>
        </w:rPr>
        <w:t>, l</w:t>
      </w:r>
      <w:r w:rsidR="00357B9D" w:rsidRPr="00357B9D">
        <w:rPr>
          <w:rFonts w:asciiTheme="minorBidi" w:hAnsiTheme="minorBidi"/>
          <w:sz w:val="24"/>
          <w:szCs w:val="24"/>
          <w:lang w:val="es-MX"/>
        </w:rPr>
        <w:t>a suspensión de la obligación de los concesionarios de telecomunicaciones de conservar masivamente los datos de comunicaciones de todos los usuarios no causa perjuicio al interés social ni contraviene el orden público. Por el contrario, la retención generalizada de datos, sin distinción ni sospecha individualizada, es precisamente lo que vulnera el interés social al afectar el derecho fundamental a la privacidad y a la protección de datos personales de toda la población.</w:t>
      </w:r>
      <w:r w:rsidR="00357B9D">
        <w:rPr>
          <w:rFonts w:asciiTheme="minorBidi" w:hAnsiTheme="minorBidi"/>
          <w:sz w:val="24"/>
          <w:szCs w:val="24"/>
          <w:lang w:val="es-MX"/>
        </w:rPr>
        <w:t xml:space="preserve"> </w:t>
      </w:r>
      <w:r w:rsidR="00357B9D" w:rsidRPr="00357B9D">
        <w:rPr>
          <w:rFonts w:asciiTheme="minorBidi" w:hAnsiTheme="minorBidi"/>
          <w:sz w:val="24"/>
          <w:szCs w:val="24"/>
          <w:lang w:val="es-MX"/>
        </w:rPr>
        <w:t>La suspensión no impide que las autoridades investiguen delitos. Las investigaciones deben realizarse bajo un marco constitucional que exige órdenes judiciales específicas para la intervención de comunicaciones o el acceso a datos, basadas en indicios razonables y con fines determinados. La retención masiva no es una herramienta indispensable para la seguridad, sino una medida desproporcionada que la Suprema Corte de Justicia de la Nación (SCJN) ya ha declarado inconstitucional en legislaciones anteriores.</w:t>
      </w:r>
      <w:r w:rsidR="00357B9D">
        <w:rPr>
          <w:rFonts w:asciiTheme="minorBidi" w:hAnsiTheme="minorBidi"/>
          <w:sz w:val="24"/>
          <w:szCs w:val="24"/>
          <w:lang w:val="es-MX"/>
        </w:rPr>
        <w:t xml:space="preserve"> </w:t>
      </w:r>
      <w:r w:rsidR="00357B9D" w:rsidRPr="00357B9D">
        <w:rPr>
          <w:rFonts w:asciiTheme="minorBidi" w:hAnsiTheme="minorBidi"/>
          <w:sz w:val="24"/>
          <w:szCs w:val="24"/>
          <w:lang w:val="es-MX"/>
        </w:rPr>
        <w:t>El verdadero interés social reside en la protección de los derechos humanos, la certeza jurídica y la prevención de la vigilancia indiscriminada. Conceder la suspensión fomenta un entorno digital donde los ciudadanos no se autocensuran por temor a que sus comunicaciones sean almacenadas y potencialmente utilizadas sin su consentimiento o una justificación legal sólida</w:t>
      </w:r>
      <w:r w:rsidR="00357B9D">
        <w:rPr>
          <w:rFonts w:asciiTheme="minorBidi" w:hAnsiTheme="minorBidi"/>
          <w:sz w:val="24"/>
          <w:szCs w:val="24"/>
          <w:lang w:val="es-MX"/>
        </w:rPr>
        <w:t xml:space="preserve">; en el caso del Artículo </w:t>
      </w:r>
      <w:r w:rsidR="00357B9D" w:rsidRPr="00357B9D">
        <w:rPr>
          <w:rFonts w:asciiTheme="minorBidi" w:hAnsiTheme="minorBidi"/>
          <w:sz w:val="24"/>
          <w:szCs w:val="24"/>
          <w:lang w:val="es-MX"/>
        </w:rPr>
        <w:t>190</w:t>
      </w:r>
      <w:r w:rsidR="00357B9D">
        <w:rPr>
          <w:rFonts w:asciiTheme="minorBidi" w:hAnsiTheme="minorBidi"/>
          <w:sz w:val="24"/>
          <w:szCs w:val="24"/>
          <w:lang w:val="es-MX"/>
        </w:rPr>
        <w:t>, l</w:t>
      </w:r>
      <w:r w:rsidR="00357B9D" w:rsidRPr="00357B9D">
        <w:rPr>
          <w:rFonts w:asciiTheme="minorBidi" w:hAnsiTheme="minorBidi"/>
          <w:sz w:val="24"/>
          <w:szCs w:val="24"/>
          <w:lang w:val="es-MX"/>
        </w:rPr>
        <w:t>a suspensión de la facultad de las autoridades para acceder a los datos retenidos sin una orden judicial previa no perjudica el interés social ni el orden público. Esta medida no obstaculiza la procuración de justicia, sino que la encauza por vías constitucionales y respetuosas de los derechos humanos.</w:t>
      </w:r>
      <w:r w:rsidR="00357B9D">
        <w:rPr>
          <w:rFonts w:asciiTheme="minorBidi" w:hAnsiTheme="minorBidi"/>
          <w:sz w:val="24"/>
          <w:szCs w:val="24"/>
          <w:lang w:val="es-MX"/>
        </w:rPr>
        <w:t xml:space="preserve"> </w:t>
      </w:r>
      <w:r w:rsidR="00357B9D" w:rsidRPr="00357B9D">
        <w:rPr>
          <w:rFonts w:asciiTheme="minorBidi" w:hAnsiTheme="minorBidi"/>
          <w:sz w:val="24"/>
          <w:szCs w:val="24"/>
          <w:lang w:val="es-MX"/>
        </w:rPr>
        <w:t>La suspensión asegura que cualquier acceso a datos privados de comunicaciones se realice bajo la supervisión de un juez, quien es el garante de los derechos fundamentales. Esto fortalece el debido proceso y la certeza jurídica, pilares del orden público. Permitir el acceso irrestricto, como lo hace el artículo, desequilibra el sistema de pesos y contrapesos y otorga poderes de vigilancia excesivos a las ramas ejecutiva o administrativa, lo cual sí contraviene el orden público democrático.</w:t>
      </w:r>
      <w:r w:rsidR="00357B9D">
        <w:rPr>
          <w:rFonts w:asciiTheme="minorBidi" w:hAnsiTheme="minorBidi"/>
          <w:sz w:val="24"/>
          <w:szCs w:val="24"/>
          <w:lang w:val="es-MX"/>
        </w:rPr>
        <w:t xml:space="preserve"> </w:t>
      </w:r>
      <w:r w:rsidR="00357B9D" w:rsidRPr="00357B9D">
        <w:rPr>
          <w:rFonts w:asciiTheme="minorBidi" w:hAnsiTheme="minorBidi"/>
          <w:sz w:val="24"/>
          <w:szCs w:val="24"/>
          <w:lang w:val="es-MX"/>
        </w:rPr>
        <w:t>La SCJN ha sido enfática en que el control judicial es indispensable para prevenir injerencias arbitrarias en la privacidad. La suspensión de este artículo evita que los ciudadanos sean sujetos de vigilancia sin justificación individualizada, lo cual es un beneficio para la colectividad y la confianza en las instituciones</w:t>
      </w:r>
      <w:r w:rsidR="00357B9D">
        <w:rPr>
          <w:rFonts w:asciiTheme="minorBidi" w:hAnsiTheme="minorBidi"/>
          <w:sz w:val="24"/>
          <w:szCs w:val="24"/>
          <w:lang w:val="es-MX"/>
        </w:rPr>
        <w:t xml:space="preserve">; En el caso del </w:t>
      </w:r>
      <w:r w:rsidR="00357B9D" w:rsidRPr="00357B9D">
        <w:rPr>
          <w:rFonts w:asciiTheme="minorBidi" w:hAnsiTheme="minorBidi"/>
          <w:sz w:val="24"/>
          <w:szCs w:val="24"/>
          <w:lang w:val="es-MX"/>
        </w:rPr>
        <w:t>Artículo 205</w:t>
      </w:r>
      <w:r w:rsidR="00357B9D">
        <w:rPr>
          <w:rFonts w:asciiTheme="minorBidi" w:hAnsiTheme="minorBidi"/>
          <w:sz w:val="24"/>
          <w:szCs w:val="24"/>
          <w:lang w:val="es-MX"/>
        </w:rPr>
        <w:t xml:space="preserve">, </w:t>
      </w:r>
      <w:r w:rsidR="00357B9D" w:rsidRPr="00357B9D">
        <w:rPr>
          <w:rFonts w:asciiTheme="minorBidi" w:hAnsiTheme="minorBidi"/>
          <w:sz w:val="24"/>
          <w:szCs w:val="24"/>
          <w:lang w:val="es-MX"/>
        </w:rPr>
        <w:t>La suspensión de la facultad de las autoridades para bloquear señales de telecomunicaciones sin una orden judicial no afecta el interés social ni el orden público. Por el contrario, protege la libertad de expresión y el derecho de acceso a la información, derechos esenciales para la vida democrática y la seguridad de la población.</w:t>
      </w:r>
      <w:r w:rsidR="00357B9D">
        <w:rPr>
          <w:rFonts w:asciiTheme="minorBidi" w:hAnsiTheme="minorBidi"/>
          <w:sz w:val="24"/>
          <w:szCs w:val="24"/>
          <w:lang w:val="es-MX"/>
        </w:rPr>
        <w:t xml:space="preserve"> </w:t>
      </w:r>
      <w:r w:rsidR="00357B9D" w:rsidRPr="00357B9D">
        <w:rPr>
          <w:rFonts w:asciiTheme="minorBidi" w:hAnsiTheme="minorBidi"/>
          <w:sz w:val="24"/>
          <w:szCs w:val="24"/>
          <w:lang w:val="es-MX"/>
        </w:rPr>
        <w:t>Previene la censura arbitraria: El concepto de "emergencia pública" es vago y susceptible de interpretaciones amplias que podrían llevar a la censura o al control arbitrario del discurso público. La suspensión garantiza que cualquier restricción a la comunicación, incluso en situaciones de crisis, sea revisada y autorizada por un juez, asegurando que sea estrictamente necesaria, idónea y proporcional.</w:t>
      </w:r>
      <w:r w:rsidR="00357B9D">
        <w:rPr>
          <w:rFonts w:asciiTheme="minorBidi" w:hAnsiTheme="minorBidi"/>
          <w:sz w:val="24"/>
          <w:szCs w:val="24"/>
          <w:lang w:val="es-MX"/>
        </w:rPr>
        <w:t xml:space="preserve"> </w:t>
      </w:r>
      <w:r w:rsidR="00357B9D" w:rsidRPr="00357B9D">
        <w:rPr>
          <w:rFonts w:asciiTheme="minorBidi" w:hAnsiTheme="minorBidi"/>
          <w:sz w:val="24"/>
          <w:szCs w:val="24"/>
          <w:lang w:val="es-MX"/>
        </w:rPr>
        <w:t xml:space="preserve">Mantiene el flujo de información vital: En situaciones de emergencia </w:t>
      </w:r>
      <w:r w:rsidR="00357B9D" w:rsidRPr="00357B9D">
        <w:rPr>
          <w:rFonts w:asciiTheme="minorBidi" w:hAnsiTheme="minorBidi"/>
          <w:sz w:val="24"/>
          <w:szCs w:val="24"/>
          <w:lang w:val="es-MX"/>
        </w:rPr>
        <w:lastRenderedPageBreak/>
        <w:t>real, el acceso a la información es crucial para la seguridad y el bienestar de la población. La suspensión no impide que el Estado actúe, sino que exige que lo haga con las garantías constitucionales, evitando que una medida tan drástica se use para silenciar voces o controlar la narrativa pública, lo cual sí sería perjudicial para el interés social</w:t>
      </w:r>
      <w:r w:rsidR="00357B9D">
        <w:rPr>
          <w:rFonts w:asciiTheme="minorBidi" w:hAnsiTheme="minorBidi"/>
          <w:sz w:val="24"/>
          <w:szCs w:val="24"/>
          <w:lang w:val="es-MX"/>
        </w:rPr>
        <w:t xml:space="preserve"> y finalmente, en el </w:t>
      </w:r>
      <w:r w:rsidR="00357B9D" w:rsidRPr="00357B9D">
        <w:rPr>
          <w:rFonts w:asciiTheme="minorBidi" w:hAnsiTheme="minorBidi"/>
          <w:sz w:val="24"/>
          <w:szCs w:val="24"/>
          <w:lang w:val="es-MX"/>
        </w:rPr>
        <w:t>Artículo 206</w:t>
      </w:r>
      <w:r w:rsidR="00357B9D">
        <w:rPr>
          <w:rFonts w:asciiTheme="minorBidi" w:hAnsiTheme="minorBidi"/>
          <w:sz w:val="24"/>
          <w:szCs w:val="24"/>
          <w:lang w:val="es-MX"/>
        </w:rPr>
        <w:t xml:space="preserve"> en relación con el</w:t>
      </w:r>
      <w:r w:rsidR="00357B9D" w:rsidRPr="00357B9D">
        <w:rPr>
          <w:rFonts w:asciiTheme="minorBidi" w:hAnsiTheme="minorBidi"/>
          <w:sz w:val="24"/>
          <w:szCs w:val="24"/>
          <w:lang w:val="es-MX"/>
        </w:rPr>
        <w:t xml:space="preserve"> Acceso a Datos de Geolocalización por Autoridades</w:t>
      </w:r>
      <w:r w:rsidR="00357B9D">
        <w:rPr>
          <w:rFonts w:asciiTheme="minorBidi" w:hAnsiTheme="minorBidi"/>
          <w:sz w:val="24"/>
          <w:szCs w:val="24"/>
          <w:lang w:val="es-MX"/>
        </w:rPr>
        <w:t xml:space="preserve">: </w:t>
      </w:r>
      <w:r w:rsidR="00357B9D" w:rsidRPr="00357B9D">
        <w:rPr>
          <w:rFonts w:asciiTheme="minorBidi" w:hAnsiTheme="minorBidi"/>
          <w:sz w:val="24"/>
          <w:szCs w:val="24"/>
          <w:lang w:val="es-MX"/>
        </w:rPr>
        <w:t>La suspensión de la facultad de las autoridades para acceder a datos de geolocalización en tiempo real sin una orden judicial no causa perjuicio al interés social ni contraviene el orden público. Esta medida protege la privacidad más íntima de los individuos y previene la vigilancia masiva.</w:t>
      </w:r>
      <w:r w:rsidR="00357B9D">
        <w:rPr>
          <w:rFonts w:asciiTheme="minorBidi" w:hAnsiTheme="minorBidi"/>
          <w:sz w:val="24"/>
          <w:szCs w:val="24"/>
          <w:lang w:val="es-MX"/>
        </w:rPr>
        <w:t xml:space="preserve"> </w:t>
      </w:r>
      <w:r w:rsidR="00357B9D" w:rsidRPr="00357B9D">
        <w:rPr>
          <w:rFonts w:asciiTheme="minorBidi" w:hAnsiTheme="minorBidi"/>
          <w:sz w:val="24"/>
          <w:szCs w:val="24"/>
          <w:lang w:val="es-MX"/>
        </w:rPr>
        <w:t>Salvaguarda la privacidad y el anonimato: El acceso a la geolocalización en tiempo real permite trazar un perfil detallado de la vida de una persona, incluyendo sus movimientos, asociaciones e intereses. La suspensión de esta facultad sin control judicial es una salvaguarda esencial para el derecho a la privacidad y al anonimato en espacios públicos, así como para la libertad de asociación.</w:t>
      </w:r>
      <w:r w:rsidR="00357B9D">
        <w:rPr>
          <w:rFonts w:asciiTheme="minorBidi" w:hAnsiTheme="minorBidi"/>
          <w:sz w:val="24"/>
          <w:szCs w:val="24"/>
          <w:lang w:val="es-MX"/>
        </w:rPr>
        <w:t xml:space="preserve"> </w:t>
      </w:r>
      <w:r w:rsidR="00357B9D" w:rsidRPr="00357B9D">
        <w:rPr>
          <w:rFonts w:asciiTheme="minorBidi" w:hAnsiTheme="minorBidi"/>
          <w:sz w:val="24"/>
          <w:szCs w:val="24"/>
          <w:lang w:val="es-MX"/>
        </w:rPr>
        <w:t>Evita el "panóptico digital": Permitir el acceso irrestricto a la geolocalización sin orden judicial crea un riesgo de "panóptico digital", donde los ciudadanos están bajo vigilancia constante, lo cual es incompatible con un Estado democrático de derecho y, por ende, contrario al orden público. La suspensión asegura que esta medida altamente intrusiva solo se aplique bajo estricta autorización judicial, garantizando que la búsqueda de seguridad no se traduzca en una vigilancia arbitraria de la población.</w:t>
      </w:r>
    </w:p>
    <w:p w14:paraId="79C2F4ED" w14:textId="4D85D139" w:rsid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En conclusión, la concesión de la suspensión para estos artículos no se encuadra en los supuestos del artículo 129 de la Ley de Amparo que impiden su otorgamiento. Lejos de afectar el interés social o el orden público, la suspensión de estas disposiciones inconstitucionales es una medida necesaria para proteger los derechos fundamentales de los ciudadanos, fortalecer el Estado de derecho y asegurar que las acciones del Estado se realicen dentro de los límites constitucionales y convencionales. La protección de la privacidad, la libertad de expresión y el debido proceso son, en sí mismos, elementos constitutivos del interés social y del orden público.</w:t>
      </w:r>
    </w:p>
    <w:p w14:paraId="52DE317C" w14:textId="4F552BE3" w:rsidR="00357B9D" w:rsidRPr="00357B9D"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 xml:space="preserve">Peligro de Daño Irreparable: De no concederse la suspensión, se causarían al quejoso daños de imposible reparación, consistentes en </w:t>
      </w:r>
      <w:r w:rsidR="00357B9D" w:rsidRPr="00357B9D">
        <w:rPr>
          <w:rFonts w:asciiTheme="minorBidi" w:hAnsiTheme="minorBidi"/>
          <w:sz w:val="24"/>
          <w:szCs w:val="24"/>
          <w:lang w:val="es-MX"/>
        </w:rPr>
        <w:t>la continuación de la violación de sus derechos fundamentales, cuya naturaleza intrínseca impide una reparación posterior efectiva. Estos daños se detallan para cada artículo impugnado:</w:t>
      </w:r>
    </w:p>
    <w:p w14:paraId="48AC2F5A" w14:textId="1181877F" w:rsidR="00357B9D" w:rsidRP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1. Artículo 189: Obligaciones de Conservación de Datos</w:t>
      </w:r>
    </w:p>
    <w:p w14:paraId="469CC63F" w14:textId="77777777" w:rsid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De no concederse la suspensión, el quejoso sufriría un daño irreparable consistente en la violación continua y masiva de su derecho a la privacidad y a la protección de datos personales. La mera existencia de la obligación de retener sus metadatos, registros de llamadas y datos de tráfico de internet, sin distinción ni sospecha individualizada, constituye una injerencia inmediata y directa en su esfera privada. </w:t>
      </w:r>
    </w:p>
    <w:p w14:paraId="1999C97F" w14:textId="77777777" w:rsid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Este daño es irreparable porque:   </w:t>
      </w:r>
    </w:p>
    <w:p w14:paraId="1480F2CA" w14:textId="77777777" w:rsidR="00357B9D" w:rsidRDefault="00357B9D" w:rsidP="00ED6C2D">
      <w:pPr>
        <w:pStyle w:val="Prrafodelista"/>
        <w:numPr>
          <w:ilvl w:val="0"/>
          <w:numId w:val="1"/>
        </w:numPr>
        <w:spacing w:line="360" w:lineRule="auto"/>
        <w:jc w:val="both"/>
        <w:rPr>
          <w:rFonts w:asciiTheme="minorBidi" w:hAnsiTheme="minorBidi"/>
          <w:sz w:val="24"/>
          <w:szCs w:val="24"/>
          <w:lang w:val="es-MX"/>
        </w:rPr>
      </w:pPr>
      <w:r w:rsidRPr="00357B9D">
        <w:rPr>
          <w:rFonts w:asciiTheme="minorBidi" w:hAnsiTheme="minorBidi"/>
          <w:sz w:val="24"/>
          <w:szCs w:val="24"/>
          <w:lang w:val="es-MX"/>
        </w:rPr>
        <w:lastRenderedPageBreak/>
        <w:t xml:space="preserve">Pérdida de Control sobre la Información Personal: Una vez que los datos son retenidos de forma indiscriminada, el quejoso pierde el control sobre su información más íntima, incluyendo patrones de comunicación, hábitos y asociaciones. Este control es un aspecto esencial del derecho a la protección de datos, y su pérdida no puede ser revertida o compensada monetariamente una vez que la información ha sido almacenada y potencialmente procesada.   </w:t>
      </w:r>
    </w:p>
    <w:p w14:paraId="393DEE19" w14:textId="77777777" w:rsidR="00357B9D" w:rsidRDefault="00357B9D" w:rsidP="00ED6C2D">
      <w:pPr>
        <w:pStyle w:val="Prrafodelista"/>
        <w:numPr>
          <w:ilvl w:val="0"/>
          <w:numId w:val="1"/>
        </w:numPr>
        <w:spacing w:line="360" w:lineRule="auto"/>
        <w:jc w:val="both"/>
        <w:rPr>
          <w:rFonts w:asciiTheme="minorBidi" w:hAnsiTheme="minorBidi"/>
          <w:sz w:val="24"/>
          <w:szCs w:val="24"/>
          <w:lang w:val="es-MX"/>
        </w:rPr>
      </w:pPr>
      <w:r w:rsidRPr="00357B9D">
        <w:rPr>
          <w:rFonts w:asciiTheme="minorBidi" w:hAnsiTheme="minorBidi"/>
          <w:sz w:val="24"/>
          <w:szCs w:val="24"/>
          <w:lang w:val="es-MX"/>
        </w:rPr>
        <w:t>"Efecto Paralizador" (</w:t>
      </w:r>
      <w:proofErr w:type="spellStart"/>
      <w:r w:rsidRPr="00357B9D">
        <w:rPr>
          <w:rFonts w:asciiTheme="minorBidi" w:hAnsiTheme="minorBidi"/>
          <w:sz w:val="24"/>
          <w:szCs w:val="24"/>
          <w:lang w:val="es-MX"/>
        </w:rPr>
        <w:t>Chilling</w:t>
      </w:r>
      <w:proofErr w:type="spellEnd"/>
      <w:r w:rsidRPr="00357B9D">
        <w:rPr>
          <w:rFonts w:asciiTheme="minorBidi" w:hAnsiTheme="minorBidi"/>
          <w:sz w:val="24"/>
          <w:szCs w:val="24"/>
          <w:lang w:val="es-MX"/>
        </w:rPr>
        <w:t xml:space="preserve"> </w:t>
      </w:r>
      <w:proofErr w:type="spellStart"/>
      <w:r w:rsidRPr="00357B9D">
        <w:rPr>
          <w:rFonts w:asciiTheme="minorBidi" w:hAnsiTheme="minorBidi"/>
          <w:sz w:val="24"/>
          <w:szCs w:val="24"/>
          <w:lang w:val="es-MX"/>
        </w:rPr>
        <w:t>Effect</w:t>
      </w:r>
      <w:proofErr w:type="spellEnd"/>
      <w:r w:rsidRPr="00357B9D">
        <w:rPr>
          <w:rFonts w:asciiTheme="minorBidi" w:hAnsiTheme="minorBidi"/>
          <w:sz w:val="24"/>
          <w:szCs w:val="24"/>
          <w:lang w:val="es-MX"/>
        </w:rPr>
        <w:t xml:space="preserve">): El conocimiento de que sus comunicaciones están siendo sistemáticamente registradas genera un "efecto paralizador" sobre la libertad de expresión y asociación del quejoso. Esta autocensura y restricción de la libertad no son reparables, ya que la expresión no manifestada o la asociación evitada no pueden ser recuperadas en el futuro.   </w:t>
      </w:r>
    </w:p>
    <w:p w14:paraId="7C2040F4" w14:textId="6E9889A8" w:rsidR="00357B9D" w:rsidRPr="00357B9D" w:rsidRDefault="00357B9D" w:rsidP="00ED6C2D">
      <w:pPr>
        <w:pStyle w:val="Prrafodelista"/>
        <w:numPr>
          <w:ilvl w:val="0"/>
          <w:numId w:val="1"/>
        </w:num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Menoscabo de la Certeza Jurídica: La incertidumbre sobre el uso y la seguridad de sus datos personales, al estar sujetos a una retención generalizada sin límites claros ni supervisión judicial, menoscaba la certeza jurídica del quejoso de manera continua.   </w:t>
      </w:r>
    </w:p>
    <w:p w14:paraId="5DDE4C3E" w14:textId="6CE5D3A9" w:rsidR="00357B9D" w:rsidRP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2. Artículo 190: Acceso a Datos Retenidos por Autoridades</w:t>
      </w:r>
    </w:p>
    <w:p w14:paraId="40074DCE" w14:textId="77777777" w:rsid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Si no se concede la suspensión, el quejoso enfrentaría un daño irreparable por el acceso arbitrario e incontrolado de las autoridades a sus datos personales sensibles sin orden judicial. Este acceso directo y sin filtro judicial a la información retenida bajo el Artículo 189 representa una intromisión grave y continua en su privacidad y debido proceso. </w:t>
      </w:r>
    </w:p>
    <w:p w14:paraId="452E52E6" w14:textId="40C4268A" w:rsidR="00357B9D" w:rsidRP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El daño es irreparable porque:   </w:t>
      </w:r>
    </w:p>
    <w:p w14:paraId="27F699B4" w14:textId="77777777" w:rsidR="00357B9D" w:rsidRDefault="00357B9D" w:rsidP="00ED6C2D">
      <w:pPr>
        <w:pStyle w:val="Prrafodelista"/>
        <w:numPr>
          <w:ilvl w:val="0"/>
          <w:numId w:val="2"/>
        </w:numPr>
        <w:spacing w:line="360" w:lineRule="auto"/>
        <w:jc w:val="both"/>
        <w:rPr>
          <w:rFonts w:asciiTheme="minorBidi" w:hAnsiTheme="minorBidi"/>
          <w:sz w:val="24"/>
          <w:szCs w:val="24"/>
          <w:lang w:val="es-MX"/>
        </w:rPr>
      </w:pPr>
      <w:r w:rsidRPr="00357B9D">
        <w:rPr>
          <w:rFonts w:asciiTheme="minorBidi" w:hAnsiTheme="minorBidi"/>
          <w:sz w:val="24"/>
          <w:szCs w:val="24"/>
          <w:lang w:val="es-MX"/>
        </w:rPr>
        <w:t>Exposición Irreversible de Información Sensible: Una vez que las autoridades acceden a los metadatos de comunicaciones del quejoso sin una orden judicial, se expone información altamente sensible sobre su vida privada, sus contactos, sus intereses y sus patrones de comportamiento. Esta exposición es irreversible; la información revelada no puede "</w:t>
      </w:r>
      <w:proofErr w:type="spellStart"/>
      <w:r w:rsidRPr="00357B9D">
        <w:rPr>
          <w:rFonts w:asciiTheme="minorBidi" w:hAnsiTheme="minorBidi"/>
          <w:sz w:val="24"/>
          <w:szCs w:val="24"/>
          <w:lang w:val="es-MX"/>
        </w:rPr>
        <w:t>des-revelarse</w:t>
      </w:r>
      <w:proofErr w:type="spellEnd"/>
      <w:r w:rsidRPr="00357B9D">
        <w:rPr>
          <w:rFonts w:asciiTheme="minorBidi" w:hAnsiTheme="minorBidi"/>
          <w:sz w:val="24"/>
          <w:szCs w:val="24"/>
          <w:lang w:val="es-MX"/>
        </w:rPr>
        <w:t xml:space="preserve">" ni el impacto en la privacidad puede ser completamente mitigado.   </w:t>
      </w:r>
    </w:p>
    <w:p w14:paraId="24FE4519" w14:textId="77777777" w:rsidR="00357B9D" w:rsidRDefault="00357B9D" w:rsidP="00ED6C2D">
      <w:pPr>
        <w:pStyle w:val="Prrafodelista"/>
        <w:numPr>
          <w:ilvl w:val="0"/>
          <w:numId w:val="2"/>
        </w:num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Vulneración del Debido Proceso: La omisión del control judicial previo para el acceso a estos datos vulnera una garantía fundamental del debido proceso. La protección que ofrece una orden judicial, que evalúa la necesidad y proporcionalidad de la intromisión, es una salvaguarda que, una vez eludida, no puede ser restituida retroactivamente.   </w:t>
      </w:r>
    </w:p>
    <w:p w14:paraId="30B798EF" w14:textId="48BD65FC" w:rsidR="00357B9D" w:rsidRPr="00357B9D" w:rsidRDefault="00357B9D" w:rsidP="00ED6C2D">
      <w:pPr>
        <w:pStyle w:val="Prrafodelista"/>
        <w:numPr>
          <w:ilvl w:val="0"/>
          <w:numId w:val="2"/>
        </w:num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Erosión de la Confianza en el Estado de Derecho: La posibilidad de que el Estado acceda a datos privados sin supervisión judicial erosiona la confianza del quejoso en el sistema de justicia y en el respeto a sus derechos fundamentales, un daño intangible pero profundo para la relación ciudadano-Estado.   </w:t>
      </w:r>
    </w:p>
    <w:p w14:paraId="0E72D45B" w14:textId="77777777" w:rsidR="00357B9D" w:rsidRPr="00357B9D" w:rsidRDefault="00357B9D" w:rsidP="00ED6C2D">
      <w:pPr>
        <w:spacing w:line="360" w:lineRule="auto"/>
        <w:jc w:val="both"/>
        <w:rPr>
          <w:rFonts w:asciiTheme="minorBidi" w:hAnsiTheme="minorBidi"/>
          <w:sz w:val="24"/>
          <w:szCs w:val="24"/>
          <w:lang w:val="es-MX"/>
        </w:rPr>
      </w:pPr>
    </w:p>
    <w:p w14:paraId="27AD053C" w14:textId="49AD8DAC" w:rsidR="00357B9D" w:rsidRP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lastRenderedPageBreak/>
        <w:t>3. Artículo 205: Bloqueo de Señales en Emergencias Públicas</w:t>
      </w:r>
    </w:p>
    <w:p w14:paraId="3573D0C4" w14:textId="77777777" w:rsid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De no otorgarse la suspensión, el quejoso sufriría un daño irreparable en su libertad de expresión y derecho de acceso a la información debido a la facultad de las autoridades de bloquear señales de telecomunicaciones sin orden judicial. </w:t>
      </w:r>
    </w:p>
    <w:p w14:paraId="4D911202" w14:textId="63044264" w:rsidR="00357B9D" w:rsidRP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Este daño es irreparable porque:   </w:t>
      </w:r>
    </w:p>
    <w:p w14:paraId="53E84809" w14:textId="77777777" w:rsidR="00357B9D" w:rsidRDefault="00357B9D" w:rsidP="00ED6C2D">
      <w:pPr>
        <w:pStyle w:val="Prrafodelista"/>
        <w:numPr>
          <w:ilvl w:val="0"/>
          <w:numId w:val="3"/>
        </w:num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Restricción Inmediata e Irrecuperable de la Comunicación: Si se bloquean las señales, el quejoso pierde la capacidad de impartir y recibir información en tiempo real, lo cual es crucial en cualquier momento, y más aún en situaciones de "emergencia pública". La información no recibida o no difundida en el momento oportuno no puede ser recuperada, y el impacto de no poder comunicarse o informarse en un momento crítico es irreversible.   </w:t>
      </w:r>
    </w:p>
    <w:p w14:paraId="2264E92E" w14:textId="77777777" w:rsidR="00357B9D" w:rsidRDefault="00357B9D" w:rsidP="00ED6C2D">
      <w:pPr>
        <w:pStyle w:val="Prrafodelista"/>
        <w:numPr>
          <w:ilvl w:val="0"/>
          <w:numId w:val="3"/>
        </w:num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Potencial de Censura y Control del Discurso: La vaguedad del término "emergencia pública" y la ausencia de control judicial abren la puerta a la censura arbitraria y al control del discurso público. La libertad de expresión es un derecho que, una vez coartado, deja una huella irreparable en la capacidad del individuo para participar plenamente en la vida democrática.   </w:t>
      </w:r>
    </w:p>
    <w:p w14:paraId="328A3864" w14:textId="1AD4239F" w:rsidR="00357B9D" w:rsidRPr="00357B9D" w:rsidRDefault="00357B9D" w:rsidP="00ED6C2D">
      <w:pPr>
        <w:pStyle w:val="Prrafodelista"/>
        <w:numPr>
          <w:ilvl w:val="0"/>
          <w:numId w:val="3"/>
        </w:num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Afectación a la Participación Ciudadana: La imposibilidad de acceder a información o de expresarse libremente en momentos clave afecta la capacidad del quejoso para participar de manera informada en el debate público y en la toma de decisiones que le conciernen, un daño que trasciende lo individual y afecta la calidad de la democracia.   </w:t>
      </w:r>
    </w:p>
    <w:p w14:paraId="16F1C362" w14:textId="576749BD" w:rsidR="00357B9D" w:rsidRP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4. Artículo 206: Acceso a Datos de Geolocalización por Autoridades</w:t>
      </w:r>
    </w:p>
    <w:p w14:paraId="6E92F1F2" w14:textId="77777777" w:rsid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La no concesión de la suspensión causaría al quejoso un daño de imposible reparación consistente en la vigilancia constante y arbitraria de su ubicación en tiempo real sin orden judicial. </w:t>
      </w:r>
    </w:p>
    <w:p w14:paraId="53E1482A" w14:textId="3084B7FB" w:rsidR="00357B9D" w:rsidRPr="00357B9D"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Este es un daño irreparable porque:   </w:t>
      </w:r>
    </w:p>
    <w:p w14:paraId="1E56FF4E" w14:textId="77777777" w:rsidR="00357B9D" w:rsidRDefault="00357B9D" w:rsidP="00ED6C2D">
      <w:pPr>
        <w:pStyle w:val="Prrafodelista"/>
        <w:numPr>
          <w:ilvl w:val="0"/>
          <w:numId w:val="4"/>
        </w:num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Intromisión Profunda e Irreversible en la Vida Privada: El acceso a la geolocalización en tiempo real permite trazar un perfil detallado de los movimientos, asociaciones y hábitos de vida del quejoso. Esta intrusión es de tal magnitud que, una vez que la información ha sido recopilada y analizada, el daño a la privacidad es irreversible; la sensación de ser constantemente monitoreado no puede ser eliminada.   </w:t>
      </w:r>
    </w:p>
    <w:p w14:paraId="4DEC032A" w14:textId="77777777" w:rsidR="00357B9D" w:rsidRDefault="00357B9D" w:rsidP="00ED6C2D">
      <w:pPr>
        <w:pStyle w:val="Prrafodelista"/>
        <w:numPr>
          <w:ilvl w:val="0"/>
          <w:numId w:val="4"/>
        </w:numPr>
        <w:spacing w:line="360" w:lineRule="auto"/>
        <w:jc w:val="both"/>
        <w:rPr>
          <w:rFonts w:asciiTheme="minorBidi" w:hAnsiTheme="minorBidi"/>
          <w:sz w:val="24"/>
          <w:szCs w:val="24"/>
          <w:lang w:val="es-MX"/>
        </w:rPr>
      </w:pPr>
      <w:r w:rsidRPr="00357B9D">
        <w:rPr>
          <w:rFonts w:asciiTheme="minorBidi" w:hAnsiTheme="minorBidi"/>
          <w:sz w:val="24"/>
          <w:szCs w:val="24"/>
          <w:lang w:val="es-MX"/>
        </w:rPr>
        <w:t xml:space="preserve">Pérdida del Derecho al Anonimato y la Libertad de Asociación: La capacidad del Estado de rastrear los movimientos del quejoso sin supervisión judicial afecta su derecho al anonimato en espacios públicos y su libertad de asociación. El temor a ser vigilado puede disuadir al quejoso de participar en ciertas actividades o de asociarse con determinados grupos, lo cual es una restricción a su libertad que no puede ser compensada.   </w:t>
      </w:r>
    </w:p>
    <w:p w14:paraId="5BA3113C" w14:textId="39DF7DDB" w:rsidR="00357B9D" w:rsidRPr="00357B9D" w:rsidRDefault="00357B9D" w:rsidP="00ED6C2D">
      <w:pPr>
        <w:pStyle w:val="Prrafodelista"/>
        <w:numPr>
          <w:ilvl w:val="0"/>
          <w:numId w:val="4"/>
        </w:numPr>
        <w:spacing w:line="360" w:lineRule="auto"/>
        <w:jc w:val="both"/>
        <w:rPr>
          <w:rFonts w:asciiTheme="minorBidi" w:hAnsiTheme="minorBidi"/>
          <w:sz w:val="24"/>
          <w:szCs w:val="24"/>
          <w:lang w:val="es-MX"/>
        </w:rPr>
      </w:pPr>
      <w:r w:rsidRPr="00357B9D">
        <w:rPr>
          <w:rFonts w:asciiTheme="minorBidi" w:hAnsiTheme="minorBidi"/>
          <w:sz w:val="24"/>
          <w:szCs w:val="24"/>
          <w:lang w:val="es-MX"/>
        </w:rPr>
        <w:lastRenderedPageBreak/>
        <w:t xml:space="preserve">Creación de un "Panóptico Digital": La existencia de esta facultad sin control judicial crea un "panóptico digital" donde el quejoso se siente bajo vigilancia constante, alterando fundamentalmente su relación con el Estado y su percepción de seguridad y libertad. Este estado de vigilancia es un daño continuo e inmaterial que no puede ser reparado una vez que se ha permitido su operación.   </w:t>
      </w:r>
    </w:p>
    <w:p w14:paraId="01562792" w14:textId="1587610D" w:rsidR="00320810" w:rsidRPr="00320810" w:rsidRDefault="00357B9D" w:rsidP="00ED6C2D">
      <w:pPr>
        <w:spacing w:line="360" w:lineRule="auto"/>
        <w:jc w:val="both"/>
        <w:rPr>
          <w:rFonts w:asciiTheme="minorBidi" w:hAnsiTheme="minorBidi"/>
          <w:sz w:val="24"/>
          <w:szCs w:val="24"/>
          <w:lang w:val="es-MX"/>
        </w:rPr>
      </w:pPr>
      <w:r w:rsidRPr="00357B9D">
        <w:rPr>
          <w:rFonts w:asciiTheme="minorBidi" w:hAnsiTheme="minorBidi"/>
          <w:sz w:val="24"/>
          <w:szCs w:val="24"/>
          <w:lang w:val="es-MX"/>
        </w:rPr>
        <w:t>En todos estos casos, los daños descritos no son meramente económicos o fácilmente cuantificables; son afectaciones directas a derechos fundamentales que, por su propia naturaleza, una vez violados, no pueden ser restituidos a su estado original. La suspensión es la única vía para prevenir la consumación de estos perjuicios irreparables.</w:t>
      </w:r>
    </w:p>
    <w:p w14:paraId="55F8E094" w14:textId="341A0E5A"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B. Solicitud de Suspensión Definitiva:</w:t>
      </w:r>
    </w:p>
    <w:p w14:paraId="088CCD07" w14:textId="66A563B1"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Una vez que las autoridades responsables rindan sus informes previos, se solicita se conceda la suspensión definitiva del acto reclamado, reiterando y, en su caso, ampliando los argumentos vertidos para la suspensión provisional.</w:t>
      </w:r>
    </w:p>
    <w:p w14:paraId="39017867" w14:textId="53F93E0C" w:rsidR="00320810" w:rsidRPr="002A563E" w:rsidRDefault="002A563E" w:rsidP="00ED6C2D">
      <w:pPr>
        <w:spacing w:line="360" w:lineRule="auto"/>
        <w:jc w:val="both"/>
        <w:rPr>
          <w:rFonts w:asciiTheme="minorBidi" w:hAnsiTheme="minorBidi"/>
          <w:b/>
          <w:bCs/>
          <w:sz w:val="24"/>
          <w:szCs w:val="24"/>
          <w:lang w:val="es-MX"/>
        </w:rPr>
      </w:pPr>
      <w:r w:rsidRPr="002A563E">
        <w:rPr>
          <w:rFonts w:asciiTheme="minorBidi" w:hAnsiTheme="minorBidi"/>
          <w:b/>
          <w:bCs/>
          <w:sz w:val="24"/>
          <w:szCs w:val="24"/>
          <w:lang w:val="es-MX"/>
        </w:rPr>
        <w:t>VII</w:t>
      </w:r>
      <w:r w:rsidR="00320810" w:rsidRPr="002A563E">
        <w:rPr>
          <w:rFonts w:asciiTheme="minorBidi" w:hAnsiTheme="minorBidi"/>
          <w:b/>
          <w:bCs/>
          <w:sz w:val="24"/>
          <w:szCs w:val="24"/>
          <w:lang w:val="es-MX"/>
        </w:rPr>
        <w:t>. PRUEBAS</w:t>
      </w:r>
    </w:p>
    <w:p w14:paraId="043AD1F3" w14:textId="079ACD23"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Con fundamento en los artículos 119 y demás relativos de la Ley de Amparo, se ofrecen como pruebas las siguientes:</w:t>
      </w:r>
    </w:p>
    <w:p w14:paraId="73B360D1" w14:textId="58BC7F6C"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A. DOCUMENTAL PÚBLICA:</w:t>
      </w:r>
    </w:p>
    <w:p w14:paraId="732DB7D2" w14:textId="5662DCA5" w:rsidR="00320810" w:rsidRPr="00320810" w:rsidRDefault="00320810" w:rsidP="00ED6C2D">
      <w:pPr>
        <w:spacing w:line="360" w:lineRule="auto"/>
        <w:jc w:val="both"/>
        <w:rPr>
          <w:rFonts w:asciiTheme="minorBidi" w:hAnsiTheme="minorBidi"/>
          <w:sz w:val="24"/>
          <w:szCs w:val="24"/>
          <w:lang w:val="es-MX"/>
        </w:rPr>
      </w:pPr>
      <w:r w:rsidRPr="00ED6C2D">
        <w:rPr>
          <w:rFonts w:asciiTheme="minorBidi" w:hAnsiTheme="minorBidi"/>
          <w:sz w:val="24"/>
          <w:szCs w:val="24"/>
          <w:highlight w:val="yellow"/>
          <w:lang w:val="es-MX"/>
        </w:rPr>
        <w:t>Consistente en la copia certificada (o impresión del Diario Oficial de la Federación de la ****, publicada el [Fecha de Publicación]. Esta prueba se relaciona con los hechos [Número(s) de Hecho(s)] y los conceptos de violación [Número(s) de Concepto(s) de Violación], y tiene por objeto acreditar la existencia, validez formal y contenido de la norma reclamada.</w:t>
      </w:r>
    </w:p>
    <w:p w14:paraId="34888944" w14:textId="3554210C" w:rsidR="00320810" w:rsidRPr="00320810" w:rsidRDefault="00ED6C2D" w:rsidP="00ED6C2D">
      <w:pPr>
        <w:spacing w:line="360" w:lineRule="auto"/>
        <w:jc w:val="both"/>
        <w:rPr>
          <w:rFonts w:asciiTheme="minorBidi" w:hAnsiTheme="minorBidi"/>
          <w:sz w:val="24"/>
          <w:szCs w:val="24"/>
          <w:lang w:val="es-MX"/>
        </w:rPr>
      </w:pPr>
      <w:r>
        <w:rPr>
          <w:rFonts w:asciiTheme="minorBidi" w:hAnsiTheme="minorBidi"/>
          <w:sz w:val="24"/>
          <w:szCs w:val="24"/>
          <w:lang w:val="es-MX"/>
        </w:rPr>
        <w:t>B</w:t>
      </w:r>
      <w:r w:rsidR="00320810" w:rsidRPr="00320810">
        <w:rPr>
          <w:rFonts w:asciiTheme="minorBidi" w:hAnsiTheme="minorBidi"/>
          <w:sz w:val="24"/>
          <w:szCs w:val="24"/>
          <w:lang w:val="es-MX"/>
        </w:rPr>
        <w:t>. PRESUNCIONAL LEGAL Y HUMANA:</w:t>
      </w:r>
    </w:p>
    <w:p w14:paraId="20CADF61" w14:textId="758BAE54"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En todo lo que favorezca a los intereses del quejoso, consistente en las deducciones que la ley y el juzgador realicen de los hechos probados y de las circunstancias del caso.</w:t>
      </w:r>
    </w:p>
    <w:p w14:paraId="66BB9752" w14:textId="35421B0A" w:rsidR="00320810" w:rsidRPr="00320810" w:rsidRDefault="00ED6C2D" w:rsidP="00ED6C2D">
      <w:pPr>
        <w:spacing w:line="360" w:lineRule="auto"/>
        <w:jc w:val="both"/>
        <w:rPr>
          <w:rFonts w:asciiTheme="minorBidi" w:hAnsiTheme="minorBidi"/>
          <w:sz w:val="24"/>
          <w:szCs w:val="24"/>
          <w:lang w:val="es-MX"/>
        </w:rPr>
      </w:pPr>
      <w:r>
        <w:rPr>
          <w:rFonts w:asciiTheme="minorBidi" w:hAnsiTheme="minorBidi"/>
          <w:sz w:val="24"/>
          <w:szCs w:val="24"/>
          <w:lang w:val="es-MX"/>
        </w:rPr>
        <w:t>C</w:t>
      </w:r>
      <w:r w:rsidR="00320810" w:rsidRPr="00320810">
        <w:rPr>
          <w:rFonts w:asciiTheme="minorBidi" w:hAnsiTheme="minorBidi"/>
          <w:sz w:val="24"/>
          <w:szCs w:val="24"/>
          <w:lang w:val="es-MX"/>
        </w:rPr>
        <w:t>. INSTRUMENTAL DE ACTUACIONES:</w:t>
      </w:r>
    </w:p>
    <w:p w14:paraId="03FA4197" w14:textId="79A8F9BB" w:rsidR="00320810" w:rsidRPr="00320810" w:rsidRDefault="00320810" w:rsidP="00ED6C2D">
      <w:pPr>
        <w:spacing w:line="360" w:lineRule="auto"/>
        <w:jc w:val="both"/>
        <w:rPr>
          <w:rFonts w:asciiTheme="minorBidi" w:hAnsiTheme="minorBidi"/>
          <w:sz w:val="24"/>
          <w:szCs w:val="24"/>
          <w:lang w:val="es-MX"/>
        </w:rPr>
      </w:pPr>
      <w:r w:rsidRPr="00320810">
        <w:rPr>
          <w:rFonts w:asciiTheme="minorBidi" w:hAnsiTheme="minorBidi"/>
          <w:sz w:val="24"/>
          <w:szCs w:val="24"/>
          <w:lang w:val="es-MX"/>
        </w:rPr>
        <w:t>Consistente en todas y cada una de las actuaciones que integran el presente juicio de amparo, en cuanto beneficien los intereses del quejoso y coadyuven a la resolución del fondo del asunto.</w:t>
      </w:r>
    </w:p>
    <w:p w14:paraId="32B2E425" w14:textId="088312D8" w:rsidR="00320810" w:rsidRPr="002A563E" w:rsidRDefault="002A563E" w:rsidP="00ED6C2D">
      <w:pPr>
        <w:spacing w:line="360" w:lineRule="auto"/>
        <w:jc w:val="both"/>
        <w:rPr>
          <w:rFonts w:asciiTheme="minorBidi" w:hAnsiTheme="minorBidi"/>
          <w:b/>
          <w:bCs/>
          <w:sz w:val="24"/>
          <w:szCs w:val="24"/>
          <w:lang w:val="es-MX"/>
        </w:rPr>
      </w:pPr>
      <w:r>
        <w:rPr>
          <w:rFonts w:asciiTheme="minorBidi" w:hAnsiTheme="minorBidi"/>
          <w:b/>
          <w:bCs/>
          <w:sz w:val="24"/>
          <w:szCs w:val="24"/>
          <w:lang w:val="es-MX"/>
        </w:rPr>
        <w:t>VIII</w:t>
      </w:r>
      <w:r w:rsidR="00320810" w:rsidRPr="002A563E">
        <w:rPr>
          <w:rFonts w:asciiTheme="minorBidi" w:hAnsiTheme="minorBidi"/>
          <w:b/>
          <w:bCs/>
          <w:sz w:val="24"/>
          <w:szCs w:val="24"/>
          <w:lang w:val="es-MX"/>
        </w:rPr>
        <w:t>. PUNTOS PETITORIOS</w:t>
      </w:r>
      <w:r w:rsidR="00320810" w:rsidRPr="002A563E">
        <w:rPr>
          <w:rFonts w:asciiTheme="minorBidi" w:hAnsiTheme="minorBidi"/>
          <w:b/>
          <w:bCs/>
          <w:sz w:val="24"/>
          <w:szCs w:val="24"/>
          <w:lang w:val="es-MX"/>
        </w:rPr>
        <w:t>:</w:t>
      </w:r>
    </w:p>
    <w:p w14:paraId="2781FCDB" w14:textId="1BFEE3CF"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Por lo anteriormente expuesto y fundado, a usted C. Juez, atentamente pido:</w:t>
      </w:r>
    </w:p>
    <w:p w14:paraId="42107726" w14:textId="1C762BB5"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lastRenderedPageBreak/>
        <w:t>PRIMERO: Tenerme por presentado con este escrito, demandando el Amparo y Protección de la Justicia de la Unión, en los términos y contra los actos y autoridades señaladas.</w:t>
      </w:r>
    </w:p>
    <w:p w14:paraId="02468E5E" w14:textId="7C77785F"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SEGUNDO: Reconocerme la personalidad con la que me ostento y tener por señalado el domicilio para oír y recibir notificaciones, así como por autorizados a los profesionistas mencionados.</w:t>
      </w:r>
    </w:p>
    <w:p w14:paraId="3DE34677" w14:textId="0E51C881"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TERCERO: Admitir a trámite la presente demanda de amparo indirecto.</w:t>
      </w:r>
    </w:p>
    <w:p w14:paraId="20B93CEB" w14:textId="7285B73B"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CUARTO: Conceder la suspensión provisional y, en su momento, la definitiva del acto reclamado, en los términos solicitados.</w:t>
      </w:r>
    </w:p>
    <w:p w14:paraId="51A85680" w14:textId="0ED33F62"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QUINTO: Tener por ofrecidas y admitir las pruebas que se acompañan y las que se desprendan de las actuaciones.</w:t>
      </w:r>
    </w:p>
    <w:p w14:paraId="420B4909" w14:textId="77777777" w:rsidR="00320810" w:rsidRPr="00320810" w:rsidRDefault="00320810" w:rsidP="00ED6C2D">
      <w:pPr>
        <w:spacing w:line="360" w:lineRule="auto"/>
        <w:ind w:firstLine="708"/>
        <w:jc w:val="both"/>
        <w:rPr>
          <w:rFonts w:asciiTheme="minorBidi" w:hAnsiTheme="minorBidi"/>
          <w:sz w:val="24"/>
          <w:szCs w:val="24"/>
          <w:lang w:val="es-MX"/>
        </w:rPr>
      </w:pPr>
      <w:r w:rsidRPr="00320810">
        <w:rPr>
          <w:rFonts w:asciiTheme="minorBidi" w:hAnsiTheme="minorBidi"/>
          <w:sz w:val="24"/>
          <w:szCs w:val="24"/>
          <w:lang w:val="es-MX"/>
        </w:rPr>
        <w:t>SEXTO: Previos los trámites de ley, dictar sentencia en la que se conceda el Amparo y Protección de la Justicia de la Unión al quejoso.</w:t>
      </w:r>
    </w:p>
    <w:p w14:paraId="45FDC49F" w14:textId="77777777" w:rsidR="00320810" w:rsidRPr="00320810" w:rsidRDefault="00320810" w:rsidP="00ED6C2D">
      <w:pPr>
        <w:spacing w:line="360" w:lineRule="auto"/>
        <w:jc w:val="both"/>
        <w:rPr>
          <w:rFonts w:asciiTheme="minorBidi" w:hAnsiTheme="minorBidi"/>
          <w:sz w:val="24"/>
          <w:szCs w:val="24"/>
          <w:lang w:val="es-MX"/>
        </w:rPr>
      </w:pPr>
    </w:p>
    <w:p w14:paraId="0BECA6CC" w14:textId="73C9DA99" w:rsidR="00E62F06" w:rsidRPr="00320810" w:rsidRDefault="00320810" w:rsidP="00ED6C2D">
      <w:pPr>
        <w:spacing w:line="360" w:lineRule="auto"/>
        <w:jc w:val="both"/>
        <w:rPr>
          <w:rFonts w:asciiTheme="minorBidi" w:hAnsiTheme="minorBidi"/>
          <w:b/>
          <w:bCs/>
          <w:sz w:val="24"/>
          <w:szCs w:val="24"/>
        </w:rPr>
      </w:pPr>
      <w:r w:rsidRPr="00320810">
        <w:rPr>
          <w:rFonts w:asciiTheme="minorBidi" w:hAnsiTheme="minorBidi"/>
          <w:b/>
          <w:bCs/>
          <w:sz w:val="24"/>
          <w:szCs w:val="24"/>
        </w:rPr>
        <w:t>PROTESTO LO NECESARIO</w:t>
      </w:r>
    </w:p>
    <w:p w14:paraId="1FB537B3" w14:textId="77777777" w:rsidR="00320810" w:rsidRPr="00320810" w:rsidRDefault="00320810" w:rsidP="00ED6C2D">
      <w:pPr>
        <w:spacing w:line="360" w:lineRule="auto"/>
        <w:jc w:val="both"/>
        <w:rPr>
          <w:rFonts w:asciiTheme="minorBidi" w:hAnsiTheme="minorBidi"/>
          <w:b/>
          <w:bCs/>
          <w:sz w:val="24"/>
          <w:szCs w:val="24"/>
        </w:rPr>
      </w:pPr>
    </w:p>
    <w:p w14:paraId="0E1AC559" w14:textId="471A0690" w:rsidR="00320810" w:rsidRPr="00320810" w:rsidRDefault="00320810" w:rsidP="00ED6C2D">
      <w:pPr>
        <w:spacing w:line="360" w:lineRule="auto"/>
        <w:jc w:val="both"/>
        <w:rPr>
          <w:rFonts w:asciiTheme="minorBidi" w:hAnsiTheme="minorBidi"/>
          <w:b/>
          <w:bCs/>
          <w:sz w:val="24"/>
          <w:szCs w:val="24"/>
        </w:rPr>
      </w:pPr>
      <w:r>
        <w:rPr>
          <w:rFonts w:asciiTheme="minorBidi" w:hAnsiTheme="minorBidi"/>
          <w:b/>
          <w:bCs/>
          <w:sz w:val="24"/>
          <w:szCs w:val="24"/>
        </w:rPr>
        <w:t>____________________________________</w:t>
      </w:r>
    </w:p>
    <w:p w14:paraId="25412848" w14:textId="7C4D42C6" w:rsidR="00320810" w:rsidRPr="00320810" w:rsidRDefault="00320810" w:rsidP="00ED6C2D">
      <w:pPr>
        <w:spacing w:line="360" w:lineRule="auto"/>
        <w:jc w:val="both"/>
        <w:rPr>
          <w:rFonts w:asciiTheme="minorBidi" w:hAnsiTheme="minorBidi"/>
          <w:b/>
          <w:bCs/>
          <w:sz w:val="24"/>
          <w:szCs w:val="24"/>
        </w:rPr>
      </w:pPr>
      <w:r w:rsidRPr="00ED6C2D">
        <w:rPr>
          <w:rFonts w:asciiTheme="minorBidi" w:hAnsiTheme="minorBidi"/>
          <w:b/>
          <w:bCs/>
          <w:sz w:val="24"/>
          <w:szCs w:val="24"/>
          <w:highlight w:val="red"/>
        </w:rPr>
        <w:t>(NOMBRE_QUEJOSO 1)</w:t>
      </w:r>
    </w:p>
    <w:sectPr w:rsidR="00320810" w:rsidRPr="00320810" w:rsidSect="002A563E">
      <w:footerReference w:type="default" r:id="rId7"/>
      <w:pgSz w:w="12240" w:h="20160" w:code="5"/>
      <w:pgMar w:top="1417" w:right="136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F7B71" w14:textId="77777777" w:rsidR="00ED6C2D" w:rsidRDefault="00ED6C2D" w:rsidP="00ED6C2D">
      <w:pPr>
        <w:spacing w:after="0" w:line="240" w:lineRule="auto"/>
      </w:pPr>
      <w:r>
        <w:separator/>
      </w:r>
    </w:p>
  </w:endnote>
  <w:endnote w:type="continuationSeparator" w:id="0">
    <w:p w14:paraId="3126ACEF" w14:textId="77777777" w:rsidR="00ED6C2D" w:rsidRDefault="00ED6C2D" w:rsidP="00ED6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726516"/>
      <w:docPartObj>
        <w:docPartGallery w:val="Page Numbers (Bottom of Page)"/>
        <w:docPartUnique/>
      </w:docPartObj>
    </w:sdtPr>
    <w:sdtContent>
      <w:p w14:paraId="66AB4E87" w14:textId="4B510BA9" w:rsidR="00ED6C2D" w:rsidRDefault="00ED6C2D">
        <w:pPr>
          <w:pStyle w:val="Piedepgina"/>
          <w:jc w:val="right"/>
        </w:pPr>
        <w:r>
          <w:fldChar w:fldCharType="begin"/>
        </w:r>
        <w:r>
          <w:instrText>PAGE   \* MERGEFORMAT</w:instrText>
        </w:r>
        <w:r>
          <w:fldChar w:fldCharType="separate"/>
        </w:r>
        <w:r>
          <w:rPr>
            <w:lang w:val="es-ES"/>
          </w:rPr>
          <w:t>2</w:t>
        </w:r>
        <w:r>
          <w:fldChar w:fldCharType="end"/>
        </w:r>
      </w:p>
    </w:sdtContent>
  </w:sdt>
  <w:p w14:paraId="0FBC09D0" w14:textId="77777777" w:rsidR="00ED6C2D" w:rsidRDefault="00ED6C2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59D71" w14:textId="77777777" w:rsidR="00ED6C2D" w:rsidRDefault="00ED6C2D" w:rsidP="00ED6C2D">
      <w:pPr>
        <w:spacing w:after="0" w:line="240" w:lineRule="auto"/>
      </w:pPr>
      <w:r>
        <w:separator/>
      </w:r>
    </w:p>
  </w:footnote>
  <w:footnote w:type="continuationSeparator" w:id="0">
    <w:p w14:paraId="5F26F104" w14:textId="77777777" w:rsidR="00ED6C2D" w:rsidRDefault="00ED6C2D" w:rsidP="00ED6C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C645C"/>
    <w:multiLevelType w:val="hybridMultilevel"/>
    <w:tmpl w:val="E08E2B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AAA1A5E"/>
    <w:multiLevelType w:val="hybridMultilevel"/>
    <w:tmpl w:val="9E768F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387215D"/>
    <w:multiLevelType w:val="hybridMultilevel"/>
    <w:tmpl w:val="4D6EFF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BFC10F1"/>
    <w:multiLevelType w:val="hybridMultilevel"/>
    <w:tmpl w:val="44E429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03701389">
    <w:abstractNumId w:val="0"/>
  </w:num>
  <w:num w:numId="2" w16cid:durableId="1916279564">
    <w:abstractNumId w:val="3"/>
  </w:num>
  <w:num w:numId="3" w16cid:durableId="299843649">
    <w:abstractNumId w:val="1"/>
  </w:num>
  <w:num w:numId="4" w16cid:durableId="990131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810"/>
    <w:rsid w:val="00206707"/>
    <w:rsid w:val="0021457C"/>
    <w:rsid w:val="002A0B75"/>
    <w:rsid w:val="002A563E"/>
    <w:rsid w:val="00320810"/>
    <w:rsid w:val="00357B9D"/>
    <w:rsid w:val="00384D69"/>
    <w:rsid w:val="00426D90"/>
    <w:rsid w:val="00483834"/>
    <w:rsid w:val="005F54BC"/>
    <w:rsid w:val="006C63A2"/>
    <w:rsid w:val="008E6BBD"/>
    <w:rsid w:val="009365A2"/>
    <w:rsid w:val="00AE47A9"/>
    <w:rsid w:val="00B2597E"/>
    <w:rsid w:val="00D6653F"/>
    <w:rsid w:val="00E62F06"/>
    <w:rsid w:val="00E94AD6"/>
    <w:rsid w:val="00ED6C2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097B"/>
  <w15:chartTrackingRefBased/>
  <w15:docId w15:val="{D1DE8F7D-ED39-467D-86FC-1CC4E30E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08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208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081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2081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2081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208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08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08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08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081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2081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2081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2081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2081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208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08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08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0810"/>
    <w:rPr>
      <w:rFonts w:eastAsiaTheme="majorEastAsia" w:cstheme="majorBidi"/>
      <w:color w:val="272727" w:themeColor="text1" w:themeTint="D8"/>
    </w:rPr>
  </w:style>
  <w:style w:type="paragraph" w:styleId="Ttulo">
    <w:name w:val="Title"/>
    <w:basedOn w:val="Normal"/>
    <w:next w:val="Normal"/>
    <w:link w:val="TtuloCar"/>
    <w:uiPriority w:val="10"/>
    <w:qFormat/>
    <w:rsid w:val="00320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08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08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08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0810"/>
    <w:pPr>
      <w:spacing w:before="160"/>
      <w:jc w:val="center"/>
    </w:pPr>
    <w:rPr>
      <w:i/>
      <w:iCs/>
      <w:color w:val="404040" w:themeColor="text1" w:themeTint="BF"/>
    </w:rPr>
  </w:style>
  <w:style w:type="character" w:customStyle="1" w:styleId="CitaCar">
    <w:name w:val="Cita Car"/>
    <w:basedOn w:val="Fuentedeprrafopredeter"/>
    <w:link w:val="Cita"/>
    <w:uiPriority w:val="29"/>
    <w:rsid w:val="00320810"/>
    <w:rPr>
      <w:i/>
      <w:iCs/>
      <w:color w:val="404040" w:themeColor="text1" w:themeTint="BF"/>
    </w:rPr>
  </w:style>
  <w:style w:type="paragraph" w:styleId="Prrafodelista">
    <w:name w:val="List Paragraph"/>
    <w:basedOn w:val="Normal"/>
    <w:uiPriority w:val="34"/>
    <w:qFormat/>
    <w:rsid w:val="00320810"/>
    <w:pPr>
      <w:ind w:left="720"/>
      <w:contextualSpacing/>
    </w:pPr>
  </w:style>
  <w:style w:type="character" w:styleId="nfasisintenso">
    <w:name w:val="Intense Emphasis"/>
    <w:basedOn w:val="Fuentedeprrafopredeter"/>
    <w:uiPriority w:val="21"/>
    <w:qFormat/>
    <w:rsid w:val="00320810"/>
    <w:rPr>
      <w:i/>
      <w:iCs/>
      <w:color w:val="2F5496" w:themeColor="accent1" w:themeShade="BF"/>
    </w:rPr>
  </w:style>
  <w:style w:type="paragraph" w:styleId="Citadestacada">
    <w:name w:val="Intense Quote"/>
    <w:basedOn w:val="Normal"/>
    <w:next w:val="Normal"/>
    <w:link w:val="CitadestacadaCar"/>
    <w:uiPriority w:val="30"/>
    <w:qFormat/>
    <w:rsid w:val="00320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20810"/>
    <w:rPr>
      <w:i/>
      <w:iCs/>
      <w:color w:val="2F5496" w:themeColor="accent1" w:themeShade="BF"/>
    </w:rPr>
  </w:style>
  <w:style w:type="character" w:styleId="Referenciaintensa">
    <w:name w:val="Intense Reference"/>
    <w:basedOn w:val="Fuentedeprrafopredeter"/>
    <w:uiPriority w:val="32"/>
    <w:qFormat/>
    <w:rsid w:val="00320810"/>
    <w:rPr>
      <w:b/>
      <w:bCs/>
      <w:smallCaps/>
      <w:color w:val="2F5496" w:themeColor="accent1" w:themeShade="BF"/>
      <w:spacing w:val="5"/>
    </w:rPr>
  </w:style>
  <w:style w:type="paragraph" w:styleId="NormalWeb">
    <w:name w:val="Normal (Web)"/>
    <w:basedOn w:val="Normal"/>
    <w:uiPriority w:val="99"/>
    <w:semiHidden/>
    <w:unhideWhenUsed/>
    <w:rsid w:val="00384D69"/>
    <w:pPr>
      <w:spacing w:before="100" w:beforeAutospacing="1" w:after="100" w:afterAutospacing="1" w:line="240" w:lineRule="auto"/>
    </w:pPr>
    <w:rPr>
      <w:rFonts w:ascii="Times New Roman" w:eastAsia="Times New Roman" w:hAnsi="Times New Roman" w:cs="Times New Roman"/>
      <w:kern w:val="0"/>
      <w:sz w:val="24"/>
      <w:szCs w:val="24"/>
      <w:lang w:eastAsia="fr-FR" w:bidi="he-IL"/>
      <w14:ligatures w14:val="none"/>
    </w:rPr>
  </w:style>
  <w:style w:type="character" w:customStyle="1" w:styleId="citation-381">
    <w:name w:val="citation-381"/>
    <w:basedOn w:val="Fuentedeprrafopredeter"/>
    <w:rsid w:val="00384D69"/>
  </w:style>
  <w:style w:type="character" w:customStyle="1" w:styleId="citation-380">
    <w:name w:val="citation-380"/>
    <w:basedOn w:val="Fuentedeprrafopredeter"/>
    <w:rsid w:val="00384D69"/>
  </w:style>
  <w:style w:type="character" w:customStyle="1" w:styleId="citation-379">
    <w:name w:val="citation-379"/>
    <w:basedOn w:val="Fuentedeprrafopredeter"/>
    <w:rsid w:val="00384D69"/>
  </w:style>
  <w:style w:type="character" w:customStyle="1" w:styleId="citation-378">
    <w:name w:val="citation-378"/>
    <w:basedOn w:val="Fuentedeprrafopredeter"/>
    <w:rsid w:val="00384D69"/>
  </w:style>
  <w:style w:type="character" w:customStyle="1" w:styleId="citation-377">
    <w:name w:val="citation-377"/>
    <w:basedOn w:val="Fuentedeprrafopredeter"/>
    <w:rsid w:val="00384D69"/>
  </w:style>
  <w:style w:type="character" w:customStyle="1" w:styleId="citation-376">
    <w:name w:val="citation-376"/>
    <w:basedOn w:val="Fuentedeprrafopredeter"/>
    <w:rsid w:val="00384D69"/>
  </w:style>
  <w:style w:type="character" w:customStyle="1" w:styleId="citation-375">
    <w:name w:val="citation-375"/>
    <w:basedOn w:val="Fuentedeprrafopredeter"/>
    <w:rsid w:val="00384D69"/>
  </w:style>
  <w:style w:type="character" w:customStyle="1" w:styleId="citation-374">
    <w:name w:val="citation-374"/>
    <w:basedOn w:val="Fuentedeprrafopredeter"/>
    <w:rsid w:val="00384D69"/>
  </w:style>
  <w:style w:type="character" w:customStyle="1" w:styleId="citation-373">
    <w:name w:val="citation-373"/>
    <w:basedOn w:val="Fuentedeprrafopredeter"/>
    <w:rsid w:val="00384D69"/>
  </w:style>
  <w:style w:type="character" w:customStyle="1" w:styleId="citation-372">
    <w:name w:val="citation-372"/>
    <w:basedOn w:val="Fuentedeprrafopredeter"/>
    <w:rsid w:val="00384D69"/>
  </w:style>
  <w:style w:type="character" w:customStyle="1" w:styleId="citation-371">
    <w:name w:val="citation-371"/>
    <w:basedOn w:val="Fuentedeprrafopredeter"/>
    <w:rsid w:val="00384D69"/>
  </w:style>
  <w:style w:type="character" w:customStyle="1" w:styleId="citation-370">
    <w:name w:val="citation-370"/>
    <w:basedOn w:val="Fuentedeprrafopredeter"/>
    <w:rsid w:val="00384D69"/>
  </w:style>
  <w:style w:type="character" w:customStyle="1" w:styleId="citation-369">
    <w:name w:val="citation-369"/>
    <w:basedOn w:val="Fuentedeprrafopredeter"/>
    <w:rsid w:val="00384D69"/>
  </w:style>
  <w:style w:type="paragraph" w:styleId="Encabezado">
    <w:name w:val="header"/>
    <w:basedOn w:val="Normal"/>
    <w:link w:val="EncabezadoCar"/>
    <w:uiPriority w:val="99"/>
    <w:unhideWhenUsed/>
    <w:rsid w:val="00ED6C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D6C2D"/>
  </w:style>
  <w:style w:type="paragraph" w:styleId="Piedepgina">
    <w:name w:val="footer"/>
    <w:basedOn w:val="Normal"/>
    <w:link w:val="PiedepginaCar"/>
    <w:uiPriority w:val="99"/>
    <w:unhideWhenUsed/>
    <w:rsid w:val="00ED6C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D6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899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15</Pages>
  <Words>5996</Words>
  <Characters>32980</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Valenzuela Sosa</dc:creator>
  <cp:keywords/>
  <dc:description/>
  <cp:lastModifiedBy>Alejandro Valenzuela Sosa</cp:lastModifiedBy>
  <cp:revision>1</cp:revision>
  <dcterms:created xsi:type="dcterms:W3CDTF">2025-07-02T01:59:00Z</dcterms:created>
  <dcterms:modified xsi:type="dcterms:W3CDTF">2025-07-02T03:51:00Z</dcterms:modified>
</cp:coreProperties>
</file>