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27B1" w14:textId="5BFFA398" w:rsidR="005B65C9" w:rsidRPr="00F549F4" w:rsidRDefault="00085B68" w:rsidP="00F549F4">
      <w:pPr>
        <w:pStyle w:val="Heading1"/>
        <w:spacing w:before="0"/>
      </w:pPr>
      <w:r>
        <w:t xml:space="preserve">DRAFT </w:t>
      </w:r>
      <w:r w:rsidR="00D34DC1">
        <w:t xml:space="preserve">Core </w:t>
      </w:r>
      <w:r w:rsidR="00D34DC1" w:rsidRPr="004D6511">
        <w:t>Metrics</w:t>
      </w:r>
      <w:r w:rsidR="00D34DC1">
        <w:t xml:space="preserve"> Definitions</w:t>
      </w:r>
    </w:p>
    <w:p w14:paraId="2E3D8E59" w14:textId="77777777" w:rsidR="004D6511" w:rsidRDefault="004D6511"/>
    <w:p w14:paraId="66CC2A56" w14:textId="5FFC78F9" w:rsidR="005B65C9" w:rsidRDefault="00D34DC1">
      <w:r>
        <w:t xml:space="preserve">This document defines the four </w:t>
      </w:r>
      <w:r w:rsidR="008B5427">
        <w:t xml:space="preserve">initial </w:t>
      </w:r>
      <w:r>
        <w:t>Core Metrics proposed</w:t>
      </w:r>
      <w:r w:rsidR="008B5427">
        <w:t xml:space="preserve"> plus additional optional or alternative metrics with high decision-usefulness and </w:t>
      </w:r>
      <w:r w:rsidR="008C4BA9">
        <w:t>auditability</w:t>
      </w:r>
      <w:r>
        <w:t>. Each definition is designed to be auditable, decision-useful, and comparable across issuers and industries.</w:t>
      </w:r>
    </w:p>
    <w:p w14:paraId="19D2D61C" w14:textId="77777777" w:rsidR="00BD7CB7" w:rsidRDefault="00BD7CB7"/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88"/>
        <w:gridCol w:w="2790"/>
        <w:gridCol w:w="3510"/>
        <w:gridCol w:w="2880"/>
        <w:gridCol w:w="4248"/>
      </w:tblGrid>
      <w:tr w:rsidR="00E92AC8" w:rsidRPr="00E92AC8" w14:paraId="505DE6BA" w14:textId="0DC2AD76" w:rsidTr="008A5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88" w:type="dxa"/>
            <w:hideMark/>
          </w:tcPr>
          <w:p w14:paraId="091C9CA3" w14:textId="77777777" w:rsidR="00AC7D24" w:rsidRPr="00E92AC8" w:rsidRDefault="00AC7D24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bookmarkStart w:id="0" w:name="OLE_LINK1"/>
            <w:r w:rsidRPr="00E92AC8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790" w:type="dxa"/>
            <w:hideMark/>
          </w:tcPr>
          <w:p w14:paraId="29B1D3F6" w14:textId="77777777" w:rsidR="00AC7D24" w:rsidRPr="00E92AC8" w:rsidRDefault="00AC7D2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92AC8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510" w:type="dxa"/>
            <w:hideMark/>
          </w:tcPr>
          <w:p w14:paraId="261D476E" w14:textId="77777777" w:rsidR="00AC7D24" w:rsidRPr="00E92AC8" w:rsidRDefault="00AC7D2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92AC8"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2880" w:type="dxa"/>
            <w:hideMark/>
          </w:tcPr>
          <w:p w14:paraId="4C4A103E" w14:textId="77777777" w:rsidR="00AC7D24" w:rsidRPr="00E92AC8" w:rsidRDefault="00AC7D24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92AC8">
              <w:rPr>
                <w:b/>
                <w:bCs/>
                <w:sz w:val="20"/>
                <w:szCs w:val="20"/>
              </w:rPr>
              <w:t>Source / Assurance Basis</w:t>
            </w:r>
          </w:p>
        </w:tc>
        <w:tc>
          <w:tcPr>
            <w:tcW w:w="4248" w:type="dxa"/>
          </w:tcPr>
          <w:p w14:paraId="00853B59" w14:textId="0D049D73" w:rsidR="00AC7D24" w:rsidRPr="00E92AC8" w:rsidRDefault="00993BA5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92AC8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E92AC8" w:rsidRPr="00E92AC8" w14:paraId="7F4DEA20" w14:textId="78AC2FD1" w:rsidTr="008A5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3D693CFF" w14:textId="77777777" w:rsidR="00AC7D24" w:rsidRPr="00E92AC8" w:rsidRDefault="00AC7D24" w:rsidP="001857CE">
            <w:pPr>
              <w:spacing w:line="278" w:lineRule="auto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Acquisition</w:t>
            </w:r>
          </w:p>
        </w:tc>
        <w:tc>
          <w:tcPr>
            <w:tcW w:w="2790" w:type="dxa"/>
          </w:tcPr>
          <w:p w14:paraId="0955CACC" w14:textId="1EC1B979" w:rsidR="00AC7D24" w:rsidRPr="007A72CF" w:rsidRDefault="00AC7D24" w:rsidP="007A72CF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72CF">
              <w:rPr>
                <w:sz w:val="20"/>
                <w:szCs w:val="20"/>
              </w:rPr>
              <w:t>New Customers Acquired</w:t>
            </w:r>
          </w:p>
        </w:tc>
        <w:tc>
          <w:tcPr>
            <w:tcW w:w="3510" w:type="dxa"/>
          </w:tcPr>
          <w:p w14:paraId="3B51A483" w14:textId="34883EC7" w:rsidR="00AC7D24" w:rsidRPr="00E92AC8" w:rsidRDefault="00AC7D24" w:rsidP="001857C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Count of distinct new customers acquired during the reporting period (regardless of whether they survive to end of period).</w:t>
            </w:r>
          </w:p>
        </w:tc>
        <w:tc>
          <w:tcPr>
            <w:tcW w:w="2880" w:type="dxa"/>
          </w:tcPr>
          <w:p w14:paraId="46211C77" w14:textId="77777777" w:rsidR="00AC7D24" w:rsidRPr="00E92AC8" w:rsidRDefault="00AC7D24" w:rsidP="001857C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CRM or billing system; reconciled to revenue records.</w:t>
            </w:r>
          </w:p>
        </w:tc>
        <w:tc>
          <w:tcPr>
            <w:tcW w:w="4248" w:type="dxa"/>
          </w:tcPr>
          <w:p w14:paraId="00B365B2" w14:textId="68B16C94" w:rsidR="00AC7D24" w:rsidRPr="00E92AC8" w:rsidRDefault="00E25E5B" w:rsidP="001857C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Dependent on clear definition of “customer”</w:t>
            </w:r>
          </w:p>
        </w:tc>
      </w:tr>
      <w:bookmarkEnd w:id="0"/>
      <w:tr w:rsidR="00E92AC8" w:rsidRPr="00E92AC8" w14:paraId="276A3EF5" w14:textId="087C2D5D" w:rsidTr="008A5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6B1BD937" w14:textId="77777777" w:rsidR="00AC7D24" w:rsidRPr="00E92AC8" w:rsidRDefault="00AC7D24" w:rsidP="001857CE">
            <w:pPr>
              <w:spacing w:line="278" w:lineRule="auto"/>
              <w:rPr>
                <w:sz w:val="20"/>
                <w:szCs w:val="20"/>
              </w:rPr>
            </w:pPr>
          </w:p>
        </w:tc>
        <w:tc>
          <w:tcPr>
            <w:tcW w:w="2790" w:type="dxa"/>
          </w:tcPr>
          <w:p w14:paraId="2668FC1B" w14:textId="77777777" w:rsidR="00AC7D24" w:rsidRPr="00E92AC8" w:rsidRDefault="00AC7D24" w:rsidP="007A7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b/>
                <w:bCs/>
                <w:i/>
                <w:iCs/>
                <w:sz w:val="20"/>
                <w:szCs w:val="20"/>
              </w:rPr>
              <w:t>(Optional)</w:t>
            </w:r>
            <w:r w:rsidRPr="00E92AC8">
              <w:rPr>
                <w:sz w:val="20"/>
                <w:szCs w:val="20"/>
              </w:rPr>
              <w:t xml:space="preserve"> Customer Acquisition Cost (CAC)</w:t>
            </w:r>
          </w:p>
        </w:tc>
        <w:tc>
          <w:tcPr>
            <w:tcW w:w="3510" w:type="dxa"/>
          </w:tcPr>
          <w:p w14:paraId="249C6BA8" w14:textId="77777777" w:rsidR="00AC7D24" w:rsidRPr="00E92AC8" w:rsidRDefault="00AC7D24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Fully loaded cost to acquire all new customers in the period (marketing, sales, and onboarding expenses).</w:t>
            </w:r>
          </w:p>
        </w:tc>
        <w:tc>
          <w:tcPr>
            <w:tcW w:w="2880" w:type="dxa"/>
          </w:tcPr>
          <w:p w14:paraId="1FDAC953" w14:textId="77777777" w:rsidR="00AC7D24" w:rsidRPr="00E92AC8" w:rsidRDefault="00AC7D24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Derived from GAAP expense lines; allocation policy documented; auditable.</w:t>
            </w:r>
          </w:p>
        </w:tc>
        <w:tc>
          <w:tcPr>
            <w:tcW w:w="4248" w:type="dxa"/>
          </w:tcPr>
          <w:p w14:paraId="1EE4F8E4" w14:textId="2815CBE0" w:rsidR="00AC7D24" w:rsidRPr="00E92AC8" w:rsidRDefault="008C71D6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 xml:space="preserve">Need clear methodology for determining which costs are </w:t>
            </w:r>
            <w:r w:rsidR="007D5FC4" w:rsidRPr="00E92AC8">
              <w:rPr>
                <w:sz w:val="20"/>
                <w:szCs w:val="20"/>
              </w:rPr>
              <w:t>in vs out of acquisition costs</w:t>
            </w:r>
          </w:p>
        </w:tc>
      </w:tr>
      <w:tr w:rsidR="00E92AC8" w:rsidRPr="00E92AC8" w14:paraId="15F1B02D" w14:textId="508967C9" w:rsidTr="008A5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31FE139F" w14:textId="2A9C816C" w:rsidR="00AC7D24" w:rsidRPr="00E92AC8" w:rsidRDefault="00AC7D24" w:rsidP="001857CE">
            <w:pPr>
              <w:spacing w:line="278" w:lineRule="auto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 xml:space="preserve">Customer </w:t>
            </w:r>
            <w:r w:rsidR="00257A03">
              <w:rPr>
                <w:sz w:val="20"/>
                <w:szCs w:val="20"/>
              </w:rPr>
              <w:t>Count</w:t>
            </w:r>
          </w:p>
        </w:tc>
        <w:tc>
          <w:tcPr>
            <w:tcW w:w="2790" w:type="dxa"/>
          </w:tcPr>
          <w:p w14:paraId="123ED6E0" w14:textId="0C9C79AC" w:rsidR="001F2C66" w:rsidRPr="007A72CF" w:rsidRDefault="00AC7D24" w:rsidP="007A72CF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A72CF">
              <w:rPr>
                <w:sz w:val="20"/>
                <w:szCs w:val="20"/>
              </w:rPr>
              <w:t xml:space="preserve">Customer Count </w:t>
            </w:r>
          </w:p>
          <w:p w14:paraId="6F48E0D8" w14:textId="3145A1E9" w:rsidR="001F2C66" w:rsidRDefault="001F2C66" w:rsidP="001857CE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  <w:p w14:paraId="1A5054AB" w14:textId="11091438" w:rsidR="00DE1733" w:rsidRDefault="00DE1733" w:rsidP="001857CE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vs tenured</w:t>
            </w:r>
          </w:p>
          <w:p w14:paraId="7B4393B3" w14:textId="059A5F96" w:rsidR="00AC7D24" w:rsidRPr="001F2C66" w:rsidRDefault="001F2C66" w:rsidP="001857CE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F2C66">
              <w:rPr>
                <w:sz w:val="20"/>
                <w:szCs w:val="20"/>
              </w:rPr>
              <w:t xml:space="preserve">By </w:t>
            </w:r>
            <w:bookmarkStart w:id="1" w:name="OLE_LINK2"/>
            <w:r w:rsidR="0035490B">
              <w:rPr>
                <w:sz w:val="20"/>
                <w:szCs w:val="20"/>
              </w:rPr>
              <w:t>acquisition c</w:t>
            </w:r>
            <w:bookmarkEnd w:id="1"/>
            <w:r w:rsidR="00AC7D24" w:rsidRPr="001F2C66">
              <w:rPr>
                <w:sz w:val="20"/>
                <w:szCs w:val="20"/>
              </w:rPr>
              <w:t>ohort</w:t>
            </w:r>
          </w:p>
        </w:tc>
        <w:tc>
          <w:tcPr>
            <w:tcW w:w="3510" w:type="dxa"/>
          </w:tcPr>
          <w:p w14:paraId="6A862B2B" w14:textId="6C00456D" w:rsidR="00AC7D24" w:rsidRPr="00E92AC8" w:rsidRDefault="00AC7D24" w:rsidP="001857C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Total unique customers at period end. Used to derive attrition and retention.</w:t>
            </w:r>
          </w:p>
        </w:tc>
        <w:tc>
          <w:tcPr>
            <w:tcW w:w="2880" w:type="dxa"/>
          </w:tcPr>
          <w:p w14:paraId="3832F51A" w14:textId="7765AB9E" w:rsidR="00AC7D24" w:rsidRPr="00E92AC8" w:rsidRDefault="00AC7D24" w:rsidP="001857C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Derived from CRM or billing system; reconciled to revenue records</w:t>
            </w:r>
          </w:p>
        </w:tc>
        <w:tc>
          <w:tcPr>
            <w:tcW w:w="4248" w:type="dxa"/>
          </w:tcPr>
          <w:p w14:paraId="425F5ACB" w14:textId="0364BE09" w:rsidR="00AC7D24" w:rsidRPr="00E92AC8" w:rsidRDefault="002E445C" w:rsidP="001857C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Dependent on clear definition of “customer”</w:t>
            </w:r>
          </w:p>
        </w:tc>
      </w:tr>
      <w:tr w:rsidR="00E92AC8" w:rsidRPr="00E92AC8" w14:paraId="241C63B4" w14:textId="3750265D" w:rsidTr="008A5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74007DFE" w14:textId="77777777" w:rsidR="00AC7D24" w:rsidRPr="00E92AC8" w:rsidRDefault="00AC7D24" w:rsidP="001857CE">
            <w:pPr>
              <w:spacing w:line="278" w:lineRule="auto"/>
              <w:rPr>
                <w:sz w:val="20"/>
                <w:szCs w:val="20"/>
              </w:rPr>
            </w:pPr>
          </w:p>
        </w:tc>
        <w:tc>
          <w:tcPr>
            <w:tcW w:w="2790" w:type="dxa"/>
          </w:tcPr>
          <w:p w14:paraId="446E3985" w14:textId="385921A6" w:rsidR="001F2C66" w:rsidRPr="00AB2194" w:rsidRDefault="003429B0" w:rsidP="00AB2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29B0">
              <w:rPr>
                <w:b/>
                <w:bCs/>
                <w:i/>
                <w:iCs/>
                <w:sz w:val="20"/>
                <w:szCs w:val="20"/>
              </w:rPr>
              <w:t>(Alternative)</w:t>
            </w:r>
            <w:r>
              <w:rPr>
                <w:sz w:val="20"/>
                <w:szCs w:val="20"/>
              </w:rPr>
              <w:t xml:space="preserve"> </w:t>
            </w:r>
            <w:r w:rsidR="00AC7D24" w:rsidRPr="00AB2194">
              <w:rPr>
                <w:sz w:val="20"/>
                <w:szCs w:val="20"/>
              </w:rPr>
              <w:t xml:space="preserve">Active Customer Count </w:t>
            </w:r>
          </w:p>
          <w:p w14:paraId="34454C1F" w14:textId="77777777" w:rsidR="001857CE" w:rsidRDefault="001857CE" w:rsidP="001857CE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  <w:p w14:paraId="132738D6" w14:textId="42868B38" w:rsidR="00DE1733" w:rsidRDefault="00DE1733" w:rsidP="001857CE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vs tenured</w:t>
            </w:r>
          </w:p>
          <w:p w14:paraId="51EE7CB2" w14:textId="2BE5834B" w:rsidR="00AC7D24" w:rsidRPr="001F2C66" w:rsidRDefault="001857CE" w:rsidP="001857CE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="00AC7D24" w:rsidRPr="001F2C66">
              <w:rPr>
                <w:sz w:val="20"/>
                <w:szCs w:val="20"/>
              </w:rPr>
              <w:t xml:space="preserve">y </w:t>
            </w:r>
            <w:r w:rsidR="007D475F">
              <w:rPr>
                <w:sz w:val="20"/>
                <w:szCs w:val="20"/>
              </w:rPr>
              <w:t>acquisition c</w:t>
            </w:r>
            <w:r w:rsidR="00AC7D24" w:rsidRPr="001F2C66">
              <w:rPr>
                <w:sz w:val="20"/>
                <w:szCs w:val="20"/>
              </w:rPr>
              <w:t>ohort</w:t>
            </w:r>
          </w:p>
        </w:tc>
        <w:tc>
          <w:tcPr>
            <w:tcW w:w="3510" w:type="dxa"/>
          </w:tcPr>
          <w:p w14:paraId="4532A96E" w14:textId="08A18B1E" w:rsidR="00AC7D24" w:rsidRPr="00E92AC8" w:rsidRDefault="00AC7D24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Number of active customers at period</w:t>
            </w:r>
            <w:r w:rsidR="00FB0EE8" w:rsidRPr="00E92AC8">
              <w:rPr>
                <w:sz w:val="20"/>
                <w:szCs w:val="20"/>
              </w:rPr>
              <w:t xml:space="preserve"> end</w:t>
            </w:r>
            <w:r w:rsidRPr="00E92AC8">
              <w:rPr>
                <w:sz w:val="20"/>
                <w:szCs w:val="20"/>
              </w:rPr>
              <w:t>.</w:t>
            </w:r>
          </w:p>
        </w:tc>
        <w:tc>
          <w:tcPr>
            <w:tcW w:w="2880" w:type="dxa"/>
          </w:tcPr>
          <w:p w14:paraId="439AC8F6" w14:textId="5CE75EF5" w:rsidR="00AC7D24" w:rsidRPr="00E92AC8" w:rsidRDefault="00827DCB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 xml:space="preserve">Purchase transaction </w:t>
            </w:r>
            <w:r w:rsidR="00AC1E82" w:rsidRPr="00E92AC8">
              <w:rPr>
                <w:sz w:val="20"/>
                <w:szCs w:val="20"/>
              </w:rPr>
              <w:t>and</w:t>
            </w:r>
            <w:r w:rsidR="007C5314">
              <w:rPr>
                <w:sz w:val="20"/>
                <w:szCs w:val="20"/>
              </w:rPr>
              <w:t>/or</w:t>
            </w:r>
            <w:r w:rsidR="00AC1E82" w:rsidRPr="00E92AC8">
              <w:rPr>
                <w:sz w:val="20"/>
                <w:szCs w:val="20"/>
              </w:rPr>
              <w:t xml:space="preserve"> other usage logs</w:t>
            </w:r>
            <w:r w:rsidR="00AC7D24" w:rsidRPr="00E92AC8">
              <w:rPr>
                <w:sz w:val="20"/>
                <w:szCs w:val="20"/>
              </w:rPr>
              <w:t>.</w:t>
            </w:r>
          </w:p>
        </w:tc>
        <w:tc>
          <w:tcPr>
            <w:tcW w:w="4248" w:type="dxa"/>
          </w:tcPr>
          <w:p w14:paraId="18DC8DA9" w14:textId="06557285" w:rsidR="00AC7D24" w:rsidRPr="00E92AC8" w:rsidRDefault="00DA510E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Dependent on clear definition of “customer”</w:t>
            </w:r>
            <w:r w:rsidR="00E434AE" w:rsidRPr="00E92AC8">
              <w:rPr>
                <w:sz w:val="20"/>
                <w:szCs w:val="20"/>
              </w:rPr>
              <w:t xml:space="preserve"> and methodology for determining which customers are “active”</w:t>
            </w:r>
            <w:r w:rsidR="008038A5">
              <w:rPr>
                <w:sz w:val="20"/>
                <w:szCs w:val="20"/>
              </w:rPr>
              <w:t xml:space="preserve"> – comparability requires methodology disclosure</w:t>
            </w:r>
          </w:p>
        </w:tc>
      </w:tr>
      <w:tr w:rsidR="00E92AC8" w:rsidRPr="00E92AC8" w14:paraId="32CF1D59" w14:textId="6B2B86C1" w:rsidTr="008A5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7029BE2A" w14:textId="77777777" w:rsidR="00AC7D24" w:rsidRPr="00E92AC8" w:rsidRDefault="00AC7D24" w:rsidP="001857CE">
            <w:pPr>
              <w:spacing w:line="278" w:lineRule="auto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Revenue Quality</w:t>
            </w:r>
          </w:p>
        </w:tc>
        <w:tc>
          <w:tcPr>
            <w:tcW w:w="2790" w:type="dxa"/>
            <w:hideMark/>
          </w:tcPr>
          <w:p w14:paraId="0057924A" w14:textId="397ECACA" w:rsidR="00DE1733" w:rsidRPr="003429B0" w:rsidRDefault="00AC7D24" w:rsidP="003429B0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429B0">
              <w:rPr>
                <w:sz w:val="20"/>
                <w:szCs w:val="20"/>
              </w:rPr>
              <w:t xml:space="preserve">Revenue </w:t>
            </w:r>
          </w:p>
          <w:p w14:paraId="0B368F2A" w14:textId="77777777" w:rsidR="00DE1733" w:rsidRDefault="00DE1733" w:rsidP="00DE173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  <w:p w14:paraId="5E2A86C7" w14:textId="45D25463" w:rsidR="00DE1733" w:rsidRDefault="00DE1733" w:rsidP="00DE173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vs tenured</w:t>
            </w:r>
          </w:p>
          <w:p w14:paraId="0C713FEE" w14:textId="5CB4392E" w:rsidR="00AC7D24" w:rsidRPr="00DE1733" w:rsidRDefault="00DE1733" w:rsidP="00DE1733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By </w:t>
            </w:r>
            <w:r w:rsidR="007D475F">
              <w:rPr>
                <w:sz w:val="20"/>
                <w:szCs w:val="20"/>
              </w:rPr>
              <w:t>acquisition c</w:t>
            </w:r>
            <w:r w:rsidR="00AC7D24" w:rsidRPr="00DE1733">
              <w:rPr>
                <w:sz w:val="20"/>
                <w:szCs w:val="20"/>
              </w:rPr>
              <w:t>ohort</w:t>
            </w:r>
          </w:p>
        </w:tc>
        <w:tc>
          <w:tcPr>
            <w:tcW w:w="3510" w:type="dxa"/>
            <w:hideMark/>
          </w:tcPr>
          <w:p w14:paraId="6FAE4BE0" w14:textId="2EE15EFD" w:rsidR="00AC7D24" w:rsidRPr="00E92AC8" w:rsidRDefault="00AC7D24" w:rsidP="001857C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GAAP revenue within the period.</w:t>
            </w:r>
          </w:p>
        </w:tc>
        <w:tc>
          <w:tcPr>
            <w:tcW w:w="2880" w:type="dxa"/>
            <w:hideMark/>
          </w:tcPr>
          <w:p w14:paraId="0CA1B5FB" w14:textId="77777777" w:rsidR="00AC7D24" w:rsidRPr="00E92AC8" w:rsidRDefault="00AC7D24" w:rsidP="001857C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Revenue subledger; reconciles to total revenue.</w:t>
            </w:r>
          </w:p>
        </w:tc>
        <w:tc>
          <w:tcPr>
            <w:tcW w:w="4248" w:type="dxa"/>
          </w:tcPr>
          <w:p w14:paraId="7FDD943E" w14:textId="7C095863" w:rsidR="00AC7D24" w:rsidRPr="00E92AC8" w:rsidRDefault="0050255B" w:rsidP="001857C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 to distinguish product/service revenue from fees?</w:t>
            </w:r>
            <w:r w:rsidR="00857C74">
              <w:rPr>
                <w:sz w:val="20"/>
                <w:szCs w:val="20"/>
              </w:rPr>
              <w:t xml:space="preserve"> Can use </w:t>
            </w:r>
            <w:r w:rsidR="002A4E5E">
              <w:rPr>
                <w:sz w:val="20"/>
                <w:szCs w:val="20"/>
              </w:rPr>
              <w:t>revenue from “repeat customers” as proxy</w:t>
            </w:r>
          </w:p>
        </w:tc>
      </w:tr>
      <w:tr w:rsidR="00E92AC8" w:rsidRPr="00E92AC8" w14:paraId="00362FDF" w14:textId="67B106B4" w:rsidTr="008A5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4EA5BDE4" w14:textId="77777777" w:rsidR="00AC7D24" w:rsidRPr="00E92AC8" w:rsidRDefault="00AC7D24" w:rsidP="001857CE">
            <w:pPr>
              <w:spacing w:line="278" w:lineRule="auto"/>
              <w:rPr>
                <w:sz w:val="20"/>
                <w:szCs w:val="20"/>
              </w:rPr>
            </w:pPr>
          </w:p>
        </w:tc>
        <w:tc>
          <w:tcPr>
            <w:tcW w:w="2790" w:type="dxa"/>
            <w:hideMark/>
          </w:tcPr>
          <w:p w14:paraId="55A15FEA" w14:textId="54681DD1" w:rsidR="00DE1733" w:rsidRPr="00377E04" w:rsidRDefault="00AC7D24" w:rsidP="00377E04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7E04">
              <w:rPr>
                <w:sz w:val="20"/>
                <w:szCs w:val="20"/>
              </w:rPr>
              <w:t xml:space="preserve">Purchase Transactions </w:t>
            </w:r>
          </w:p>
          <w:p w14:paraId="7E043AD5" w14:textId="77777777" w:rsidR="00DE1733" w:rsidRDefault="00DE1733" w:rsidP="00DE1733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  <w:p w14:paraId="2C752122" w14:textId="77777777" w:rsidR="00DE1733" w:rsidRDefault="00DE1733" w:rsidP="00DE1733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vs tenured</w:t>
            </w:r>
          </w:p>
          <w:p w14:paraId="4772B682" w14:textId="3FCC7375" w:rsidR="00AC7D24" w:rsidRPr="00DE1733" w:rsidRDefault="00DE1733" w:rsidP="00DE1733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="00AC7D24" w:rsidRPr="00DE1733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 xml:space="preserve"> </w:t>
            </w:r>
            <w:r w:rsidR="007D475F">
              <w:rPr>
                <w:sz w:val="20"/>
                <w:szCs w:val="20"/>
              </w:rPr>
              <w:t>acquisition c</w:t>
            </w:r>
            <w:r w:rsidR="00AC7D24" w:rsidRPr="00DE1733">
              <w:rPr>
                <w:sz w:val="20"/>
                <w:szCs w:val="20"/>
              </w:rPr>
              <w:t>ohort</w:t>
            </w:r>
          </w:p>
        </w:tc>
        <w:tc>
          <w:tcPr>
            <w:tcW w:w="3510" w:type="dxa"/>
            <w:hideMark/>
          </w:tcPr>
          <w:p w14:paraId="16D07B89" w14:textId="77777777" w:rsidR="00AC7D24" w:rsidRPr="00E92AC8" w:rsidRDefault="00AC7D24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Count of completed purchase transactions per cohort within the period.</w:t>
            </w:r>
          </w:p>
        </w:tc>
        <w:tc>
          <w:tcPr>
            <w:tcW w:w="2880" w:type="dxa"/>
            <w:hideMark/>
          </w:tcPr>
          <w:p w14:paraId="571FF63C" w14:textId="77777777" w:rsidR="00AC7D24" w:rsidRPr="00E92AC8" w:rsidRDefault="00AC7D24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Sales transaction logs/systems; ties to recognized revenue.</w:t>
            </w:r>
          </w:p>
        </w:tc>
        <w:tc>
          <w:tcPr>
            <w:tcW w:w="4248" w:type="dxa"/>
          </w:tcPr>
          <w:p w14:paraId="0D5B06B4" w14:textId="62AC723E" w:rsidR="00AC7D24" w:rsidRPr="00E92AC8" w:rsidRDefault="000B7F27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 xml:space="preserve">Dependent on </w:t>
            </w:r>
            <w:r w:rsidR="00E92AC8" w:rsidRPr="00E92AC8">
              <w:rPr>
                <w:sz w:val="20"/>
                <w:szCs w:val="20"/>
              </w:rPr>
              <w:t>clear definition of purchase transaction</w:t>
            </w:r>
            <w:r w:rsidR="008E5503">
              <w:rPr>
                <w:sz w:val="20"/>
                <w:szCs w:val="20"/>
              </w:rPr>
              <w:t>; can use “</w:t>
            </w:r>
            <w:r w:rsidR="00857C74">
              <w:rPr>
                <w:sz w:val="20"/>
                <w:szCs w:val="20"/>
              </w:rPr>
              <w:t>purchases by repeat customers”</w:t>
            </w:r>
            <w:r w:rsidR="008E5503">
              <w:rPr>
                <w:sz w:val="20"/>
                <w:szCs w:val="20"/>
              </w:rPr>
              <w:t xml:space="preserve"> </w:t>
            </w:r>
            <w:r w:rsidR="002A4E5E">
              <w:rPr>
                <w:sz w:val="20"/>
                <w:szCs w:val="20"/>
              </w:rPr>
              <w:t>as proxy</w:t>
            </w:r>
          </w:p>
        </w:tc>
      </w:tr>
      <w:tr w:rsidR="00E92AC8" w:rsidRPr="00E92AC8" w14:paraId="24C69C1F" w14:textId="6A4E388D" w:rsidTr="008A5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39D729D8" w14:textId="77777777" w:rsidR="00AC7D24" w:rsidRPr="00E92AC8" w:rsidRDefault="00AC7D24" w:rsidP="001857CE">
            <w:pPr>
              <w:rPr>
                <w:sz w:val="20"/>
                <w:szCs w:val="20"/>
              </w:rPr>
            </w:pPr>
          </w:p>
        </w:tc>
        <w:tc>
          <w:tcPr>
            <w:tcW w:w="2790" w:type="dxa"/>
          </w:tcPr>
          <w:p w14:paraId="0E6D2747" w14:textId="24354AC8" w:rsidR="00AC7D24" w:rsidRPr="00E92AC8" w:rsidRDefault="008B5427" w:rsidP="00185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0"/>
                <w:szCs w:val="20"/>
              </w:rPr>
            </w:pPr>
            <w:r w:rsidRPr="008B5427">
              <w:rPr>
                <w:b/>
                <w:bCs/>
                <w:i/>
                <w:iCs/>
                <w:sz w:val="20"/>
                <w:szCs w:val="20"/>
              </w:rPr>
              <w:t xml:space="preserve">(Optional) </w:t>
            </w:r>
            <w:r w:rsidR="00AC7D24" w:rsidRPr="00E92AC8">
              <w:rPr>
                <w:sz w:val="20"/>
                <w:szCs w:val="20"/>
              </w:rPr>
              <w:t>Expansion / Cross-Sell</w:t>
            </w:r>
          </w:p>
        </w:tc>
        <w:tc>
          <w:tcPr>
            <w:tcW w:w="3510" w:type="dxa"/>
          </w:tcPr>
          <w:p w14:paraId="0C888E8F" w14:textId="77777777" w:rsidR="00AC7D24" w:rsidRPr="00E92AC8" w:rsidRDefault="00AC7D24" w:rsidP="00185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 xml:space="preserve">Number of products owned per customer, by cohort at end of period. </w:t>
            </w:r>
          </w:p>
        </w:tc>
        <w:tc>
          <w:tcPr>
            <w:tcW w:w="2880" w:type="dxa"/>
          </w:tcPr>
          <w:p w14:paraId="6DD1CD87" w14:textId="710C00F7" w:rsidR="00AC7D24" w:rsidRPr="00E92AC8" w:rsidRDefault="00E92AC8" w:rsidP="00185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Sales transaction logs/systems; ties to recognized revenue.</w:t>
            </w:r>
          </w:p>
        </w:tc>
        <w:tc>
          <w:tcPr>
            <w:tcW w:w="4248" w:type="dxa"/>
          </w:tcPr>
          <w:p w14:paraId="55DC76CD" w14:textId="1A8B8183" w:rsidR="00AC7D24" w:rsidRPr="00E92AC8" w:rsidRDefault="00C03819" w:rsidP="001857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Dependent on clear definition of </w:t>
            </w:r>
            <w:r w:rsidR="00C70C0A">
              <w:rPr>
                <w:sz w:val="20"/>
                <w:szCs w:val="20"/>
              </w:rPr>
              <w:t>expansion (</w:t>
            </w:r>
            <w:r w:rsidR="00632FE6">
              <w:rPr>
                <w:sz w:val="20"/>
                <w:szCs w:val="20"/>
              </w:rPr>
              <w:t xml:space="preserve">extension of existing relationship to new products or geographies) and </w:t>
            </w:r>
            <w:r w:rsidR="00D60D0B">
              <w:rPr>
                <w:sz w:val="20"/>
                <w:szCs w:val="20"/>
              </w:rPr>
              <w:t>cross-sell (</w:t>
            </w:r>
            <w:r w:rsidR="005F75E0">
              <w:rPr>
                <w:sz w:val="20"/>
                <w:szCs w:val="20"/>
              </w:rPr>
              <w:t>addition of new products to a customer’s portfolio)</w:t>
            </w:r>
          </w:p>
        </w:tc>
      </w:tr>
      <w:tr w:rsidR="00E92AC8" w:rsidRPr="00E92AC8" w14:paraId="4D81C6D3" w14:textId="7FC0CBA1" w:rsidTr="008A5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72601046" w14:textId="77777777" w:rsidR="00AC7D24" w:rsidRPr="00E92AC8" w:rsidRDefault="00AC7D24" w:rsidP="001857CE">
            <w:pPr>
              <w:spacing w:line="278" w:lineRule="auto"/>
              <w:rPr>
                <w:sz w:val="20"/>
                <w:szCs w:val="20"/>
              </w:rPr>
            </w:pPr>
          </w:p>
        </w:tc>
        <w:tc>
          <w:tcPr>
            <w:tcW w:w="2790" w:type="dxa"/>
            <w:hideMark/>
          </w:tcPr>
          <w:p w14:paraId="6A5D446A" w14:textId="77777777" w:rsidR="00AC7D24" w:rsidRPr="00E92AC8" w:rsidRDefault="00AC7D24" w:rsidP="001857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b/>
                <w:bCs/>
                <w:i/>
                <w:iCs/>
                <w:sz w:val="20"/>
                <w:szCs w:val="20"/>
              </w:rPr>
              <w:t>(Optional)</w:t>
            </w:r>
            <w:r w:rsidRPr="00E92AC8">
              <w:rPr>
                <w:sz w:val="20"/>
                <w:szCs w:val="20"/>
              </w:rPr>
              <w:t xml:space="preserve"> Gross Margin by Cohort</w:t>
            </w:r>
          </w:p>
        </w:tc>
        <w:tc>
          <w:tcPr>
            <w:tcW w:w="3510" w:type="dxa"/>
            <w:hideMark/>
          </w:tcPr>
          <w:p w14:paraId="1716816F" w14:textId="0D7AB18F" w:rsidR="00AC7D24" w:rsidRPr="00E92AC8" w:rsidRDefault="00AC7D24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Gross profit using GAAP COGS allocation.</w:t>
            </w:r>
          </w:p>
        </w:tc>
        <w:tc>
          <w:tcPr>
            <w:tcW w:w="2880" w:type="dxa"/>
            <w:hideMark/>
          </w:tcPr>
          <w:p w14:paraId="55703A84" w14:textId="77777777" w:rsidR="00AC7D24" w:rsidRPr="00E92AC8" w:rsidRDefault="00AC7D24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Financial systems; auditable allocation policy.</w:t>
            </w:r>
          </w:p>
        </w:tc>
        <w:tc>
          <w:tcPr>
            <w:tcW w:w="4248" w:type="dxa"/>
          </w:tcPr>
          <w:p w14:paraId="2250D9C6" w14:textId="5B3D22B7" w:rsidR="00AC7D24" w:rsidRPr="00E92AC8" w:rsidRDefault="00A1425D" w:rsidP="001857C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Requires </w:t>
            </w:r>
            <w:r w:rsidR="009E0CE2">
              <w:rPr>
                <w:sz w:val="20"/>
                <w:szCs w:val="20"/>
              </w:rPr>
              <w:t xml:space="preserve">agreed methodology for allocation of COGS to </w:t>
            </w:r>
            <w:r w:rsidR="005E2308">
              <w:rPr>
                <w:sz w:val="20"/>
                <w:szCs w:val="20"/>
              </w:rPr>
              <w:t>customer</w:t>
            </w:r>
            <w:r w:rsidR="00990F23">
              <w:rPr>
                <w:sz w:val="20"/>
                <w:szCs w:val="20"/>
              </w:rPr>
              <w:t xml:space="preserve"> relationships</w:t>
            </w:r>
            <w:r w:rsidR="004D6511">
              <w:rPr>
                <w:sz w:val="20"/>
                <w:szCs w:val="20"/>
              </w:rPr>
              <w:t xml:space="preserve"> (by tenure cohort)</w:t>
            </w:r>
          </w:p>
        </w:tc>
      </w:tr>
    </w:tbl>
    <w:p w14:paraId="65FA5F79" w14:textId="714C1E62" w:rsidR="00790CE3" w:rsidRDefault="00D34DC1">
      <w:r>
        <w:br/>
        <w:t>These definitions will serve as the foundation for the CMASB Core Metrics Exposure Draft. Each metric meets CMASB’s guiding principles: decision-usefulness, auditability, comparability, and cost-benefit proportionality.</w:t>
      </w:r>
    </w:p>
    <w:p w14:paraId="103695E2" w14:textId="77777777" w:rsidR="00790CE3" w:rsidRDefault="00790CE3">
      <w:r>
        <w:br w:type="page"/>
      </w:r>
    </w:p>
    <w:p w14:paraId="67CAFCAB" w14:textId="277AFBC1" w:rsidR="00790CE3" w:rsidRDefault="00790CE3">
      <w:r>
        <w:lastRenderedPageBreak/>
        <w:t>Additional metrics of note</w:t>
      </w:r>
    </w:p>
    <w:p w14:paraId="1641AB82" w14:textId="77777777" w:rsidR="00790CE3" w:rsidRDefault="00790CE3"/>
    <w:p w14:paraId="7CD98C51" w14:textId="705D68D3" w:rsidR="001C417C" w:rsidRDefault="001C417C"/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417"/>
        <w:gridCol w:w="2651"/>
        <w:gridCol w:w="3510"/>
        <w:gridCol w:w="2880"/>
        <w:gridCol w:w="4158"/>
      </w:tblGrid>
      <w:tr w:rsidR="00E97A24" w:rsidRPr="00E92AC8" w14:paraId="74260DDA" w14:textId="77777777" w:rsidTr="008A5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7" w:type="dxa"/>
            <w:hideMark/>
          </w:tcPr>
          <w:p w14:paraId="40E8EFAB" w14:textId="77777777" w:rsidR="001C417C" w:rsidRPr="00E92AC8" w:rsidRDefault="001C417C" w:rsidP="00445F79">
            <w:pPr>
              <w:spacing w:line="278" w:lineRule="auto"/>
              <w:rPr>
                <w:b/>
                <w:bCs/>
                <w:sz w:val="20"/>
                <w:szCs w:val="20"/>
              </w:rPr>
            </w:pPr>
            <w:r w:rsidRPr="00E92AC8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651" w:type="dxa"/>
            <w:hideMark/>
          </w:tcPr>
          <w:p w14:paraId="433F50B5" w14:textId="77777777" w:rsidR="001C417C" w:rsidRPr="00E92AC8" w:rsidRDefault="001C417C" w:rsidP="00445F7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92AC8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510" w:type="dxa"/>
            <w:hideMark/>
          </w:tcPr>
          <w:p w14:paraId="6F080492" w14:textId="77777777" w:rsidR="001C417C" w:rsidRPr="00E92AC8" w:rsidRDefault="001C417C" w:rsidP="00445F7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92AC8"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2880" w:type="dxa"/>
            <w:hideMark/>
          </w:tcPr>
          <w:p w14:paraId="21A4468F" w14:textId="77777777" w:rsidR="001C417C" w:rsidRPr="00E92AC8" w:rsidRDefault="001C417C" w:rsidP="00445F7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92AC8">
              <w:rPr>
                <w:b/>
                <w:bCs/>
                <w:sz w:val="20"/>
                <w:szCs w:val="20"/>
              </w:rPr>
              <w:t>Source / Assurance Basis</w:t>
            </w:r>
          </w:p>
        </w:tc>
        <w:tc>
          <w:tcPr>
            <w:tcW w:w="4158" w:type="dxa"/>
          </w:tcPr>
          <w:p w14:paraId="3633969E" w14:textId="77777777" w:rsidR="001C417C" w:rsidRPr="00E92AC8" w:rsidRDefault="001C417C" w:rsidP="00445F7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92AC8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E97A24" w:rsidRPr="00E92AC8" w14:paraId="10BB948A" w14:textId="77777777" w:rsidTr="008A5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hideMark/>
          </w:tcPr>
          <w:p w14:paraId="72EE57F5" w14:textId="21998071" w:rsidR="001C417C" w:rsidRPr="00E92AC8" w:rsidRDefault="001C7FAD" w:rsidP="00445F79">
            <w:pPr>
              <w:spacing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Revenue</w:t>
            </w:r>
            <w:r w:rsidR="001C417C">
              <w:rPr>
                <w:sz w:val="20"/>
                <w:szCs w:val="20"/>
              </w:rPr>
              <w:t xml:space="preserve"> concentration</w:t>
            </w:r>
          </w:p>
        </w:tc>
        <w:tc>
          <w:tcPr>
            <w:tcW w:w="2651" w:type="dxa"/>
          </w:tcPr>
          <w:p w14:paraId="3CB14445" w14:textId="1A171398" w:rsidR="001C417C" w:rsidRPr="00E92AC8" w:rsidRDefault="00377E04" w:rsidP="00445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2" w:name="OLE_LINK3"/>
            <w:r w:rsidRPr="00377E04">
              <w:rPr>
                <w:b/>
                <w:bCs/>
                <w:i/>
                <w:iCs/>
                <w:sz w:val="20"/>
                <w:szCs w:val="20"/>
              </w:rPr>
              <w:t>(Optional)</w:t>
            </w:r>
            <w:bookmarkEnd w:id="2"/>
            <w:r>
              <w:rPr>
                <w:sz w:val="20"/>
                <w:szCs w:val="20"/>
              </w:rPr>
              <w:t xml:space="preserve"> </w:t>
            </w:r>
            <w:r w:rsidR="00D35674">
              <w:rPr>
                <w:sz w:val="20"/>
                <w:szCs w:val="20"/>
              </w:rPr>
              <w:t>Percent</w:t>
            </w:r>
            <w:r w:rsidR="003A761A">
              <w:rPr>
                <w:sz w:val="20"/>
                <w:szCs w:val="20"/>
              </w:rPr>
              <w:t xml:space="preserve"> of customers with revenue </w:t>
            </w:r>
            <w:r w:rsidR="00032B44">
              <w:rPr>
                <w:sz w:val="20"/>
                <w:szCs w:val="20"/>
              </w:rPr>
              <w:t>&gt; $___</w:t>
            </w:r>
          </w:p>
        </w:tc>
        <w:tc>
          <w:tcPr>
            <w:tcW w:w="3510" w:type="dxa"/>
          </w:tcPr>
          <w:p w14:paraId="7794E50D" w14:textId="751CEA9D" w:rsidR="001C417C" w:rsidRPr="00E92AC8" w:rsidRDefault="001C7FAD" w:rsidP="00445F7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Percent of </w:t>
            </w:r>
            <w:r w:rsidR="00D35674">
              <w:rPr>
                <w:sz w:val="20"/>
                <w:szCs w:val="20"/>
              </w:rPr>
              <w:t xml:space="preserve">customers and/or </w:t>
            </w:r>
            <w:r>
              <w:rPr>
                <w:sz w:val="20"/>
                <w:szCs w:val="20"/>
              </w:rPr>
              <w:t>revenue</w:t>
            </w:r>
            <w:r w:rsidR="003A761A">
              <w:rPr>
                <w:sz w:val="20"/>
                <w:szCs w:val="20"/>
              </w:rPr>
              <w:t xml:space="preserve"> derived from </w:t>
            </w:r>
            <w:r w:rsidR="00B7365A">
              <w:rPr>
                <w:sz w:val="20"/>
                <w:szCs w:val="20"/>
              </w:rPr>
              <w:t>customers with greatest revenue</w:t>
            </w:r>
          </w:p>
        </w:tc>
        <w:tc>
          <w:tcPr>
            <w:tcW w:w="2880" w:type="dxa"/>
          </w:tcPr>
          <w:p w14:paraId="262429B2" w14:textId="6D0EAAEE" w:rsidR="001C417C" w:rsidRPr="00E92AC8" w:rsidRDefault="001C417C" w:rsidP="00445F7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3" w:name="OLE_LINK4"/>
            <w:r w:rsidRPr="00E92AC8">
              <w:rPr>
                <w:sz w:val="20"/>
                <w:szCs w:val="20"/>
              </w:rPr>
              <w:t>CRM or billing system; reconciled to revenue records</w:t>
            </w:r>
            <w:bookmarkEnd w:id="3"/>
          </w:p>
        </w:tc>
        <w:tc>
          <w:tcPr>
            <w:tcW w:w="4158" w:type="dxa"/>
          </w:tcPr>
          <w:p w14:paraId="546062CF" w14:textId="77777777" w:rsidR="001C417C" w:rsidRPr="00E92AC8" w:rsidRDefault="001C417C" w:rsidP="00445F7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Dependent on clear definition of “customer”</w:t>
            </w:r>
          </w:p>
        </w:tc>
      </w:tr>
      <w:tr w:rsidR="00032B44" w:rsidRPr="00E92AC8" w14:paraId="607F3C31" w14:textId="77777777" w:rsidTr="008A5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B17BDFD" w14:textId="77777777" w:rsidR="00032B44" w:rsidRDefault="00032B44" w:rsidP="00445F79">
            <w:pPr>
              <w:spacing w:line="278" w:lineRule="auto"/>
              <w:rPr>
                <w:sz w:val="20"/>
                <w:szCs w:val="20"/>
              </w:rPr>
            </w:pPr>
          </w:p>
        </w:tc>
        <w:tc>
          <w:tcPr>
            <w:tcW w:w="2651" w:type="dxa"/>
          </w:tcPr>
          <w:p w14:paraId="58E097E8" w14:textId="7E5E91FA" w:rsidR="00032B44" w:rsidRDefault="00387FE6" w:rsidP="00445F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7E04">
              <w:rPr>
                <w:b/>
                <w:bCs/>
                <w:i/>
                <w:iCs/>
                <w:sz w:val="20"/>
                <w:szCs w:val="20"/>
              </w:rPr>
              <w:t>(Optional)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E97A24">
              <w:rPr>
                <w:sz w:val="20"/>
                <w:szCs w:val="20"/>
              </w:rPr>
              <w:t>Concentration risk</w:t>
            </w:r>
          </w:p>
        </w:tc>
        <w:tc>
          <w:tcPr>
            <w:tcW w:w="3510" w:type="dxa"/>
          </w:tcPr>
          <w:p w14:paraId="3B308901" w14:textId="5E189BE0" w:rsidR="00032B44" w:rsidRDefault="00E97A24" w:rsidP="00445F7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Number of customers that individually represent more than </w:t>
            </w:r>
            <w:r w:rsidR="005C2AE0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% of total revenue</w:t>
            </w:r>
          </w:p>
        </w:tc>
        <w:tc>
          <w:tcPr>
            <w:tcW w:w="2880" w:type="dxa"/>
          </w:tcPr>
          <w:p w14:paraId="5004D084" w14:textId="4CC1D72A" w:rsidR="00032B44" w:rsidRPr="00E92AC8" w:rsidRDefault="00273FD0" w:rsidP="00445F7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Existing MD&amp;A filings</w:t>
            </w:r>
          </w:p>
        </w:tc>
        <w:tc>
          <w:tcPr>
            <w:tcW w:w="4158" w:type="dxa"/>
          </w:tcPr>
          <w:p w14:paraId="63C03A08" w14:textId="7BD6F272" w:rsidR="00032B44" w:rsidRPr="00E92AC8" w:rsidRDefault="00273FD0" w:rsidP="00445F7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 mandated disclosures</w:t>
            </w:r>
          </w:p>
        </w:tc>
      </w:tr>
      <w:tr w:rsidR="00790CE3" w:rsidRPr="00E92AC8" w14:paraId="33C6D36B" w14:textId="77777777" w:rsidTr="008A5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3BC4F86" w14:textId="7B418734" w:rsidR="00790CE3" w:rsidRDefault="00B15FFB" w:rsidP="00445F79">
            <w:pPr>
              <w:spacing w:line="27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Retention and churn</w:t>
            </w:r>
          </w:p>
        </w:tc>
        <w:tc>
          <w:tcPr>
            <w:tcW w:w="2651" w:type="dxa"/>
          </w:tcPr>
          <w:p w14:paraId="446FA591" w14:textId="6070913F" w:rsidR="00790CE3" w:rsidRDefault="009363E2" w:rsidP="00445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363E2">
              <w:rPr>
                <w:b/>
                <w:bCs/>
                <w:i/>
                <w:iCs/>
                <w:sz w:val="20"/>
                <w:szCs w:val="20"/>
              </w:rPr>
              <w:t>(Alternative)</w:t>
            </w:r>
            <w:r>
              <w:rPr>
                <w:sz w:val="20"/>
                <w:szCs w:val="20"/>
              </w:rPr>
              <w:t xml:space="preserve"> </w:t>
            </w:r>
            <w:r w:rsidR="00B15FFB">
              <w:rPr>
                <w:sz w:val="20"/>
                <w:szCs w:val="20"/>
              </w:rPr>
              <w:t>Churn rate</w:t>
            </w:r>
            <w:r w:rsidR="00EA31B7">
              <w:rPr>
                <w:sz w:val="20"/>
                <w:szCs w:val="20"/>
              </w:rPr>
              <w:t xml:space="preserve"> (aka attrition rate)</w:t>
            </w:r>
          </w:p>
          <w:p w14:paraId="2DD1A2A9" w14:textId="77777777" w:rsidR="0035490B" w:rsidRDefault="0035490B" w:rsidP="0035490B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Overall</w:t>
            </w:r>
          </w:p>
          <w:p w14:paraId="2119B996" w14:textId="77777777" w:rsidR="0035490B" w:rsidRDefault="0035490B" w:rsidP="0035490B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versus tenured</w:t>
            </w:r>
          </w:p>
          <w:p w14:paraId="2A43A724" w14:textId="0B8C64A3" w:rsidR="0035490B" w:rsidRPr="0035490B" w:rsidRDefault="0035490B" w:rsidP="0035490B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 acquisition cohort</w:t>
            </w:r>
          </w:p>
        </w:tc>
        <w:tc>
          <w:tcPr>
            <w:tcW w:w="3510" w:type="dxa"/>
          </w:tcPr>
          <w:p w14:paraId="006FD34B" w14:textId="7700240F" w:rsidR="00790CE3" w:rsidRDefault="00B15FFB" w:rsidP="00445F7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Percent of last period’s ending customers who remain at end of next period</w:t>
            </w:r>
          </w:p>
        </w:tc>
        <w:tc>
          <w:tcPr>
            <w:tcW w:w="2880" w:type="dxa"/>
          </w:tcPr>
          <w:p w14:paraId="5D099519" w14:textId="2C25E0EE" w:rsidR="00790CE3" w:rsidRDefault="005061E6" w:rsidP="00445F7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CRM or billing system; reconciled to revenue records</w:t>
            </w:r>
          </w:p>
        </w:tc>
        <w:tc>
          <w:tcPr>
            <w:tcW w:w="4158" w:type="dxa"/>
          </w:tcPr>
          <w:p w14:paraId="53A9CA68" w14:textId="2FCCF4AC" w:rsidR="00790CE3" w:rsidRPr="00E92AC8" w:rsidRDefault="00E74577" w:rsidP="00445F7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Must clarify </w:t>
            </w:r>
            <w:proofErr w:type="gramStart"/>
            <w:r>
              <w:rPr>
                <w:sz w:val="20"/>
                <w:szCs w:val="20"/>
              </w:rPr>
              <w:t>time period</w:t>
            </w:r>
            <w:proofErr w:type="gramEnd"/>
            <w:r>
              <w:rPr>
                <w:sz w:val="20"/>
                <w:szCs w:val="20"/>
              </w:rPr>
              <w:t xml:space="preserve"> (monthly, annual)</w:t>
            </w:r>
            <w:r w:rsidR="00217405">
              <w:rPr>
                <w:sz w:val="20"/>
                <w:szCs w:val="20"/>
              </w:rPr>
              <w:t xml:space="preserve">. </w:t>
            </w:r>
            <w:r w:rsidR="00B92EA1">
              <w:rPr>
                <w:sz w:val="20"/>
                <w:szCs w:val="20"/>
              </w:rPr>
              <w:t xml:space="preserve">Must exclude </w:t>
            </w:r>
            <w:r w:rsidR="00217405">
              <w:rPr>
                <w:sz w:val="20"/>
                <w:szCs w:val="20"/>
              </w:rPr>
              <w:t xml:space="preserve">customers </w:t>
            </w:r>
            <w:r w:rsidR="00B92EA1">
              <w:rPr>
                <w:sz w:val="20"/>
                <w:szCs w:val="20"/>
              </w:rPr>
              <w:t>acquired during period (</w:t>
            </w:r>
            <w:r w:rsidR="005061E6">
              <w:rPr>
                <w:sz w:val="20"/>
                <w:szCs w:val="20"/>
              </w:rPr>
              <w:t>need to treat them separately).</w:t>
            </w:r>
          </w:p>
        </w:tc>
      </w:tr>
      <w:tr w:rsidR="00B15FFB" w:rsidRPr="00E92AC8" w14:paraId="7B76B796" w14:textId="77777777" w:rsidTr="008A5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80A9590" w14:textId="77777777" w:rsidR="00B15FFB" w:rsidRDefault="00B15FFB" w:rsidP="00445F79">
            <w:pPr>
              <w:spacing w:line="278" w:lineRule="auto"/>
              <w:rPr>
                <w:sz w:val="20"/>
                <w:szCs w:val="20"/>
              </w:rPr>
            </w:pPr>
          </w:p>
        </w:tc>
        <w:tc>
          <w:tcPr>
            <w:tcW w:w="2651" w:type="dxa"/>
          </w:tcPr>
          <w:p w14:paraId="7918AACC" w14:textId="39A278AA" w:rsidR="00B15FFB" w:rsidRDefault="009363E2" w:rsidP="00445F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363E2">
              <w:rPr>
                <w:b/>
                <w:bCs/>
                <w:i/>
                <w:iCs/>
                <w:sz w:val="20"/>
                <w:szCs w:val="20"/>
              </w:rPr>
              <w:t>(Optional)</w:t>
            </w:r>
            <w:r>
              <w:rPr>
                <w:sz w:val="20"/>
                <w:szCs w:val="20"/>
              </w:rPr>
              <w:t xml:space="preserve"> </w:t>
            </w:r>
            <w:r w:rsidR="00B15FFB">
              <w:rPr>
                <w:sz w:val="20"/>
                <w:szCs w:val="20"/>
              </w:rPr>
              <w:t>Net revenue retention (NRR)</w:t>
            </w:r>
          </w:p>
        </w:tc>
        <w:tc>
          <w:tcPr>
            <w:tcW w:w="3510" w:type="dxa"/>
          </w:tcPr>
          <w:p w14:paraId="425D4D1E" w14:textId="46D64DB8" w:rsidR="00B15FFB" w:rsidRDefault="003F3579" w:rsidP="00445F7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Percent of last period’s revenue derived this period from customers active at the end of last period</w:t>
            </w:r>
            <w:r w:rsidR="00EA31B7">
              <w:rPr>
                <w:sz w:val="20"/>
                <w:szCs w:val="20"/>
              </w:rPr>
              <w:t xml:space="preserve"> (excludes all new customers)</w:t>
            </w:r>
          </w:p>
        </w:tc>
        <w:tc>
          <w:tcPr>
            <w:tcW w:w="2880" w:type="dxa"/>
          </w:tcPr>
          <w:p w14:paraId="10645F3A" w14:textId="4432D47D" w:rsidR="00B15FFB" w:rsidRDefault="009363E2" w:rsidP="00445F7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2AC8">
              <w:rPr>
                <w:sz w:val="20"/>
                <w:szCs w:val="20"/>
              </w:rPr>
              <w:t>CRM or billing system; reconciled to revenue record.</w:t>
            </w:r>
          </w:p>
        </w:tc>
        <w:tc>
          <w:tcPr>
            <w:tcW w:w="4158" w:type="dxa"/>
          </w:tcPr>
          <w:p w14:paraId="75A5FA0D" w14:textId="2500652A" w:rsidR="00B15FFB" w:rsidRPr="00E92AC8" w:rsidRDefault="00740B4B" w:rsidP="00445F7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 clean definition of customers active at the end of last period</w:t>
            </w:r>
            <w:r w:rsidR="00E74577">
              <w:rPr>
                <w:sz w:val="20"/>
                <w:szCs w:val="20"/>
              </w:rPr>
              <w:t>.</w:t>
            </w:r>
          </w:p>
        </w:tc>
      </w:tr>
    </w:tbl>
    <w:p w14:paraId="72B5D728" w14:textId="77777777" w:rsidR="005B65C9" w:rsidRDefault="005B65C9"/>
    <w:sectPr w:rsidR="005B65C9" w:rsidSect="0055575E">
      <w:footerReference w:type="even" r:id="rId8"/>
      <w:footerReference w:type="default" r:id="rId9"/>
      <w:pgSz w:w="15840" w:h="12240" w:orient="landscape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7AFA9" w14:textId="77777777" w:rsidR="00780B48" w:rsidRDefault="00780B48" w:rsidP="00D86637">
      <w:r>
        <w:separator/>
      </w:r>
    </w:p>
  </w:endnote>
  <w:endnote w:type="continuationSeparator" w:id="0">
    <w:p w14:paraId="229DF0E5" w14:textId="77777777" w:rsidR="00780B48" w:rsidRDefault="00780B48" w:rsidP="00D86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9564179"/>
      <w:docPartObj>
        <w:docPartGallery w:val="Page Numbers (Bottom of Page)"/>
        <w:docPartUnique/>
      </w:docPartObj>
    </w:sdtPr>
    <w:sdtContent>
      <w:p w14:paraId="33D55B97" w14:textId="55A3D14D" w:rsidR="00AE2D4D" w:rsidRDefault="00AE2D4D" w:rsidP="005630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E0CD60" w14:textId="77777777" w:rsidR="00D86637" w:rsidRDefault="00D86637" w:rsidP="00AE2D4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6532977"/>
      <w:docPartObj>
        <w:docPartGallery w:val="Page Numbers (Bottom of Page)"/>
        <w:docPartUnique/>
      </w:docPartObj>
    </w:sdtPr>
    <w:sdtContent>
      <w:p w14:paraId="27677B2B" w14:textId="1B99FD53" w:rsidR="00AE2D4D" w:rsidRDefault="00AE2D4D" w:rsidP="005630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EFE65EB" w14:textId="049052B4" w:rsidR="001676B2" w:rsidRPr="00252B77" w:rsidRDefault="001676B2">
    <w:pPr>
      <w:pStyle w:val="Footer"/>
      <w:rPr>
        <w:rFonts w:ascii="Aptos" w:hAnsi="Aptos"/>
        <w:color w:val="808080" w:themeColor="background1" w:themeShade="80"/>
        <w:sz w:val="16"/>
        <w:szCs w:val="16"/>
      </w:rPr>
    </w:pPr>
    <w:r w:rsidRPr="00252B77">
      <w:rPr>
        <w:rFonts w:ascii="Aptos" w:hAnsi="Aptos"/>
        <w:color w:val="808080" w:themeColor="background1" w:themeShade="80"/>
        <w:sz w:val="16"/>
        <w:szCs w:val="16"/>
      </w:rPr>
      <w:t xml:space="preserve">Edited: November </w:t>
    </w:r>
    <w:r w:rsidR="00C8217D" w:rsidRPr="00252B77">
      <w:rPr>
        <w:rFonts w:ascii="Aptos" w:hAnsi="Aptos"/>
        <w:color w:val="808080" w:themeColor="background1" w:themeShade="80"/>
        <w:sz w:val="16"/>
        <w:szCs w:val="16"/>
      </w:rPr>
      <w:t>2</w:t>
    </w:r>
    <w:r w:rsidR="00C670AD">
      <w:rPr>
        <w:rFonts w:ascii="Aptos" w:hAnsi="Aptos"/>
        <w:color w:val="808080" w:themeColor="background1" w:themeShade="80"/>
        <w:sz w:val="16"/>
        <w:szCs w:val="16"/>
      </w:rPr>
      <w:t>7</w:t>
    </w:r>
    <w:r w:rsidRPr="00252B77">
      <w:rPr>
        <w:rFonts w:ascii="Aptos" w:hAnsi="Aptos"/>
        <w:color w:val="808080" w:themeColor="background1" w:themeShade="80"/>
        <w:sz w:val="16"/>
        <w:szCs w:val="16"/>
      </w:rPr>
      <w:t>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E665" w14:textId="77777777" w:rsidR="00780B48" w:rsidRDefault="00780B48" w:rsidP="00D86637">
      <w:r>
        <w:separator/>
      </w:r>
    </w:p>
  </w:footnote>
  <w:footnote w:type="continuationSeparator" w:id="0">
    <w:p w14:paraId="795C5E93" w14:textId="77777777" w:rsidR="00780B48" w:rsidRDefault="00780B48" w:rsidP="00D866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85EB4"/>
    <w:multiLevelType w:val="hybridMultilevel"/>
    <w:tmpl w:val="F03601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4986519"/>
    <w:multiLevelType w:val="hybridMultilevel"/>
    <w:tmpl w:val="65B43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5106BF0"/>
    <w:multiLevelType w:val="hybridMultilevel"/>
    <w:tmpl w:val="29E48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CD566B"/>
    <w:multiLevelType w:val="hybridMultilevel"/>
    <w:tmpl w:val="43C40EE0"/>
    <w:lvl w:ilvl="0" w:tplc="75A82EE6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00CEA"/>
    <w:multiLevelType w:val="hybridMultilevel"/>
    <w:tmpl w:val="4CFE3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59355A"/>
    <w:multiLevelType w:val="hybridMultilevel"/>
    <w:tmpl w:val="DC8C7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B6900"/>
    <w:multiLevelType w:val="hybridMultilevel"/>
    <w:tmpl w:val="F6A24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FA6509"/>
    <w:multiLevelType w:val="hybridMultilevel"/>
    <w:tmpl w:val="D28CF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86258">
    <w:abstractNumId w:val="3"/>
  </w:num>
  <w:num w:numId="2" w16cid:durableId="1111514528">
    <w:abstractNumId w:val="2"/>
  </w:num>
  <w:num w:numId="3" w16cid:durableId="1404718888">
    <w:abstractNumId w:val="8"/>
  </w:num>
  <w:num w:numId="4" w16cid:durableId="1593390572">
    <w:abstractNumId w:val="6"/>
  </w:num>
  <w:num w:numId="5" w16cid:durableId="226261140">
    <w:abstractNumId w:val="7"/>
  </w:num>
  <w:num w:numId="6" w16cid:durableId="391586637">
    <w:abstractNumId w:val="0"/>
  </w:num>
  <w:num w:numId="7" w16cid:durableId="470513232">
    <w:abstractNumId w:val="5"/>
  </w:num>
  <w:num w:numId="8" w16cid:durableId="470639690">
    <w:abstractNumId w:val="1"/>
  </w:num>
  <w:num w:numId="9" w16cid:durableId="629946218">
    <w:abstractNumId w:val="4"/>
  </w:num>
  <w:num w:numId="10" w16cid:durableId="1431242399">
    <w:abstractNumId w:val="12"/>
  </w:num>
  <w:num w:numId="11" w16cid:durableId="1640957493">
    <w:abstractNumId w:val="15"/>
  </w:num>
  <w:num w:numId="12" w16cid:durableId="504320288">
    <w:abstractNumId w:val="11"/>
  </w:num>
  <w:num w:numId="13" w16cid:durableId="61025634">
    <w:abstractNumId w:val="14"/>
  </w:num>
  <w:num w:numId="14" w16cid:durableId="1790665125">
    <w:abstractNumId w:val="13"/>
  </w:num>
  <w:num w:numId="15" w16cid:durableId="180164111">
    <w:abstractNumId w:val="10"/>
  </w:num>
  <w:num w:numId="16" w16cid:durableId="536087359">
    <w:abstractNumId w:val="9"/>
  </w:num>
  <w:num w:numId="17" w16cid:durableId="7086446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44"/>
    <w:rsid w:val="00034616"/>
    <w:rsid w:val="00052854"/>
    <w:rsid w:val="0006063C"/>
    <w:rsid w:val="0006574A"/>
    <w:rsid w:val="00085B68"/>
    <w:rsid w:val="00097748"/>
    <w:rsid w:val="000B7F27"/>
    <w:rsid w:val="001320C4"/>
    <w:rsid w:val="0015074B"/>
    <w:rsid w:val="00156A84"/>
    <w:rsid w:val="001676B2"/>
    <w:rsid w:val="00171A42"/>
    <w:rsid w:val="001857CE"/>
    <w:rsid w:val="001C01B4"/>
    <w:rsid w:val="001C417C"/>
    <w:rsid w:val="001C7FAD"/>
    <w:rsid w:val="001F2C66"/>
    <w:rsid w:val="00217405"/>
    <w:rsid w:val="00252B77"/>
    <w:rsid w:val="00257A03"/>
    <w:rsid w:val="00273FD0"/>
    <w:rsid w:val="00294F55"/>
    <w:rsid w:val="0029639D"/>
    <w:rsid w:val="002A4E5E"/>
    <w:rsid w:val="002A5163"/>
    <w:rsid w:val="002E445C"/>
    <w:rsid w:val="002F195F"/>
    <w:rsid w:val="00326F90"/>
    <w:rsid w:val="003429B0"/>
    <w:rsid w:val="0035490B"/>
    <w:rsid w:val="00377E04"/>
    <w:rsid w:val="00387FE6"/>
    <w:rsid w:val="003A761A"/>
    <w:rsid w:val="003F3579"/>
    <w:rsid w:val="0043065D"/>
    <w:rsid w:val="0044361A"/>
    <w:rsid w:val="004D6511"/>
    <w:rsid w:val="0050255B"/>
    <w:rsid w:val="005061E6"/>
    <w:rsid w:val="0055575E"/>
    <w:rsid w:val="005A23C8"/>
    <w:rsid w:val="005B65C9"/>
    <w:rsid w:val="005C2AE0"/>
    <w:rsid w:val="005E2308"/>
    <w:rsid w:val="005F75E0"/>
    <w:rsid w:val="00614E24"/>
    <w:rsid w:val="00632FE6"/>
    <w:rsid w:val="006D128F"/>
    <w:rsid w:val="006F1561"/>
    <w:rsid w:val="00700C38"/>
    <w:rsid w:val="00716336"/>
    <w:rsid w:val="00736A24"/>
    <w:rsid w:val="00740B4B"/>
    <w:rsid w:val="00780B48"/>
    <w:rsid w:val="00790CE3"/>
    <w:rsid w:val="007A72CF"/>
    <w:rsid w:val="007C5314"/>
    <w:rsid w:val="007D475F"/>
    <w:rsid w:val="007D5FC4"/>
    <w:rsid w:val="00800920"/>
    <w:rsid w:val="00801F29"/>
    <w:rsid w:val="008038A5"/>
    <w:rsid w:val="00827DCB"/>
    <w:rsid w:val="00857C74"/>
    <w:rsid w:val="00892B61"/>
    <w:rsid w:val="008A53A2"/>
    <w:rsid w:val="008B35D5"/>
    <w:rsid w:val="008B5427"/>
    <w:rsid w:val="008C4BA9"/>
    <w:rsid w:val="008C71D6"/>
    <w:rsid w:val="008D1D5F"/>
    <w:rsid w:val="008E5503"/>
    <w:rsid w:val="008F1368"/>
    <w:rsid w:val="008F7B06"/>
    <w:rsid w:val="009363E2"/>
    <w:rsid w:val="00981652"/>
    <w:rsid w:val="00990F23"/>
    <w:rsid w:val="00993BA5"/>
    <w:rsid w:val="009D7622"/>
    <w:rsid w:val="009E0CE2"/>
    <w:rsid w:val="00A02A82"/>
    <w:rsid w:val="00A1425D"/>
    <w:rsid w:val="00A21ABA"/>
    <w:rsid w:val="00A70D34"/>
    <w:rsid w:val="00A91FA9"/>
    <w:rsid w:val="00AA1D8D"/>
    <w:rsid w:val="00AB2194"/>
    <w:rsid w:val="00AC1E82"/>
    <w:rsid w:val="00AC7D24"/>
    <w:rsid w:val="00AE2D4D"/>
    <w:rsid w:val="00AE4269"/>
    <w:rsid w:val="00B15FFB"/>
    <w:rsid w:val="00B47730"/>
    <w:rsid w:val="00B608A8"/>
    <w:rsid w:val="00B7365A"/>
    <w:rsid w:val="00B92EA1"/>
    <w:rsid w:val="00BD7CB7"/>
    <w:rsid w:val="00C03819"/>
    <w:rsid w:val="00C33427"/>
    <w:rsid w:val="00C359E9"/>
    <w:rsid w:val="00C55B79"/>
    <w:rsid w:val="00C670AD"/>
    <w:rsid w:val="00C70C0A"/>
    <w:rsid w:val="00C8217D"/>
    <w:rsid w:val="00CB0664"/>
    <w:rsid w:val="00CF36E9"/>
    <w:rsid w:val="00D34DC1"/>
    <w:rsid w:val="00D35674"/>
    <w:rsid w:val="00D36F82"/>
    <w:rsid w:val="00D60D0B"/>
    <w:rsid w:val="00D86637"/>
    <w:rsid w:val="00DA510E"/>
    <w:rsid w:val="00DE1733"/>
    <w:rsid w:val="00E25E5B"/>
    <w:rsid w:val="00E434AE"/>
    <w:rsid w:val="00E45530"/>
    <w:rsid w:val="00E74577"/>
    <w:rsid w:val="00E900DE"/>
    <w:rsid w:val="00E92AC8"/>
    <w:rsid w:val="00E97A24"/>
    <w:rsid w:val="00EA18E4"/>
    <w:rsid w:val="00EA31B7"/>
    <w:rsid w:val="00F20E98"/>
    <w:rsid w:val="00F53966"/>
    <w:rsid w:val="00F549A0"/>
    <w:rsid w:val="00F549F4"/>
    <w:rsid w:val="00FB0EE8"/>
    <w:rsid w:val="00FC693F"/>
    <w:rsid w:val="19A2B175"/>
    <w:rsid w:val="7067F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2BB022C-712C-484E-BAD4-82F12E74D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uiPriority="45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17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PlainTable5">
    <w:name w:val="Plain Table 5"/>
    <w:basedOn w:val="TableNormal"/>
    <w:uiPriority w:val="45"/>
    <w:rsid w:val="00156A84"/>
    <w:rPr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E2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Rob 1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chemeClr val="bg1"/>
        </a:solidFill>
        <a:ln w="9525">
          <a:solidFill>
            <a:schemeClr val="tx1"/>
          </a:solidFill>
        </a:ln>
      </a:spPr>
      <a:bodyPr rot="0" spcFirstLastPara="0" vertOverflow="overflow" horzOverflow="overflow" vert="horz" wrap="square" lIns="36000" tIns="36000" rIns="36000" bIns="36000" numCol="1" spcCol="0" rtlCol="0" fromWordArt="0" anchor="t" anchorCtr="0" forceAA="0" compatLnSpc="1">
        <a:prstTxWarp prst="textNoShape">
          <a:avLst/>
        </a:prstTxWarp>
        <a:noAutofit/>
      </a:bodyPr>
      <a:lstStyle>
        <a:defPPr marL="0" indent="0" algn="ctr">
          <a:buNone/>
          <a:defRPr sz="1600" dirty="0" err="1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9525" cap="flat">
          <a:solidFill>
            <a:schemeClr val="tx1"/>
          </a:solidFill>
          <a:miter lim="800000"/>
          <a:tailEnd type="none" w="med" len="lg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none" lIns="36000" tIns="36000" rIns="36000" bIns="36000" rtlCol="0">
        <a:spAutoFit/>
      </a:bodyPr>
      <a:lstStyle>
        <a:defPPr marL="0" indent="0">
          <a:buNone/>
          <a:defRPr sz="16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Rob 1" id="{673E01A3-FE30-6441-8B4E-CE31F2AEAD6F}" vid="{B87F98D1-F244-F147-8C94-C72F8BA394D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599</Words>
  <Characters>3416</Characters>
  <Application>Microsoft Office Word</Application>
  <DocSecurity>0</DocSecurity>
  <Lines>28</Lines>
  <Paragraphs>8</Paragraphs>
  <ScaleCrop>false</ScaleCrop>
  <Manager/>
  <Company/>
  <LinksUpToDate>false</LinksUpToDate>
  <CharactersWithSpaces>4007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 Markey</cp:lastModifiedBy>
  <cp:revision>116</cp:revision>
  <cp:lastPrinted>2025-12-01T16:36:00Z</cp:lastPrinted>
  <dcterms:created xsi:type="dcterms:W3CDTF">2013-12-23T23:15:00Z</dcterms:created>
  <dcterms:modified xsi:type="dcterms:W3CDTF">2025-12-01T16:36:00Z</dcterms:modified>
  <cp:category/>
</cp:coreProperties>
</file>