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pPr>
        <w:pStyle w:val="Heading1"/>
      </w:pPr>
      <w:r>
        <w:t>Unified Lending Platform (ULP) — Architecture Analysis</w:t>
      </w:r>
    </w:p>
    <w:p xmlns:w="http://schemas.openxmlformats.org/wordprocessingml/2006/main">
      <w:r>
        <w:rPr>
          <w:b/>
          <w:sz w:val="24"/>
          <w:color w:val="555555"/>
        </w:rPr>
        <w:t xml:space="preserve">Easy-to-Read Reference Guide with Tables &amp; Bullet Points</w:t>
      </w:r>
    </w:p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1. Document Overview</w:t>
      </w:r>
    </w:p>
    <w:tbl xmlns:w="http://schemas.openxmlformats.org/wordprocessingml/2006/main">
      <w:tblPr>
        <w:tblStyle w:val="TableGrid"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00"/>
        <w:gridCol w:w="4500"/>
      </w:tblGrid>
      <w:tr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Attribute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Detail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Project Name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Unified Lending Platform (ULP) — LOS + LMS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Prepared By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LawDocs / Infrabyx Group — Technology &amp; Regulatory Advisory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Document Type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Technical-cum-Functional Architecture Blueprint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Volume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Volume I of III — Functional &amp; Solution Architecture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Version / Date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v0.1 — June 2026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Confidential — For Internal &amp; Authorised Client Use Only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Standard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Big 4 Engagement Documentation Standard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Target Audience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Business Heads, Tech Leads, Compliance Officers, Developers</w:t>
            </w:r>
          </w:p>
        </w:tc>
      </w:tr>
    </w:tbl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2. What is ULP? (In Simple Words)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ULP is a complete digital lending software that helps banks, NBFCs, and co-operative banks manage the entire loan lifecycle — from the moment a customer applies to the final repayment.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It combines two major systems into one platform:</w:t>
      </w:r>
    </w:p>
    <w:p xmlns:w="http://schemas.openxmlformats.org/wordprocessingml/2006/main">
      <w:pPr>
        <w:numPr>
          <w:ilvl w:val="1"/>
          <w:numId w:val="1"/>
        </w:numPr>
        <w:ind w:left="1440" w:hanging="360"/>
        <w:spacing w:after="40"/>
      </w:pPr>
      <w:r>
        <w:rPr>
          <w:rFonts w:ascii="Calibri" w:hAnsi="Calibri"/>
          <w:sz w:val="20"/>
        </w:rPr>
        <w:t xml:space="preserve">LOS (Loan Origination System) — Handles everything BEFORE the loan is given: customer sign-up, document verification, credit check, approval, and money transfer.</w:t>
      </w:r>
    </w:p>
    <w:p xmlns:w="http://schemas.openxmlformats.org/wordprocessingml/2006/main">
      <w:pPr>
        <w:numPr>
          <w:ilvl w:val="1"/>
          <w:numId w:val="1"/>
        </w:numPr>
        <w:ind w:left="1440" w:hanging="360"/>
        <w:spacing w:after="40"/>
      </w:pPr>
      <w:r>
        <w:rPr>
          <w:rFonts w:ascii="Calibri" w:hAnsi="Calibri"/>
          <w:sz w:val="20"/>
        </w:rPr>
        <w:t xml:space="preserve">LMS (Loan Management System) — Handles everything AFTER the loan is given: EMI tracking, repayment collection, late payment alerts, NPA classification, and loan closure.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The platform is built to follow all RBI (Reserve Bank of India) rules automatically, so lenders stay compliant without manual effort.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It is cloud-based (runs on AWS), multi-tenant (many companies can use it at once securely), and has AI built-in to make smarter decisions.</w:t>
      </w:r>
    </w:p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3. Platform Modules at a Glance (64 Modules)</w:t>
      </w:r>
    </w:p>
    <w:tbl xmlns:w="http://schemas.openxmlformats.org/wordprocessingml/2006/main">
      <w:tblPr>
        <w:tblStyle w:val="TableGrid"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#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Module / Area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What It Does (Easy Explanation)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Lead Management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Captures potential borrower enquiries from website, app, DSA agents, and marketing campaigns. Tracks each lead until it becomes a loan application.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Customer Onboarding &amp; KYC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Digital sign-up for borrowers using Aadhaar, PAN, video KYC, and CKYC. Verifies identity and checks for fraud before proceeding.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Credit Assessment &amp; Underwriting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Pulls credit bureau reports (CIBIL, Experian, CRIF), bank statements, GST data, and income proof. Calculates a risk score to decide if the loan should be approved.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Loan Approval &amp; Disbursement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Multi-level approval workflow (Maker-Checker). Once approved, disburses money directly to the borrower's bank account via NEFT/RTGS/IMPS.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Loan Servicing (LMS Core)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Manages the running loan — generates EMI schedules, tracks repayments, handles prepayments, part-payments, and foreclosures.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Repayment &amp; Collection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Supports multiple payment channels: eNACH auto-debit, UPI Autopay, online payment, cash collection by agents. Sends reminders for due dates.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NPA &amp; Asset Classification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Automatically classifies overdue loans into SMA-0 (1-30 days), SMA-1 (31-60), SMA-2 (61-90), and NPA (90+ days) as per RBI norms.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Collections &amp; Recovery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Manages the full recovery process — automated SMS/call reminders, field agent allocation, legal notices, SARFAESI action, and one-time settlement (OTS).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Co-Lending Module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Allows Bank + NBFC to fund the same loan together (e.g., 80:20 split). Automates settlement, reconciliation, and RBI reporting for co-lending.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FLDG / DLG Management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Manages Default Loss Guarantee arrangements with fintech partners. Tracks guarantee utilisation and regulatory limits set by RBI.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Finance &amp; Accounting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Full general ledger (GL), chart of accounts, automated journal entries for every loan event (disbursement, repayment, NPA). Generates P&amp;L, balance sheet.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Compliance &amp; Audit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Tracks all RBI circulars, generates Key Facts Statement (KFS), maintains audit trails, and auto-generates compliance checklists.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13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Regulatory Reporting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Auto-generates mandatory returns: CRILC, CIC/credit bureau reporting, FIU reporting, DLG reporting, co-lending reporting, and PSL data.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Fraud Risk Management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Early Warning System (EWS) with rule-based and AI-based fraud detection. Follows RBI Fraud Risk Management Directions 2026.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Risk &amp; Provisioning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Calculates Expected Credit Loss (ECL), maintains provision registers, and tracks IRAC norms for NPA provisioning.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16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Analytics &amp; MIS Dashboards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Executive dashboards for AUM, collection efficiency, NPA ratios, branch performance, DSA performance, and profitability analysis.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17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Integration &amp; API Layer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REST APIs for connecting with credit bureaus, banks, payment gateways, Aadhaar/eKYC, NACH, UPI, e-Sign, e-Stamp, and CERSAI.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18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DSA / LSP Management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Manages Direct Selling Agents and Lending Service Providers — onboarding, commission tracking, performance monitoring, and RBI compliance.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19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Customer Portal &amp; Mobile App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Self-service portal for borrowers to view loan status, download statements, make payments, raise complaints, and upload documents.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Loan Restructuring &amp; OTS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Handles rescheduling of stressed loans, moratorium, rate modification, and One-Time Settlement processing with proper approvals.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21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Document &amp; e-Agreement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Digital loan agreements with e-Sign and e-Stamp integration. Stores all documents in a secure vault linked to each loan.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22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Reconciliation &amp; Escrow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Bank reconciliation, NACH reconciliation, co-lending settlement reconciliation, and escrow/nodal account management.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23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HR &amp; Payroll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Employee management, attendance, payroll, and branch operations — a unique competitive advantage not offered by lending-only competitors.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24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Deposits &amp; Debenture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For NBFCs that accept public deposits — manages deposit lifecycle, interest calculation, TDS, and SEBI compliance for listed NCDs.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25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AML / CFT &amp; FIU Reporting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Anti-Money Laundering checks, sanctions screening, suspicious transaction reporting (STR), and FIU-IND returns.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26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Climate Risk &amp; ESG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Green finance tagging, ESG scoring, and climate risk assessment for the loan portfolio.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27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Mobile App (Sales / DSA)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Field agent mobile app for lead capture, customer visits, document collection, and GPS-tagged field investigations.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28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Mobile App (Customer)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Borrower-facing mobile app for loan tracking, EMI payments, document uploads, and grievance raising.</w:t>
            </w:r>
          </w:p>
        </w:tc>
      </w:tr>
    </w:tbl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4. Technology Stack &amp; Cloud Architecture</w:t>
      </w:r>
    </w:p>
    <w:tbl xmlns:w="http://schemas.openxmlformats.org/wordprocessingml/2006/main">
      <w:tblPr>
        <w:tblStyle w:val="TableGrid"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Layer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Technology / Service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Frontend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React / Next.js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Modern web interface for all portals (admin, borrower, DSA)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Backend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Node.js / Express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REST API server handling business logic and workflows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Database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PostgreSQL (AWS RDS)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Stores all loan, customer, financial, and compliance data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Cache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Redis / ElastiCache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Speeds up frequently accessed data (dashboards, sessions)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Search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Elasticsearch / OpenSearch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Full-text search across loans, customers, and documents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File Storage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AWS S3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Secure storage for KYC documents, agreements, and reports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Message Queue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SQS / SNS / Kafka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Asynchronous processing of events (disbursement, EMI, alerts)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AI / ML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AWS SageMaker + Claude (Anthropic)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Credit scoring, fraud detection, document AI, copilots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Authentication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AWS Cognito / OAuth 2.0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Secure login, role-based access, multi-factor authentication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CI/CD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AWS CodePipeline / GitHub Actions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Automated build, test, and deployment pipeline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Monitoring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CloudWatch / Grafana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Real-time alerts, logging, and system health monitoring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Security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AES-256 encryption, WAF, VAPT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Data encryption at rest and in transit, firewall, pen testing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Multi-Tenancy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Schema-per-tenant on RDS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Each client's data is isolated securely on the same infra</w:t>
            </w:r>
          </w:p>
        </w:tc>
      </w:tr>
    </w:tbl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5. Loan Lifecycle — Step by Step</w:t>
      </w:r>
    </w:p>
    <w:tbl xmlns:w="http://schemas.openxmlformats.org/wordprocessingml/2006/main">
      <w:tblPr>
        <w:tblStyle w:val="TableGrid"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Step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Stage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System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What Happens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Lead Capture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Customer enquiry comes via website, app, DSA, or walk-in. System creates a lead record.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KYC &amp; Onboarding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Customer submits Aadhaar, PAN, selfie. System does e-KYC, CKYC check, and de-duplication.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Document Collection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Income proof, bank statements, address proof uploaded. AI reads and extracts data.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Credit Assessment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Credit bureau pull (CIBIL/Experian). System calculates risk score and debt-to-income ratio.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Underwriting &amp; Approval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Loan goes through maker-checker approval. Senior authority approves or rejects.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Sanction &amp; Agreement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Sanction letter generated. Borrower signs e-agreement with e-Sign and e-Stamp.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Disbursement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 to LMS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Money transferred to borrower's bank account via NEFT/RTGS. Loan moves to LMS.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EMI &amp; Repayment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LMS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EMI schedule generated. Auto-debit via eNACH/UPI Autopay. Manual payments also accepted.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Monitoring &amp; Collection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LMS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System tracks overdue payments. Sends reminders. Assigns field agents for collection.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NPA Classification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LMS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If 90+ days overdue, loan is classified as NPA. Provisioning entries are auto-created.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Recovery / OTS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LMS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Legal recovery (SARFAESI), arbitration, or One-Time Settlement offered to defaulting borrowers.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Closure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LMS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Final payment received. NOC generated. Lien released. CERSAI records updated.</w:t>
            </w:r>
          </w:p>
        </w:tc>
      </w:tr>
    </w:tbl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6. Co-Lending — How It Works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Co-lending means two lenders (typically a Bank + NBFC) jointly fund the same loan.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The bank provides the larger share (e.g., 80%) and the NBFC provides the smaller share (e.g., 20%).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The borrower gets a blended (mixed) interest rate — cheaper than a pure NBFC rate.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The platform automates:</w:t>
      </w:r>
    </w:p>
    <w:p xmlns:w="http://schemas.openxmlformats.org/wordprocessingml/2006/main">
      <w:pPr>
        <w:numPr>
          <w:ilvl w:val="1"/>
          <w:numId w:val="1"/>
        </w:numPr>
        <w:ind w:left="1440" w:hanging="360"/>
        <w:spacing w:after="40"/>
      </w:pPr>
      <w:r>
        <w:rPr>
          <w:rFonts w:ascii="Calibri" w:hAnsi="Calibri"/>
          <w:sz w:val="20"/>
        </w:rPr>
        <w:t xml:space="preserve">Partner onboarding with master agreement details and sharing ratios.</w:t>
      </w:r>
    </w:p>
    <w:p xmlns:w="http://schemas.openxmlformats.org/wordprocessingml/2006/main">
      <w:pPr>
        <w:numPr>
          <w:ilvl w:val="1"/>
          <w:numId w:val="1"/>
        </w:numPr>
        <w:ind w:left="1440" w:hanging="360"/>
        <w:spacing w:after="40"/>
      </w:pPr>
      <w:r>
        <w:rPr>
          <w:rFonts w:ascii="Calibri" w:hAnsi="Calibri"/>
          <w:sz w:val="20"/>
        </w:rPr>
        <w:t xml:space="preserve">Splitting each EMI repayment into the correct bank and NBFC portions.</w:t>
      </w:r>
    </w:p>
    <w:p xmlns:w="http://schemas.openxmlformats.org/wordprocessingml/2006/main">
      <w:pPr>
        <w:numPr>
          <w:ilvl w:val="1"/>
          <w:numId w:val="1"/>
        </w:numPr>
        <w:ind w:left="1440" w:hanging="360"/>
        <w:spacing w:after="40"/>
      </w:pPr>
      <w:r>
        <w:rPr>
          <w:rFonts w:ascii="Calibri" w:hAnsi="Calibri"/>
          <w:sz w:val="20"/>
        </w:rPr>
        <w:t xml:space="preserve">Escrow account management for settlement.</w:t>
      </w:r>
    </w:p>
    <w:p xmlns:w="http://schemas.openxmlformats.org/wordprocessingml/2006/main">
      <w:pPr>
        <w:numPr>
          <w:ilvl w:val="1"/>
          <w:numId w:val="1"/>
        </w:numPr>
        <w:ind w:left="1440" w:hanging="360"/>
        <w:spacing w:after="40"/>
      </w:pPr>
      <w:r>
        <w:rPr>
          <w:rFonts w:ascii="Calibri" w:hAnsi="Calibri"/>
          <w:sz w:val="20"/>
        </w:rPr>
        <w:t xml:space="preserve">Regulatory reporting to RBI for the co-lending portfolio.</w:t>
      </w:r>
    </w:p>
    <w:p xmlns:w="http://schemas.openxmlformats.org/wordprocessingml/2006/main">
      <w:pPr>
        <w:numPr>
          <w:ilvl w:val="1"/>
          <w:numId w:val="1"/>
        </w:numPr>
        <w:ind w:left="1440" w:hanging="360"/>
        <w:spacing w:after="40"/>
      </w:pPr>
      <w:r>
        <w:rPr>
          <w:rFonts w:ascii="Calibri" w:hAnsi="Calibri"/>
          <w:sz w:val="20"/>
        </w:rPr>
        <w:t xml:space="preserve">NPA sync — if the loan goes bad, both partners classify it as NPA simultaneously.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This follows the RBI Co-Lending Model (CLM) and Transfer &amp; Distribution of Credit Risk Directions 2025.</w:t>
      </w:r>
    </w:p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7. AI &amp; Machine Learning — Where It Is Used</w:t>
      </w:r>
    </w:p>
    <w:tbl xmlns:w="http://schemas.openxmlformats.org/wordprocessingml/2006/main">
      <w:tblPr>
        <w:tblStyle w:val="TableGrid"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AI Use Case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Module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What It Does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Credit Scoring (ML)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 — Credit Assessment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Predicts the probability of default using borrower data, bureau history, and behaviour patterns.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Fraud Detection (ML)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 — Onboarding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Identifies suspicious patterns in KYC documents, applications, and transaction behaviour.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Document AI (GenAI)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 — Document Collection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Reads uploaded documents (salary slips, bank statements, ITR) and extracts key fields automatically.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Collections Copilot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LMS — Collections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Suggests the best next action for each overdue account (call, SMS, legal notice, OTS offer).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Compliance Copilot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Compliance &amp; Audit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Answers compliance questions using RAG over RBI circulars and internal policy documents.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Chatbot (GenAI)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Customer Portal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AI-powered chatbot for borrower queries — loan status, EMI due dates, document requests.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NPA Prediction (ML)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Risk &amp; Provisioning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Predicts which performing loans are likely to become NPA in the next 30/60/90 days.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Anomaly Detection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Finance &amp; Reconciliation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Flags unusual transactions or mismatches during reconciliation.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Synthetic Data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Testing &amp; QA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Generates realistic test data for development without using real customer data.</w:t>
            </w:r>
          </w:p>
        </w:tc>
      </w:tr>
    </w:tbl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8. Key Regulatory Compliances Built Into the Platform</w:t>
      </w:r>
    </w:p>
    <w:tbl xmlns:w="http://schemas.openxmlformats.org/wordprocessingml/2006/main">
      <w:tblPr>
        <w:tblStyle w:val="TableGrid"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Regulation / Guideline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Year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How the Platform Handles It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RBI Digital Lending Directions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2025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KFS generation, consent management, DLG/FLDG tracking, LSP oversight, and tamper-proof audit trail.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RBI Co-Lending / Transfer of Credit Risk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2025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Automated co-lending module with split ratios, escrow settlement, and partner NPA sync.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RBI Fraud Risk Management Directions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2026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Early Warning System (EWS), fraud score, Real-time Fraud Analytics (RFA), and FMR reporting.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DPDP Act (Data Privacy)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2023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Consent ledger, data minimisation, right to erasure, and data processing agreements.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RBI IRAC Norms (NPA Classification)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2025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Automatic asset classification (SMA-0/1/2/NPA), provisioning calculations, and CRILC reporting.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FEMA / FCRA (Cross-Border)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Various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Foreign exchange transaction tracking, FCRA compliance for borrowings, ECB reporting.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AML/CFT &amp; FIU-IND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Various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KYC checks, sanctions screening, STR/CTR filing, and PEP (Politically Exposed Person) checks.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RBI Fair Practices Code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2026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Transparent interest charging, pre-payment penalty rules, and grievance redressal timelines.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CERSAI Registration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Various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Auto-registration of security interest for secured loans with CERSAI.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PSL (Priority Sector Lending)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Various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Automatic tagging and reporting for priority sector eligible loans.</w:t>
            </w:r>
          </w:p>
        </w:tc>
      </w:tr>
    </w:tbl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9. Competitive Comparison — Finbyx vs Others</w:t>
      </w:r>
    </w:p>
    <w:tbl xmlns:w="http://schemas.openxmlformats.org/wordprocessingml/2006/main">
      <w:tblPr>
        <w:tblStyle w:val="TableGrid"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Feature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AllCloud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Jaguar (ZIVA)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Pennant Technologies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LOS + LMS Integration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Strong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Strong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Very Strong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Collections &amp; Recovery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Built-in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Built-in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Built-in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Co-Lending (CLM)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Dedicated workflow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Supported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AI / ML Scoring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Not native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Agentic AI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Full Accounting (GL)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Not included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Not included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Not included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HR &amp; Payroll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Not included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Not included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Not included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Regulatory Compliance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Good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Good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Very Good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Mobile Apps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API Marketplace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Composable APIs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Cloud Native / SaaS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Yes</w:t>
            </w:r>
          </w:p>
        </w:tc>
      </w:tr>
    </w:tbl>
    <w:p xmlns:w="http://schemas.openxmlformats.org/wordprocessingml/2006/main">
      <w:r>
        <w:t/>
      </w:r>
    </w:p>
    <w:p xmlns:w="http://schemas.openxmlformats.org/wordprocessingml/2006/main">
      <w:pPr>
        <w:pStyle w:val="Heading2"/>
      </w:pPr>
      <w:r>
        <w:t>Finbyx Competitive Edge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Finbyx includes Full General Ledger (GL) Accounting and HR/Payroll natively — none of the competitors offer this.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AI-first approach with embedded credit scoring, fraud detection, document AI, and GenAI copilots.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Regulatory-by-design — compliance is built into every module, not bolted on later.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Modular &amp; configurable — banks, NBFCs, and UCBs can turn features on/off based on their entity type.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Aspirational benchmark: Pennant's 'Composable Lending Factory' architecture for API-first modular design.</w:t>
      </w:r>
    </w:p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10. Key Forms &amp; Screens in the Platform</w:t>
      </w:r>
    </w:p>
    <w:tbl xmlns:w="http://schemas.openxmlformats.org/wordprocessingml/2006/main">
      <w:tblPr>
        <w:tblStyle w:val="TableGrid"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00"/>
        <w:gridCol w:w="4500"/>
      </w:tblGrid>
      <w:tr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Form / Screen</w:t>
            </w:r>
          </w:p>
        </w:tc>
        <w:tc>
          <w:tcPr>
            <w:shd w:val="clear" w:color="auto" w:fill="1B2A4A"/>
          </w:tcPr>
          <w:p>
            <w:pPr>
              <w:spacing w:after="20"/>
            </w:pPr>
            <w:r>
              <w:rPr>
                <w:rFonts w:ascii="Calibri" w:hAnsi="Calibri"/>
                <w:b/>
                <w:sz w:val="18"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Lead Capture Form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Collects initial borrower details — name, phone, loan amount, product type.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Loan Application Form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Detailed borrower data — personal, employment, income, existing liabilities.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KYC Verification Screen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Aadhaar/PAN verification, CKYC check, video KYC, liveness detection.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Credit Assessment Dashboard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Displays bureau score, debt ratios, risk flags, and approval recommendation.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Sanction Letter Generator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Auto-generates sanction letter with terms, conditions, and rate of interest.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Disbursement Screen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Initiates fund transfer, captures UTR number, and confirms disbursement.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EMI Schedule View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Shows month-wise EMI breakdown — principal, interest, outstanding balance.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Collection Dashboard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Overdue accounts list with DPD, contact history, and next action.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Co-Lending Arrangement Setup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Partner details, split ratio, blended rate, escrow account configuration.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Compliance Checklist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RBI compliance status per circular — green/amber/red with evidence links.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Regulatory Return Register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Tracks all mandatory returns — due date, submission status, filing reference.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Company Setup Form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Multi-company onboarding — entity type, RBI registration, branch network.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RBAC Matrix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Role-based access control — defines who can view, edit, approve at each level.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Branch Setup Form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Branch details — location, manager, operational parameters, cash limits.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Repayment Mandate Form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eNACH / UPI Autopay mandate registration for automatic EMI deduction.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Tenant Onboarding Tracker</w:t>
            </w:r>
          </w:p>
        </w:tc>
        <w:tc>
          <w:tcPr/>
          <w:p>
            <w:pPr>
              <w:spacing w:after="20"/>
            </w:pPr>
            <w:r>
              <w:rPr>
                <w:rFonts w:ascii="Calibri" w:hAnsi="Calibri"/>
                <w:sz w:val="18"/>
              </w:rPr>
              <w:t xml:space="preserve">Stage-wise tracking for onboarding a new client onto the SaaS platform.</w:t>
            </w:r>
          </w:p>
        </w:tc>
      </w:tr>
    </w:tbl>
    <w:p xmlns:w="http://schemas.openxmlformats.org/wordprocessingml/2006/main">
      <w:r>
        <w:t/>
      </w:r>
    </w:p>
    <w:p xmlns:w="http://schemas.openxmlformats.org/wordprocessingml/2006/main">
      <w:pPr>
        <w:pStyle w:val="Heading1"/>
      </w:pPr>
      <w:r>
        <w:t>11. Summary — Key Takeaways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ULP is a ONE-STOP digital lending platform combining LOS + LMS + Collections + Accounting + Compliance + AI.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It targets Banks, NBFCs, HFCs, and Urban Co-operative Banks across India.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64 functional modules covering every aspect of the lending business.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Cloud-native (AWS), multi-tenant, and SaaS-ready from Day 1.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AI is embedded into every module — not an add-on but a core design principle.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Regulatory-by-design — follows all current RBI guidelines including Digital Lending 2025, Fraud Risk 2026, DPDP Act 2023, and Co-Lending CLM norms.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Competitive advantage over AllCloud, Jaguar (ZIVA), and Pennant — includes native accounting, HR, and AI capabilities that others lack.</w:t>
      </w:r>
    </w:p>
    <w:p xmlns:w="http://schemas.openxmlformats.org/wordprocessingml/2006/main">
      <w:pPr>
        <w:numPr>
          <w:ilvl w:val="0"/>
          <w:numId w:val="1"/>
        </w:numPr>
        <w:ind w:left="720" w:hanging="360"/>
        <w:spacing w:after="40"/>
      </w:pPr>
      <w:r>
        <w:rPr>
          <w:rFonts w:ascii="Calibri" w:hAnsi="Calibri"/>
          <w:sz w:val="20"/>
        </w:rPr>
        <w:t xml:space="preserve">This is Volume I of III — additional volumes will cover detailed data models and deployment/go-live playbook.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0"/>
    </w:rPr>
  </w:style>
  <w:style w:type="paragraph" w:styleId="Heading1">
    <w:name w:val="heading 1"/>
    <w:pPr>
      <w:spacing w:before="240" w:after="120"/>
    </w:pPr>
    <w:rPr>
      <w:rFonts w:ascii="Calibri" w:hAnsi="Calibri"/>
      <w:b/>
      <w:sz w:val="32"/>
      <w:color w:val="1B2A4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6"/>
      <w:color w:val="2E5090"/>
    </w:rPr>
  </w:style>
  <w:style w:type="paragraph" w:styleId="ListBullet">
    <w:name w:val="List Bullet"/>
    <w:pPr>
      <w:numPr>
        <w:numId w:val="1"/>
      </w:numPr>
      <w:spacing w:after="40"/>
      <w:ind w:left="720"/>
    </w:pPr>
    <w:rPr>
      <w:rFonts w:ascii="Calibri" w:hAnsi="Calibri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