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52"/>
          <w:szCs w:val="52"/>
        </w:rPr>
        <w:t xml:space="preserve">LOAN MANAGEMENT SYSTEM (LMS)</w:t>
      </w:r>
    </w:p>
    <w:p>
      <w:pPr>
        <w:spacing w:after="400" w:before="200"/>
        <w:jc w:val="center"/>
      </w:pPr>
      <w:r>
        <w:rPr>
          <w:b/>
          <w:bCs/>
          <w:color w:val="444444"/>
          <w:sz w:val="32"/>
          <w:szCs w:val="32"/>
        </w:rPr>
        <w:t xml:space="preserve">System Architecture &amp; Functional Specification</w:t>
      </w:r>
    </w:p>
    <w:p>
      <w:pPr>
        <w:spacing w:after="120"/>
        <w:jc w:val="center"/>
      </w:pPr>
      <w:r>
        <w:rPr>
          <w:i/>
          <w:iCs/>
          <w:sz w:val="24"/>
          <w:szCs w:val="24"/>
        </w:rPr>
        <w:t xml:space="preserve">For NBFC Lending &amp; Accounting Operations — SaaS Web Platform</w:t>
      </w:r>
    </w:p>
    <w:p>
      <w:pPr>
        <w:spacing w:before="800"/>
        <w:jc w:val="center"/>
      </w:pPr>
      <w:r>
        <w:rPr>
          <w:color w:val="555555"/>
          <w:sz w:val="20"/>
          <w:szCs w:val="20"/>
        </w:rPr>
        <w:t xml:space="preserve">Covers: Multi-product lending • Embedded accounting/GL • RBI regulatory reporting • Credit Information Company (CIC) reporting • Borrower onboarding forms • Product application forms</w:t>
      </w:r>
    </w:p>
    <w:p>
      <w:pPr>
        <w:spacing w:before="1200"/>
        <w:jc w:val="center"/>
      </w:pPr>
      <w:r>
        <w:rPr>
          <w:sz w:val="20"/>
          <w:szCs w:val="20"/>
        </w:rPr>
        <w:t xml:space="preserve">Prepared for: LawDocs</w:t>
      </w:r>
    </w:p>
    <w:p>
      <w:pPr>
        <w:spacing w:before="80"/>
        <w:jc w:val="center"/>
      </w:pPr>
      <w:r>
        <w:rPr>
          <w:sz w:val="20"/>
          <w:szCs w:val="20"/>
        </w:rPr>
        <w:t>Date: July 2, 2026 — Version 5.0</w:t>
      </w:r>
    </w:p>
    <w:p>
      <w:r>
        <w:br w:type="page"/>
      </w:r>
    </w:p>
    <w:p>
      <w:r>
        <w:rPr>
          <w:rFonts w:ascii="Arial" w:hAnsi="Arial" w:cs="Arial"/>
          <w:b/>
          <w:color w:val="1F4E78"/>
          <w:sz w:val="28"/>
        </w:rPr>
        <w:t xml:space="preserve">Volume 1 of 3 — Functional Specification (Sections 1–23)</w:t>
      </w:r>
    </w:p>
    <w:p>
      <w:r>
        <w:rPr>
          <w:rFonts w:ascii="Arial" w:hAnsi="Arial" w:cs="Arial"/>
          <w:i/>
          <w:sz w:val="20"/>
        </w:rPr>
        <w:t xml:space="preserve">Cross-references to Sections 24–98 resolve to Volumes 2 and 3. The master document remains LMS_Architecture_Specification_v8.docx.</w:t>
      </w:r>
    </w:p>
    <w:p>
      <w:pPr>
        <w:pStyle w:val="Heading2"/>
      </w:pPr>
      <w:r>
        <w:t>Document Control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Attribute</w:t>
            </w:r>
          </w:p>
        </w:tc>
        <w:tc>
          <w:tcPr>
            <w:tcW w:w="7060" w:type="dxa"/>
            <w:shd w:val="clear" w:color="auto" w:fill="1F4E78"/>
          </w:tcPr>
          <w:p>
            <w:pPr>
              <w:spacing w:after="0" w:before="0"/>
            </w:pPr>
            <w:r/>
            <w:r>
              <w:rPr>
                <w:rFonts w:ascii="Arial" w:hAnsi="Arial" w:cs="Arial"/>
                <w:b/>
                <w:color w:val="FFFFFF"/>
                <w:sz w:val="17"/>
              </w:rPr>
              <w:t>Detail</w:t>
            </w:r>
          </w:p>
        </w:tc>
      </w:tr>
      <w:tr>
        <w:tc>
          <w:tcPr>
            <w:tcW w:w="2300" w:type="dxa"/>
          </w:tcPr>
          <w:p>
            <w:pPr>
              <w:spacing w:after="0" w:before="0"/>
            </w:pPr>
            <w:r/>
            <w:r>
              <w:rPr>
                <w:rFonts w:ascii="Arial" w:hAnsi="Arial" w:cs="Arial"/>
                <w:b w:val="0"/>
                <w:sz w:val="17"/>
              </w:rPr>
              <w:t>Document title</w:t>
            </w:r>
          </w:p>
        </w:tc>
        <w:tc>
          <w:tcPr>
            <w:tcW w:w="7060" w:type="dxa"/>
          </w:tcPr>
          <w:p>
            <w:pPr>
              <w:spacing w:after="0" w:before="0"/>
            </w:pPr>
            <w:r/>
            <w:r>
              <w:rPr>
                <w:rFonts w:ascii="Arial" w:hAnsi="Arial" w:cs="Arial"/>
                <w:b w:val="0"/>
                <w:sz w:val="17"/>
              </w:rPr>
              <w:t>Loan Management System (LMS) — System Architecture &amp; Functional Specification</w:t>
            </w:r>
          </w:p>
        </w:tc>
      </w:tr>
      <w:tr>
        <w:tc>
          <w:tcPr>
            <w:tcW w:w="2300" w:type="dxa"/>
          </w:tcPr>
          <w:p>
            <w:pPr>
              <w:spacing w:after="0" w:before="0"/>
            </w:pPr>
            <w:r/>
            <w:r>
              <w:rPr>
                <w:rFonts w:ascii="Arial" w:hAnsi="Arial" w:cs="Arial"/>
                <w:b w:val="0"/>
                <w:sz w:val="17"/>
              </w:rPr>
              <w:t>Prepared for</w:t>
            </w:r>
          </w:p>
        </w:tc>
        <w:tc>
          <w:tcPr>
            <w:tcW w:w="7060" w:type="dxa"/>
          </w:tcPr>
          <w:p>
            <w:pPr>
              <w:spacing w:after="0" w:before="0"/>
            </w:pPr>
            <w:r/>
            <w:r>
              <w:rPr>
                <w:rFonts w:ascii="Arial" w:hAnsi="Arial" w:cs="Arial"/>
                <w:b w:val="0"/>
                <w:sz w:val="17"/>
              </w:rPr>
              <w:t>LawDocs</w:t>
            </w:r>
          </w:p>
        </w:tc>
      </w:tr>
      <w:tr>
        <w:tc>
          <w:tcPr>
            <w:tcW w:w="2300" w:type="dxa"/>
          </w:tcPr>
          <w:p>
            <w:pPr>
              <w:spacing w:after="0" w:before="0"/>
            </w:pPr>
            <w:r/>
            <w:r>
              <w:rPr>
                <w:rFonts w:ascii="Arial" w:hAnsi="Arial" w:cs="Arial"/>
                <w:b w:val="0"/>
                <w:sz w:val="17"/>
              </w:rPr>
              <w:t>Version</w:t>
            </w:r>
          </w:p>
        </w:tc>
        <w:tc>
          <w:tcPr>
            <w:tcW w:w="7060" w:type="dxa"/>
          </w:tcPr>
          <w:p>
            <w:pPr>
              <w:spacing w:after="0" w:before="0"/>
            </w:pPr>
            <w:r>
              <w:t>5.0</w:t>
            </w:r>
            <w:r>
              <w:rPr>
                <w:rFonts w:ascii="Arial" w:hAnsi="Arial" w:cs="Arial"/>
                <w:b w:val="0"/>
                <w:sz w:val="17"/>
              </w:rPr>
            </w:r>
          </w:p>
        </w:tc>
      </w:tr>
      <w:tr>
        <w:tc>
          <w:tcPr>
            <w:tcW w:w="2300" w:type="dxa"/>
          </w:tcPr>
          <w:p>
            <w:pPr>
              <w:spacing w:after="0" w:before="0"/>
            </w:pPr>
            <w:r/>
            <w:r>
              <w:rPr>
                <w:rFonts w:ascii="Arial" w:hAnsi="Arial" w:cs="Arial"/>
                <w:b w:val="0"/>
                <w:sz w:val="17"/>
              </w:rPr>
              <w:t>Status</w:t>
            </w:r>
          </w:p>
        </w:tc>
        <w:tc>
          <w:tcPr>
            <w:tcW w:w="7060" w:type="dxa"/>
          </w:tcPr>
          <w:p>
            <w:pPr>
              <w:spacing w:after="0" w:before="0"/>
            </w:pPr>
            <w:r/>
            <w:r>
              <w:rPr>
                <w:rFonts w:ascii="Arial" w:hAnsi="Arial" w:cs="Arial"/>
                <w:b w:val="0"/>
                <w:sz w:val="17"/>
              </w:rPr>
              <w:t>For review</w:t>
            </w:r>
          </w:p>
        </w:tc>
      </w:tr>
      <w:tr>
        <w:tc>
          <w:tcPr>
            <w:tcW w:w="2300" w:type="dxa"/>
          </w:tcPr>
          <w:p>
            <w:pPr>
              <w:spacing w:after="0" w:before="0"/>
            </w:pPr>
            <w:r/>
            <w:r>
              <w:rPr>
                <w:rFonts w:ascii="Arial" w:hAnsi="Arial" w:cs="Arial"/>
                <w:b w:val="0"/>
                <w:sz w:val="17"/>
              </w:rPr>
              <w:t>Classification</w:t>
            </w:r>
          </w:p>
        </w:tc>
        <w:tc>
          <w:tcPr>
            <w:tcW w:w="7060" w:type="dxa"/>
          </w:tcPr>
          <w:p>
            <w:pPr>
              <w:spacing w:after="0" w:before="0"/>
            </w:pPr>
            <w:r/>
            <w:r>
              <w:rPr>
                <w:rFonts w:ascii="Arial" w:hAnsi="Arial" w:cs="Arial"/>
                <w:b w:val="0"/>
                <w:sz w:val="17"/>
              </w:rPr>
              <w:t>Confidential</w:t>
            </w:r>
          </w:p>
        </w:tc>
      </w:tr>
      <w:tr>
        <w:tc>
          <w:tcPr>
            <w:tcW w:w="2300" w:type="dxa"/>
          </w:tcPr>
          <w:p>
            <w:pPr>
              <w:spacing w:after="0" w:before="0"/>
            </w:pPr>
            <w:r/>
            <w:r>
              <w:rPr>
                <w:rFonts w:ascii="Arial" w:hAnsi="Arial" w:cs="Arial"/>
                <w:b w:val="0"/>
                <w:sz w:val="17"/>
              </w:rPr>
              <w:t>Owner</w:t>
            </w:r>
          </w:p>
        </w:tc>
        <w:tc>
          <w:tcPr>
            <w:tcW w:w="7060" w:type="dxa"/>
          </w:tcPr>
          <w:p>
            <w:pPr>
              <w:spacing w:after="0" w:before="0"/>
            </w:pPr>
            <w:r/>
            <w:r>
              <w:rPr>
                <w:rFonts w:ascii="Arial" w:hAnsi="Arial" w:cs="Arial"/>
                <w:b w:val="0"/>
                <w:sz w:val="17"/>
              </w:rPr>
              <w:t>LawDocs (product &amp; technology)</w:t>
            </w:r>
          </w:p>
        </w:tc>
      </w:tr>
      <w:tr>
        <w:tc>
          <w:tcPr>
            <w:tcW w:w="2300" w:type="dxa"/>
          </w:tcPr>
          <w:p>
            <w:pPr>
              <w:spacing w:after="0" w:before="0"/>
            </w:pPr>
            <w:r/>
            <w:r>
              <w:rPr>
                <w:rFonts w:ascii="Arial" w:hAnsi="Arial" w:cs="Arial"/>
                <w:b w:val="0"/>
                <w:sz w:val="17"/>
              </w:rPr>
              <w:t>Date</w:t>
            </w:r>
          </w:p>
        </w:tc>
        <w:tc>
          <w:tcPr>
            <w:tcW w:w="7060" w:type="dxa"/>
          </w:tcPr>
          <w:p>
            <w:pPr>
              <w:spacing w:after="0" w:before="0"/>
            </w:pPr>
            <w:r>
              <w:t>As on cover</w:t>
            </w:r>
            <w:r>
              <w:rPr>
                <w:rFonts w:ascii="Arial" w:hAnsi="Arial" w:cs="Arial"/>
                <w:b w:val="0"/>
                <w:sz w:val="17"/>
              </w:rPr>
            </w:r>
          </w:p>
        </w:tc>
      </w:tr>
    </w:tbl>
    <w:p/>
    <w:p>
      <w:pPr>
        <w:pStyle w:val="Heading2"/>
      </w:pPr>
      <w:r>
        <w:t>Version History &amp; Change 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8260"/>
      </w:tblGrid>
      <w:tr>
        <w:tc>
          <w:tcPr>
            <w:tcW w:w="1100" w:type="dxa"/>
            <w:shd w:val="clear" w:color="auto" w:fill="1F4E78"/>
          </w:tcPr>
          <w:p>
            <w:pPr>
              <w:spacing w:after="0" w:before="0"/>
            </w:pPr>
            <w:r/>
            <w:r>
              <w:rPr>
                <w:rFonts w:ascii="Arial" w:hAnsi="Arial" w:cs="Arial"/>
                <w:b/>
                <w:color w:val="FFFFFF"/>
                <w:sz w:val="17"/>
              </w:rPr>
              <w:t>Version</w:t>
            </w:r>
          </w:p>
        </w:tc>
        <w:tc>
          <w:tcPr>
            <w:tcW w:w="8260" w:type="dxa"/>
            <w:shd w:val="clear" w:color="auto" w:fill="1F4E78"/>
          </w:tcPr>
          <w:p>
            <w:pPr>
              <w:spacing w:after="0" w:before="0"/>
            </w:pPr>
            <w:r/>
            <w:r>
              <w:rPr>
                <w:rFonts w:ascii="Arial" w:hAnsi="Arial" w:cs="Arial"/>
                <w:b/>
                <w:color w:val="FFFFFF"/>
                <w:sz w:val="17"/>
              </w:rPr>
              <w:t>Summary of changes</w:t>
            </w:r>
          </w:p>
        </w:tc>
      </w:tr>
      <w:tr>
        <w:tc>
          <w:tcPr>
            <w:tcW w:w="1100" w:type="dxa"/>
          </w:tcPr>
          <w:p>
            <w:pPr>
              <w:spacing w:after="0" w:before="0"/>
            </w:pPr>
            <w:r/>
            <w:r>
              <w:rPr>
                <w:rFonts w:ascii="Arial" w:hAnsi="Arial" w:cs="Arial"/>
                <w:b w:val="0"/>
                <w:sz w:val="17"/>
              </w:rPr>
              <w:t>1.0</w:t>
            </w:r>
          </w:p>
        </w:tc>
        <w:tc>
          <w:tcPr>
            <w:tcW w:w="8260" w:type="dxa"/>
          </w:tcPr>
          <w:p>
            <w:pPr>
              <w:spacing w:after="0" w:before="0"/>
            </w:pPr>
            <w:r/>
            <w:r>
              <w:rPr>
                <w:rFonts w:ascii="Arial" w:hAnsi="Arial" w:cs="Arial"/>
                <w:b w:val="0"/>
                <w:sz w:val="17"/>
              </w:rPr>
              <w:t>Baseline: architecture, 33 loan products, borrower onboarding, lifecycle, underwriting, servicing, collections, embedded GL, RBI &amp; CIC reporting, data model, calculation engine, developer specs, API samples.</w:t>
            </w:r>
          </w:p>
        </w:tc>
      </w:tr>
      <w:tr>
        <w:tc>
          <w:tcPr>
            <w:tcW w:w="1100" w:type="dxa"/>
          </w:tcPr>
          <w:p>
            <w:pPr>
              <w:spacing w:after="0" w:before="0"/>
            </w:pPr>
            <w:r/>
            <w:r>
              <w:rPr>
                <w:rFonts w:ascii="Arial" w:hAnsi="Arial" w:cs="Arial"/>
                <w:b w:val="0"/>
                <w:sz w:val="17"/>
              </w:rPr>
              <w:t>2.0</w:t>
            </w:r>
          </w:p>
        </w:tc>
        <w:tc>
          <w:tcPr>
            <w:tcW w:w="8260" w:type="dxa"/>
          </w:tcPr>
          <w:p>
            <w:pPr>
              <w:spacing w:after="0" w:before="0"/>
            </w:pPr>
            <w:r/>
            <w:r>
              <w:rPr>
                <w:rFonts w:ascii="Arial" w:hAnsi="Arial" w:cs="Arial"/>
                <w:b w:val="0"/>
                <w:sz w:val="17"/>
              </w:rPr>
              <w:t>Depth &amp; compliance: diagrams, quantified NFRs, money precision/ledger integrity, Ind AS 109 ECL, GST/TDS, NPA income reversal, RBI IT/cyber &amp; DPDP, collections conduct, fraud/EWS, integration resilience, data dictionary, API standard, test strategy, DevOps, field standards.</w:t>
            </w:r>
          </w:p>
        </w:tc>
      </w:tr>
      <w:tr>
        <w:tc>
          <w:tcPr>
            <w:tcW w:w="1100" w:type="dxa"/>
          </w:tcPr>
          <w:p>
            <w:pPr>
              <w:spacing w:after="0" w:before="0"/>
            </w:pPr>
            <w:r/>
            <w:r>
              <w:rPr>
                <w:rFonts w:ascii="Arial" w:hAnsi="Arial" w:cs="Arial"/>
                <w:b w:val="0"/>
                <w:sz w:val="17"/>
              </w:rPr>
              <w:t>3.0</w:t>
            </w:r>
          </w:p>
        </w:tc>
        <w:tc>
          <w:tcPr>
            <w:tcW w:w="8260" w:type="dxa"/>
          </w:tcPr>
          <w:p>
            <w:pPr>
              <w:spacing w:after="0" w:before="0"/>
            </w:pPr>
            <w:r/>
            <w:r>
              <w:rPr>
                <w:rFonts w:ascii="Arial" w:hAnsi="Arial" w:cs="Arial"/>
                <w:b w:val="0"/>
                <w:sz w:val="17"/>
              </w:rPr>
              <w:t>Comprehensive calculation engine (all interest/charge/penalty methods with worked examples); Big-4 layers: RTM, regulatory obligations register, business case, build-vs-buy, TOM, roadmap, RAID, resilience, benefits, accessibility, legal; appendices (OpenAPI, DDL, STRIDE, model risk, data governance, MIS).</w:t>
            </w:r>
          </w:p>
        </w:tc>
      </w:tr>
      <w:tr>
        <w:tc>
          <w:tcPr>
            <w:tcW w:w="1100" w:type="dxa"/>
          </w:tcPr>
          <w:p>
            <w:pPr>
              <w:spacing w:after="0" w:before="0"/>
            </w:pPr>
            <w:r/>
            <w:r>
              <w:rPr>
                <w:rFonts w:ascii="Arial" w:hAnsi="Arial" w:cs="Arial"/>
                <w:b w:val="0"/>
                <w:sz w:val="17"/>
              </w:rPr>
              <w:t>4.0</w:t>
            </w:r>
          </w:p>
        </w:tc>
        <w:tc>
          <w:tcPr>
            <w:tcW w:w="8260" w:type="dxa"/>
          </w:tcPr>
          <w:p>
            <w:pPr>
              <w:spacing w:after="0" w:before="0"/>
            </w:pPr>
            <w:r/>
            <w:r>
              <w:rPr>
                <w:rFonts w:ascii="Arial" w:hAnsi="Arial" w:cs="Arial"/>
                <w:b w:val="0"/>
                <w:sz w:val="17"/>
              </w:rPr>
              <w:t>Financial ratios &amp; regulatory computation (CRAR, leverage, RWA, GNPA/NNPA, LCR, etc.); accounting-standards applicability (Ind AS for Middle/Upper-Layer NBFCs; banking norms for UCBs) &amp; enhanced accounting; developer finance primer; loan-product build pack; front matter, TOC, error fixes and deepened content.</w:t>
            </w:r>
          </w:p>
        </w:tc>
      </w:tr>
      <w:tr>
        <w:tc>
          <w:tcPr>
            <w:tcW w:w="1100" w:type="dxa"/>
          </w:tcPr>
          <w:p>
            <w:pPr>
              <w:spacing w:after="0" w:before="0"/>
            </w:pPr>
            <w:r>
              <w:t>5.0</w:t>
            </w:r>
            <w:r>
              <w:rPr>
                <w:rFonts w:ascii="Arial" w:hAnsi="Arial" w:cs="Arial"/>
                <w:b w:val="0"/>
                <w:sz w:val="17"/>
              </w:rPr>
            </w:r>
          </w:p>
        </w:tc>
        <w:tc>
          <w:tcPr>
            <w:tcW w:w="8260" w:type="dxa"/>
          </w:tcPr>
          <w:p>
            <w:pPr>
              <w:spacing w:after="0" w:before="0"/>
            </w:pPr>
            <w:r>
              <w:t>Servicing &amp; governance completion: payment appropriation, excess funds &amp; refunds (§88); write-off/OTS lifecycle (§89); field cash &amp; receipt controls (§90); deceased-borrower settlement (§91); party MDM &amp; merge (§92); offline field-app sync &amp; device security (§93); event architecture (§94); configuration lifecycle governance (§95); scorecard champion–challenger (§96); archival &amp; DPDP purge certification (§97); borrower-portal session/ATO controls (§98). Superseded-section banners added (§§14, 15, 22, 24, 26); non-field reference tables re-headed; document split into three volumes for maintainability.</w:t>
            </w:r>
            <w:r>
              <w:rPr>
                <w:rFonts w:ascii="Arial" w:hAnsi="Arial" w:cs="Arial"/>
                <w:b w:val="0"/>
                <w:sz w:val="17"/>
              </w:rPr>
            </w:r>
          </w:p>
        </w:tc>
      </w:tr>
    </w:tbl>
    <w:p/>
    <w:p>
      <w:pPr>
        <w:pStyle w:val="Heading2"/>
      </w:pPr>
      <w:r>
        <w:t>Distribution</w:t>
      </w:r>
    </w:p>
    <w:p>
      <w:r>
        <w:rPr>
          <w:rFonts w:ascii="Arial" w:hAnsi="Arial" w:cs="Arial"/>
          <w:b w:val="0"/>
          <w:i w:val="0"/>
          <w:sz w:val="22"/>
        </w:rPr>
        <w:t>Board / Steering Committee sponsor; Product, Credit, Finance/Accounts, Collections, Compliance and IT/CISO leads; implementation partner. Distribution is controlled given the Confidential classification.</w:t>
      </w:r>
    </w:p>
    <w:p>
      <w:pPr>
        <w:pStyle w:val="Heading1"/>
      </w:pPr>
      <w:r>
        <w:t xml:space="preserve">Table of Contents</w:t>
      </w:r>
    </w:p>
    <w:p>
      <w:pPr>
        <w:tabs>
          <w:tab w:pos="9936" w:val="right" w:leader="dot"/>
        </w:tabs>
        <w:spacing w:after="20"/>
      </w:pPr>
      <w:r>
        <w:rPr>
          <w:rFonts w:ascii="Arial" w:hAnsi="Arial" w:cs="Arial"/>
          <w:b w:val="0"/>
          <w:sz w:val="19"/>
        </w:rPr>
        <w:t xml:space="preserve">      Document Control</w:t>
      </w:r>
      <w:r>
        <w:rPr>
          <w:rFonts w:ascii="Arial" w:hAnsi="Arial" w:cs="Arial"/>
          <w:b w:val="0"/>
          <w:sz w:val="19"/>
        </w:rPr>
        <w:tab/>
        <w:t>2</w:t>
      </w:r>
    </w:p>
    <w:p>
      <w:pPr>
        <w:tabs>
          <w:tab w:pos="9936" w:val="right" w:leader="dot"/>
        </w:tabs>
        <w:spacing w:after="20"/>
      </w:pPr>
      <w:r>
        <w:rPr>
          <w:rFonts w:ascii="Arial" w:hAnsi="Arial" w:cs="Arial"/>
          <w:b w:val="0"/>
          <w:sz w:val="19"/>
        </w:rPr>
        <w:t xml:space="preserve">      Version History &amp; Change Log</w:t>
      </w:r>
      <w:r>
        <w:rPr>
          <w:rFonts w:ascii="Arial" w:hAnsi="Arial" w:cs="Arial"/>
          <w:b w:val="0"/>
          <w:sz w:val="19"/>
        </w:rPr>
        <w:tab/>
        <w:t>2</w:t>
      </w:r>
    </w:p>
    <w:p>
      <w:pPr>
        <w:tabs>
          <w:tab w:pos="9936" w:val="right" w:leader="dot"/>
        </w:tabs>
        <w:spacing w:after="20"/>
      </w:pPr>
      <w:r>
        <w:rPr>
          <w:rFonts w:ascii="Arial" w:hAnsi="Arial" w:cs="Arial"/>
          <w:b w:val="0"/>
          <w:sz w:val="19"/>
        </w:rPr>
        <w:t xml:space="preserve">      Distribution</w:t>
      </w:r>
      <w:r>
        <w:rPr>
          <w:rFonts w:ascii="Arial" w:hAnsi="Arial" w:cs="Arial"/>
          <w:b w:val="0"/>
          <w:sz w:val="19"/>
        </w:rPr>
        <w:tab/>
        <w:t>2</w:t>
      </w:r>
    </w:p>
    <w:p>
      <w:pPr>
        <w:tabs>
          <w:tab w:pos="9936" w:val="right" w:leader="dot"/>
        </w:tabs>
        <w:spacing w:after="20"/>
      </w:pPr>
      <w:r>
        <w:rPr>
          <w:rFonts w:ascii="Arial" w:hAnsi="Arial" w:cs="Arial"/>
          <w:b/>
          <w:color w:val="1F4E78"/>
          <w:sz w:val="21"/>
        </w:rPr>
        <w:t>Executive Summary</w:t>
      </w:r>
      <w:r>
        <w:rPr>
          <w:rFonts w:ascii="Arial" w:hAnsi="Arial" w:cs="Arial"/>
          <w:b w:val="0"/>
          <w:sz w:val="20"/>
        </w:rPr>
        <w:tab/>
        <w:t>10</w:t>
      </w:r>
    </w:p>
    <w:p>
      <w:pPr>
        <w:tabs>
          <w:tab w:pos="9936" w:val="right" w:leader="dot"/>
        </w:tabs>
        <w:spacing w:after="20"/>
      </w:pPr>
      <w:r>
        <w:rPr>
          <w:rFonts w:ascii="Arial" w:hAnsi="Arial" w:cs="Arial"/>
          <w:b/>
          <w:color w:val="1F4E78"/>
          <w:sz w:val="21"/>
        </w:rPr>
        <w:t>How to Read This Document (Single-Source-of-Truth Map)</w:t>
      </w:r>
      <w:r>
        <w:rPr>
          <w:rFonts w:ascii="Arial" w:hAnsi="Arial" w:cs="Arial"/>
          <w:b w:val="0"/>
          <w:sz w:val="20"/>
        </w:rPr>
        <w:tab/>
        <w:t>10</w:t>
      </w:r>
    </w:p>
    <w:p>
      <w:pPr>
        <w:tabs>
          <w:tab w:pos="9936" w:val="right" w:leader="dot"/>
        </w:tabs>
        <w:spacing w:after="20"/>
      </w:pPr>
      <w:r>
        <w:rPr>
          <w:rFonts w:ascii="Arial" w:hAnsi="Arial" w:cs="Arial"/>
          <w:b/>
          <w:color w:val="1F4E78"/>
          <w:sz w:val="21"/>
        </w:rPr>
        <w:t>Glossary</w:t>
      </w:r>
      <w:r>
        <w:rPr>
          <w:rFonts w:ascii="Arial" w:hAnsi="Arial" w:cs="Arial"/>
          <w:b w:val="0"/>
          <w:sz w:val="20"/>
        </w:rPr>
        <w:tab/>
        <w:t>10</w:t>
      </w:r>
    </w:p>
    <w:p>
      <w:pPr>
        <w:tabs>
          <w:tab w:pos="9936" w:val="right" w:leader="dot"/>
        </w:tabs>
        <w:spacing w:after="20"/>
      </w:pPr>
      <w:r>
        <w:rPr>
          <w:rFonts w:ascii="Arial" w:hAnsi="Arial" w:cs="Arial"/>
          <w:b/>
          <w:color w:val="1F4E78"/>
          <w:sz w:val="21"/>
        </w:rPr>
        <w:t>Abbreviations</w:t>
      </w:r>
      <w:r>
        <w:rPr>
          <w:rFonts w:ascii="Arial" w:hAnsi="Arial" w:cs="Arial"/>
          <w:b w:val="0"/>
          <w:sz w:val="20"/>
        </w:rPr>
        <w:tab/>
        <w:t>11</w:t>
      </w:r>
    </w:p>
    <w:p>
      <w:pPr>
        <w:tabs>
          <w:tab w:pos="9936" w:val="right" w:leader="dot"/>
        </w:tabs>
        <w:spacing w:after="20"/>
      </w:pPr>
      <w:r>
        <w:rPr>
          <w:rFonts w:ascii="Arial" w:hAnsi="Arial" w:cs="Arial"/>
          <w:b/>
          <w:color w:val="1F4E78"/>
          <w:sz w:val="21"/>
        </w:rPr>
        <w:t>List of Figures</w:t>
      </w:r>
      <w:r>
        <w:rPr>
          <w:rFonts w:ascii="Arial" w:hAnsi="Arial" w:cs="Arial"/>
          <w:b w:val="0"/>
          <w:sz w:val="20"/>
        </w:rPr>
        <w:tab/>
        <w:t>11</w:t>
      </w:r>
    </w:p>
    <w:p>
      <w:pPr>
        <w:tabs>
          <w:tab w:pos="9936" w:val="right" w:leader="dot"/>
        </w:tabs>
        <w:spacing w:after="20"/>
      </w:pPr>
      <w:r>
        <w:rPr>
          <w:rFonts w:ascii="Arial" w:hAnsi="Arial" w:cs="Arial"/>
          <w:b/>
          <w:color w:val="1F4E78"/>
          <w:sz w:val="21"/>
        </w:rPr>
        <w:t>Index of Key Reference Tables</w:t>
      </w:r>
      <w:r>
        <w:rPr>
          <w:rFonts w:ascii="Arial" w:hAnsi="Arial" w:cs="Arial"/>
          <w:b w:val="0"/>
          <w:sz w:val="20"/>
        </w:rPr>
        <w:tab/>
        <w:t>12</w:t>
      </w:r>
    </w:p>
    <w:p>
      <w:pPr>
        <w:tabs>
          <w:tab w:pos="9936" w:val="right" w:leader="dot"/>
        </w:tabs>
        <w:spacing w:after="20"/>
      </w:pPr>
      <w:r>
        <w:rPr>
          <w:rFonts w:ascii="Arial" w:hAnsi="Arial" w:cs="Arial"/>
          <w:b/>
          <w:color w:val="1F4E78"/>
          <w:sz w:val="21"/>
        </w:rPr>
        <w:t>1. System Architecture Overview</w:t>
      </w:r>
      <w:r>
        <w:rPr>
          <w:rFonts w:ascii="Arial" w:hAnsi="Arial" w:cs="Arial"/>
          <w:b w:val="0"/>
          <w:sz w:val="20"/>
        </w:rPr>
        <w:tab/>
        <w:t>13</w:t>
      </w:r>
    </w:p>
    <w:p>
      <w:pPr>
        <w:tabs>
          <w:tab w:pos="9936" w:val="right" w:leader="dot"/>
        </w:tabs>
        <w:spacing w:after="20"/>
      </w:pPr>
      <w:r>
        <w:rPr>
          <w:rFonts w:ascii="Arial" w:hAnsi="Arial" w:cs="Arial"/>
          <w:b w:val="0"/>
          <w:sz w:val="19"/>
        </w:rPr>
        <w:t xml:space="preserve">      1.1 Deployment Model</w:t>
      </w:r>
      <w:r>
        <w:rPr>
          <w:rFonts w:ascii="Arial" w:hAnsi="Arial" w:cs="Arial"/>
          <w:b w:val="0"/>
          <w:sz w:val="19"/>
        </w:rPr>
        <w:tab/>
        <w:t>13</w:t>
      </w:r>
    </w:p>
    <w:p>
      <w:pPr>
        <w:tabs>
          <w:tab w:pos="9936" w:val="right" w:leader="dot"/>
        </w:tabs>
        <w:spacing w:after="20"/>
      </w:pPr>
      <w:r>
        <w:rPr>
          <w:rFonts w:ascii="Arial" w:hAnsi="Arial" w:cs="Arial"/>
          <w:b w:val="0"/>
          <w:sz w:val="19"/>
        </w:rPr>
        <w:t xml:space="preserve">      1.2 Layered Architecture</w:t>
      </w:r>
      <w:r>
        <w:rPr>
          <w:rFonts w:ascii="Arial" w:hAnsi="Arial" w:cs="Arial"/>
          <w:b w:val="0"/>
          <w:sz w:val="19"/>
        </w:rPr>
        <w:tab/>
        <w:t>13</w:t>
      </w:r>
    </w:p>
    <w:p>
      <w:pPr>
        <w:tabs>
          <w:tab w:pos="9936" w:val="right" w:leader="dot"/>
        </w:tabs>
        <w:spacing w:after="20"/>
      </w:pPr>
      <w:r>
        <w:rPr>
          <w:rFonts w:ascii="Arial" w:hAnsi="Arial" w:cs="Arial"/>
          <w:b w:val="0"/>
          <w:sz w:val="19"/>
        </w:rPr>
        <w:t xml:space="preserve">      1.3 Core Module Inventory</w:t>
      </w:r>
      <w:r>
        <w:rPr>
          <w:rFonts w:ascii="Arial" w:hAnsi="Arial" w:cs="Arial"/>
          <w:b w:val="0"/>
          <w:sz w:val="19"/>
        </w:rPr>
        <w:tab/>
        <w:t>14</w:t>
      </w:r>
    </w:p>
    <w:p>
      <w:pPr>
        <w:tabs>
          <w:tab w:pos="9936" w:val="right" w:leader="dot"/>
        </w:tabs>
        <w:spacing w:after="20"/>
      </w:pPr>
      <w:r>
        <w:rPr>
          <w:rFonts w:ascii="Arial" w:hAnsi="Arial" w:cs="Arial"/>
          <w:b w:val="0"/>
          <w:sz w:val="19"/>
        </w:rPr>
        <w:t xml:space="preserve">      1.4 User Roles &amp; Access Matrix</w:t>
      </w:r>
      <w:r>
        <w:rPr>
          <w:rFonts w:ascii="Arial" w:hAnsi="Arial" w:cs="Arial"/>
          <w:b w:val="0"/>
          <w:sz w:val="19"/>
        </w:rPr>
        <w:tab/>
        <w:t>14</w:t>
      </w:r>
    </w:p>
    <w:p>
      <w:pPr>
        <w:tabs>
          <w:tab w:pos="9936" w:val="right" w:leader="dot"/>
        </w:tabs>
        <w:spacing w:after="20"/>
      </w:pPr>
      <w:r>
        <w:rPr>
          <w:rFonts w:ascii="Arial" w:hAnsi="Arial" w:cs="Arial"/>
          <w:b/>
          <w:color w:val="1F4E78"/>
          <w:sz w:val="21"/>
        </w:rPr>
        <w:t>2. Borrower Onboarding — Types &amp; Forms</w:t>
      </w:r>
      <w:r>
        <w:rPr>
          <w:rFonts w:ascii="Arial" w:hAnsi="Arial" w:cs="Arial"/>
          <w:b w:val="0"/>
          <w:sz w:val="20"/>
        </w:rPr>
        <w:tab/>
        <w:t>16</w:t>
      </w:r>
    </w:p>
    <w:p>
      <w:pPr>
        <w:tabs>
          <w:tab w:pos="9936" w:val="right" w:leader="dot"/>
        </w:tabs>
        <w:spacing w:after="20"/>
      </w:pPr>
      <w:r>
        <w:rPr>
          <w:rFonts w:ascii="Arial" w:hAnsi="Arial" w:cs="Arial"/>
          <w:b/>
          <w:color w:val="1F4E78"/>
          <w:sz w:val="21"/>
        </w:rPr>
        <w:t>3. Loan Product Catalog &amp; Product-Specific Forms</w:t>
      </w:r>
      <w:r>
        <w:rPr>
          <w:rFonts w:ascii="Arial" w:hAnsi="Arial" w:cs="Arial"/>
          <w:b w:val="0"/>
          <w:sz w:val="20"/>
        </w:rPr>
        <w:tab/>
        <w:t>23</w:t>
      </w:r>
    </w:p>
    <w:p>
      <w:pPr>
        <w:tabs>
          <w:tab w:pos="9936" w:val="right" w:leader="dot"/>
        </w:tabs>
        <w:spacing w:after="20"/>
      </w:pPr>
      <w:r>
        <w:rPr>
          <w:rFonts w:ascii="Arial" w:hAnsi="Arial" w:cs="Arial"/>
          <w:b w:val="0"/>
          <w:sz w:val="19"/>
        </w:rPr>
        <w:t xml:space="preserve">      3.1 Loan Against Securities (LAS)</w:t>
      </w:r>
      <w:r>
        <w:rPr>
          <w:rFonts w:ascii="Arial" w:hAnsi="Arial" w:cs="Arial"/>
          <w:b w:val="0"/>
          <w:sz w:val="19"/>
        </w:rPr>
        <w:tab/>
        <w:t>23</w:t>
      </w:r>
    </w:p>
    <w:p>
      <w:pPr>
        <w:tabs>
          <w:tab w:pos="9936" w:val="right" w:leader="dot"/>
        </w:tabs>
        <w:spacing w:after="20"/>
      </w:pPr>
      <w:r>
        <w:rPr>
          <w:rFonts w:ascii="Arial" w:hAnsi="Arial" w:cs="Arial"/>
          <w:b w:val="0"/>
          <w:sz w:val="19"/>
        </w:rPr>
        <w:t xml:space="preserve">      3.2 Smart Credit Line (Digital Revolving Credit Line)</w:t>
      </w:r>
      <w:r>
        <w:rPr>
          <w:rFonts w:ascii="Arial" w:hAnsi="Arial" w:cs="Arial"/>
          <w:b w:val="0"/>
          <w:sz w:val="19"/>
        </w:rPr>
        <w:tab/>
        <w:t>24</w:t>
      </w:r>
    </w:p>
    <w:p>
      <w:pPr>
        <w:tabs>
          <w:tab w:pos="9936" w:val="right" w:leader="dot"/>
        </w:tabs>
        <w:spacing w:after="20"/>
      </w:pPr>
      <w:r>
        <w:rPr>
          <w:rFonts w:ascii="Arial" w:hAnsi="Arial" w:cs="Arial"/>
          <w:b w:val="0"/>
          <w:sz w:val="19"/>
        </w:rPr>
        <w:t xml:space="preserve">      3.3 Loan Against Property (LAP)</w:t>
      </w:r>
      <w:r>
        <w:rPr>
          <w:rFonts w:ascii="Arial" w:hAnsi="Arial" w:cs="Arial"/>
          <w:b w:val="0"/>
          <w:sz w:val="19"/>
        </w:rPr>
        <w:tab/>
        <w:t>25</w:t>
      </w:r>
    </w:p>
    <w:p>
      <w:pPr>
        <w:tabs>
          <w:tab w:pos="9936" w:val="right" w:leader="dot"/>
        </w:tabs>
        <w:spacing w:after="20"/>
      </w:pPr>
      <w:r>
        <w:rPr>
          <w:rFonts w:ascii="Arial" w:hAnsi="Arial" w:cs="Arial"/>
          <w:b w:val="0"/>
          <w:sz w:val="19"/>
        </w:rPr>
        <w:t xml:space="preserve">      3.4 Gold Loan</w:t>
      </w:r>
      <w:r>
        <w:rPr>
          <w:rFonts w:ascii="Arial" w:hAnsi="Arial" w:cs="Arial"/>
          <w:b w:val="0"/>
          <w:sz w:val="19"/>
        </w:rPr>
        <w:tab/>
        <w:t>26</w:t>
      </w:r>
    </w:p>
    <w:p>
      <w:pPr>
        <w:tabs>
          <w:tab w:pos="9936" w:val="right" w:leader="dot"/>
        </w:tabs>
        <w:spacing w:after="20"/>
      </w:pPr>
      <w:r>
        <w:rPr>
          <w:rFonts w:ascii="Arial" w:hAnsi="Arial" w:cs="Arial"/>
          <w:b w:val="0"/>
          <w:sz w:val="19"/>
        </w:rPr>
        <w:t xml:space="preserve">      3.5 Unsecured Personal / Business Loan</w:t>
      </w:r>
      <w:r>
        <w:rPr>
          <w:rFonts w:ascii="Arial" w:hAnsi="Arial" w:cs="Arial"/>
          <w:b w:val="0"/>
          <w:sz w:val="19"/>
        </w:rPr>
        <w:tab/>
        <w:t>27</w:t>
      </w:r>
    </w:p>
    <w:p>
      <w:pPr>
        <w:tabs>
          <w:tab w:pos="9936" w:val="right" w:leader="dot"/>
        </w:tabs>
        <w:spacing w:after="20"/>
      </w:pPr>
      <w:r>
        <w:rPr>
          <w:rFonts w:ascii="Arial" w:hAnsi="Arial" w:cs="Arial"/>
          <w:b w:val="0"/>
          <w:sz w:val="19"/>
        </w:rPr>
        <w:t xml:space="preserve">      3.6 Vehicle / Two-Wheeler Loan</w:t>
      </w:r>
      <w:r>
        <w:rPr>
          <w:rFonts w:ascii="Arial" w:hAnsi="Arial" w:cs="Arial"/>
          <w:b w:val="0"/>
          <w:sz w:val="19"/>
        </w:rPr>
        <w:tab/>
        <w:t>28</w:t>
      </w:r>
    </w:p>
    <w:p>
      <w:pPr>
        <w:tabs>
          <w:tab w:pos="9936" w:val="right" w:leader="dot"/>
        </w:tabs>
        <w:spacing w:after="20"/>
      </w:pPr>
      <w:r>
        <w:rPr>
          <w:rFonts w:ascii="Arial" w:hAnsi="Arial" w:cs="Arial"/>
          <w:b w:val="0"/>
          <w:sz w:val="19"/>
        </w:rPr>
        <w:t xml:space="preserve">      3.7 Supply Chain Finance / Invoice Discounting</w:t>
      </w:r>
      <w:r>
        <w:rPr>
          <w:rFonts w:ascii="Arial" w:hAnsi="Arial" w:cs="Arial"/>
          <w:b w:val="0"/>
          <w:sz w:val="19"/>
        </w:rPr>
        <w:tab/>
        <w:t>29</w:t>
      </w:r>
    </w:p>
    <w:p>
      <w:pPr>
        <w:tabs>
          <w:tab w:pos="9936" w:val="right" w:leader="dot"/>
        </w:tabs>
        <w:spacing w:after="20"/>
      </w:pPr>
      <w:r>
        <w:rPr>
          <w:rFonts w:ascii="Arial" w:hAnsi="Arial" w:cs="Arial"/>
          <w:b w:val="0"/>
          <w:sz w:val="19"/>
        </w:rPr>
        <w:t xml:space="preserve">      3.8 Microfinance — JLG / SHG Group Loan</w:t>
      </w:r>
      <w:r>
        <w:rPr>
          <w:rFonts w:ascii="Arial" w:hAnsi="Arial" w:cs="Arial"/>
          <w:b w:val="0"/>
          <w:sz w:val="19"/>
        </w:rPr>
        <w:tab/>
        <w:t>30</w:t>
      </w:r>
    </w:p>
    <w:p>
      <w:pPr>
        <w:tabs>
          <w:tab w:pos="9936" w:val="right" w:leader="dot"/>
        </w:tabs>
        <w:spacing w:after="20"/>
      </w:pPr>
      <w:r>
        <w:rPr>
          <w:rFonts w:ascii="Arial" w:hAnsi="Arial" w:cs="Arial"/>
          <w:b w:val="0"/>
          <w:sz w:val="19"/>
        </w:rPr>
        <w:t xml:space="preserve">      3.9 Government Scheme-Linked Loans (Cross-Product Overlay)</w:t>
      </w:r>
      <w:r>
        <w:rPr>
          <w:rFonts w:ascii="Arial" w:hAnsi="Arial" w:cs="Arial"/>
          <w:b w:val="0"/>
          <w:sz w:val="19"/>
        </w:rPr>
        <w:tab/>
        <w:t>30</w:t>
      </w:r>
    </w:p>
    <w:p>
      <w:pPr>
        <w:tabs>
          <w:tab w:pos="9936" w:val="right" w:leader="dot"/>
        </w:tabs>
        <w:spacing w:after="20"/>
      </w:pPr>
      <w:r>
        <w:rPr>
          <w:rFonts w:ascii="Arial" w:hAnsi="Arial" w:cs="Arial"/>
          <w:b w:val="0"/>
          <w:sz w:val="19"/>
        </w:rPr>
        <w:t xml:space="preserve">      3.10 Factoring (Recourse &amp; Non-Recourse) — NBFC-Factor</w:t>
      </w:r>
      <w:r>
        <w:rPr>
          <w:rFonts w:ascii="Arial" w:hAnsi="Arial" w:cs="Arial"/>
          <w:b w:val="0"/>
          <w:sz w:val="19"/>
        </w:rPr>
        <w:tab/>
        <w:t>31</w:t>
      </w:r>
    </w:p>
    <w:p>
      <w:pPr>
        <w:tabs>
          <w:tab w:pos="9936" w:val="right" w:leader="dot"/>
        </w:tabs>
        <w:spacing w:after="20"/>
      </w:pPr>
      <w:r>
        <w:rPr>
          <w:rFonts w:ascii="Arial" w:hAnsi="Arial" w:cs="Arial"/>
          <w:b w:val="0"/>
          <w:sz w:val="19"/>
        </w:rPr>
        <w:t xml:space="preserve">      3.11 TReDS-Based Invoice Financing</w:t>
      </w:r>
      <w:r>
        <w:rPr>
          <w:rFonts w:ascii="Arial" w:hAnsi="Arial" w:cs="Arial"/>
          <w:b w:val="0"/>
          <w:sz w:val="19"/>
        </w:rPr>
        <w:tab/>
        <w:t>32</w:t>
      </w:r>
    </w:p>
    <w:p>
      <w:pPr>
        <w:tabs>
          <w:tab w:pos="9936" w:val="right" w:leader="dot"/>
        </w:tabs>
        <w:spacing w:after="20"/>
      </w:pPr>
      <w:r>
        <w:rPr>
          <w:rFonts w:ascii="Arial" w:hAnsi="Arial" w:cs="Arial"/>
          <w:b w:val="0"/>
          <w:sz w:val="19"/>
        </w:rPr>
        <w:t xml:space="preserve">      3.12 Bill / Cheque Discounting</w:t>
      </w:r>
      <w:r>
        <w:rPr>
          <w:rFonts w:ascii="Arial" w:hAnsi="Arial" w:cs="Arial"/>
          <w:b w:val="0"/>
          <w:sz w:val="19"/>
        </w:rPr>
        <w:tab/>
        <w:t>32</w:t>
      </w:r>
    </w:p>
    <w:p>
      <w:pPr>
        <w:tabs>
          <w:tab w:pos="9936" w:val="right" w:leader="dot"/>
        </w:tabs>
        <w:spacing w:after="20"/>
      </w:pPr>
      <w:r>
        <w:rPr>
          <w:rFonts w:ascii="Arial" w:hAnsi="Arial" w:cs="Arial"/>
          <w:b w:val="0"/>
          <w:sz w:val="19"/>
        </w:rPr>
        <w:t xml:space="preserve">      3.13 Lease Rental Discounting (LRD)</w:t>
      </w:r>
      <w:r>
        <w:rPr>
          <w:rFonts w:ascii="Arial" w:hAnsi="Arial" w:cs="Arial"/>
          <w:b w:val="0"/>
          <w:sz w:val="19"/>
        </w:rPr>
        <w:tab/>
        <w:t>33</w:t>
      </w:r>
    </w:p>
    <w:p>
      <w:pPr>
        <w:tabs>
          <w:tab w:pos="9936" w:val="right" w:leader="dot"/>
        </w:tabs>
        <w:spacing w:after="20"/>
      </w:pPr>
      <w:r>
        <w:rPr>
          <w:rFonts w:ascii="Arial" w:hAnsi="Arial" w:cs="Arial"/>
          <w:b w:val="0"/>
          <w:sz w:val="19"/>
        </w:rPr>
        <w:t xml:space="preserve">      3.14 Equipment / Machinery Finance &amp; Leasing</w:t>
      </w:r>
      <w:r>
        <w:rPr>
          <w:rFonts w:ascii="Arial" w:hAnsi="Arial" w:cs="Arial"/>
          <w:b w:val="0"/>
          <w:sz w:val="19"/>
        </w:rPr>
        <w:tab/>
        <w:t>34</w:t>
      </w:r>
    </w:p>
    <w:p>
      <w:pPr>
        <w:tabs>
          <w:tab w:pos="9936" w:val="right" w:leader="dot"/>
        </w:tabs>
        <w:spacing w:after="20"/>
      </w:pPr>
      <w:r>
        <w:rPr>
          <w:rFonts w:ascii="Arial" w:hAnsi="Arial" w:cs="Arial"/>
          <w:b w:val="0"/>
          <w:sz w:val="19"/>
        </w:rPr>
        <w:t xml:space="preserve">      3.15 Warehouse Receipt / Commodity Financing</w:t>
      </w:r>
      <w:r>
        <w:rPr>
          <w:rFonts w:ascii="Arial" w:hAnsi="Arial" w:cs="Arial"/>
          <w:b w:val="0"/>
          <w:sz w:val="19"/>
        </w:rPr>
        <w:tab/>
        <w:t>34</w:t>
      </w:r>
    </w:p>
    <w:p>
      <w:pPr>
        <w:tabs>
          <w:tab w:pos="9936" w:val="right" w:leader="dot"/>
        </w:tabs>
        <w:spacing w:after="20"/>
      </w:pPr>
      <w:r>
        <w:rPr>
          <w:rFonts w:ascii="Arial" w:hAnsi="Arial" w:cs="Arial"/>
          <w:b w:val="0"/>
          <w:sz w:val="19"/>
        </w:rPr>
        <w:t xml:space="preserve">      3.16 Commercial Vehicle &amp; Construction Equipment (CV/CE) Finance</w:t>
      </w:r>
      <w:r>
        <w:rPr>
          <w:rFonts w:ascii="Arial" w:hAnsi="Arial" w:cs="Arial"/>
          <w:b w:val="0"/>
          <w:sz w:val="19"/>
        </w:rPr>
        <w:tab/>
        <w:t>35</w:t>
      </w:r>
    </w:p>
    <w:p>
      <w:pPr>
        <w:tabs>
          <w:tab w:pos="9936" w:val="right" w:leader="dot"/>
        </w:tabs>
        <w:spacing w:after="20"/>
      </w:pPr>
      <w:r>
        <w:rPr>
          <w:rFonts w:ascii="Arial" w:hAnsi="Arial" w:cs="Arial"/>
          <w:b w:val="0"/>
          <w:sz w:val="19"/>
        </w:rPr>
        <w:t xml:space="preserve">      3.17 Tractor &amp; Farm Equipment Loan</w:t>
      </w:r>
      <w:r>
        <w:rPr>
          <w:rFonts w:ascii="Arial" w:hAnsi="Arial" w:cs="Arial"/>
          <w:b w:val="0"/>
          <w:sz w:val="19"/>
        </w:rPr>
        <w:tab/>
        <w:t>36</w:t>
      </w:r>
    </w:p>
    <w:p>
      <w:pPr>
        <w:tabs>
          <w:tab w:pos="9936" w:val="right" w:leader="dot"/>
        </w:tabs>
        <w:spacing w:after="20"/>
      </w:pPr>
      <w:r>
        <w:rPr>
          <w:rFonts w:ascii="Arial" w:hAnsi="Arial" w:cs="Arial"/>
          <w:b w:val="0"/>
          <w:sz w:val="19"/>
        </w:rPr>
        <w:t xml:space="preserve">      3.18 Affordable Housing Loan</w:t>
      </w:r>
      <w:r>
        <w:rPr>
          <w:rFonts w:ascii="Arial" w:hAnsi="Arial" w:cs="Arial"/>
          <w:b w:val="0"/>
          <w:sz w:val="19"/>
        </w:rPr>
        <w:tab/>
        <w:t>36</w:t>
      </w:r>
    </w:p>
    <w:p>
      <w:pPr>
        <w:tabs>
          <w:tab w:pos="9936" w:val="right" w:leader="dot"/>
        </w:tabs>
        <w:spacing w:after="20"/>
      </w:pPr>
      <w:r>
        <w:rPr>
          <w:rFonts w:ascii="Arial" w:hAnsi="Arial" w:cs="Arial"/>
          <w:b w:val="0"/>
          <w:sz w:val="19"/>
        </w:rPr>
        <w:t xml:space="preserve">      3.19 Reverse Mortgage Loan</w:t>
      </w:r>
      <w:r>
        <w:rPr>
          <w:rFonts w:ascii="Arial" w:hAnsi="Arial" w:cs="Arial"/>
          <w:b w:val="0"/>
          <w:sz w:val="19"/>
        </w:rPr>
        <w:tab/>
        <w:t>37</w:t>
      </w:r>
    </w:p>
    <w:p>
      <w:pPr>
        <w:tabs>
          <w:tab w:pos="9936" w:val="right" w:leader="dot"/>
        </w:tabs>
        <w:spacing w:after="20"/>
      </w:pPr>
      <w:r>
        <w:rPr>
          <w:rFonts w:ascii="Arial" w:hAnsi="Arial" w:cs="Arial"/>
          <w:b w:val="0"/>
          <w:sz w:val="19"/>
        </w:rPr>
        <w:t xml:space="preserve">      3.20 Loan Against Fixed Deposit / Insurance Policy / Mutual Funds</w:t>
      </w:r>
      <w:r>
        <w:rPr>
          <w:rFonts w:ascii="Arial" w:hAnsi="Arial" w:cs="Arial"/>
          <w:b w:val="0"/>
          <w:sz w:val="19"/>
        </w:rPr>
        <w:tab/>
        <w:t>38</w:t>
      </w:r>
    </w:p>
    <w:p>
      <w:pPr>
        <w:tabs>
          <w:tab w:pos="9936" w:val="right" w:leader="dot"/>
        </w:tabs>
        <w:spacing w:after="20"/>
      </w:pPr>
      <w:r>
        <w:rPr>
          <w:rFonts w:ascii="Arial" w:hAnsi="Arial" w:cs="Arial"/>
          <w:b w:val="0"/>
          <w:sz w:val="19"/>
        </w:rPr>
        <w:t xml:space="preserve">      3.21 Education Loan (Domestic &amp; Overseas)</w:t>
      </w:r>
      <w:r>
        <w:rPr>
          <w:rFonts w:ascii="Arial" w:hAnsi="Arial" w:cs="Arial"/>
          <w:b w:val="0"/>
          <w:sz w:val="19"/>
        </w:rPr>
        <w:tab/>
        <w:t>39</w:t>
      </w:r>
    </w:p>
    <w:p>
      <w:pPr>
        <w:tabs>
          <w:tab w:pos="9936" w:val="right" w:leader="dot"/>
        </w:tabs>
        <w:spacing w:after="20"/>
      </w:pPr>
      <w:r>
        <w:rPr>
          <w:rFonts w:ascii="Arial" w:hAnsi="Arial" w:cs="Arial"/>
          <w:b w:val="0"/>
          <w:sz w:val="19"/>
        </w:rPr>
        <w:t xml:space="preserve">      3.22 Consumer Durable / Point-of-Sale (POS) Loan</w:t>
      </w:r>
      <w:r>
        <w:rPr>
          <w:rFonts w:ascii="Arial" w:hAnsi="Arial" w:cs="Arial"/>
          <w:b w:val="0"/>
          <w:sz w:val="19"/>
        </w:rPr>
        <w:tab/>
        <w:t>39</w:t>
      </w:r>
    </w:p>
    <w:p>
      <w:pPr>
        <w:tabs>
          <w:tab w:pos="9936" w:val="right" w:leader="dot"/>
        </w:tabs>
        <w:spacing w:after="20"/>
      </w:pPr>
      <w:r>
        <w:rPr>
          <w:rFonts w:ascii="Arial" w:hAnsi="Arial" w:cs="Arial"/>
          <w:b w:val="0"/>
          <w:sz w:val="19"/>
        </w:rPr>
        <w:t xml:space="preserve">      3.23 Buy Now Pay Later (BNPL) — Consumer &amp; B2B</w:t>
      </w:r>
      <w:r>
        <w:rPr>
          <w:rFonts w:ascii="Arial" w:hAnsi="Arial" w:cs="Arial"/>
          <w:b w:val="0"/>
          <w:sz w:val="19"/>
        </w:rPr>
        <w:tab/>
        <w:t>40</w:t>
      </w:r>
    </w:p>
    <w:p>
      <w:pPr>
        <w:tabs>
          <w:tab w:pos="9936" w:val="right" w:leader="dot"/>
        </w:tabs>
        <w:spacing w:after="20"/>
      </w:pPr>
      <w:r>
        <w:rPr>
          <w:rFonts w:ascii="Arial" w:hAnsi="Arial" w:cs="Arial"/>
          <w:b w:val="0"/>
          <w:sz w:val="19"/>
        </w:rPr>
        <w:t xml:space="preserve">      3.24 Merchant Cash Advance (MCA) / Revenue-Based Financing (RBF)</w:t>
      </w:r>
      <w:r>
        <w:rPr>
          <w:rFonts w:ascii="Arial" w:hAnsi="Arial" w:cs="Arial"/>
          <w:b w:val="0"/>
          <w:sz w:val="19"/>
        </w:rPr>
        <w:tab/>
        <w:t>41</w:t>
      </w:r>
    </w:p>
    <w:p>
      <w:pPr>
        <w:tabs>
          <w:tab w:pos="9936" w:val="right" w:leader="dot"/>
        </w:tabs>
        <w:spacing w:after="20"/>
      </w:pPr>
      <w:r>
        <w:rPr>
          <w:rFonts w:ascii="Arial" w:hAnsi="Arial" w:cs="Arial"/>
          <w:b w:val="0"/>
          <w:sz w:val="19"/>
        </w:rPr>
        <w:t xml:space="preserve">      3.25 Working Capital Demand Loan (WCDL) / Cash Credit / Overdraft Against Stock &amp; Book Debts</w:t>
      </w:r>
      <w:r>
        <w:rPr>
          <w:rFonts w:ascii="Arial" w:hAnsi="Arial" w:cs="Arial"/>
          <w:b w:val="0"/>
          <w:sz w:val="19"/>
        </w:rPr>
        <w:tab/>
        <w:t>42</w:t>
      </w:r>
    </w:p>
    <w:p>
      <w:pPr>
        <w:tabs>
          <w:tab w:pos="9936" w:val="right" w:leader="dot"/>
        </w:tabs>
        <w:spacing w:after="20"/>
      </w:pPr>
      <w:r>
        <w:rPr>
          <w:rFonts w:ascii="Arial" w:hAnsi="Arial" w:cs="Arial"/>
          <w:b w:val="0"/>
          <w:sz w:val="19"/>
        </w:rPr>
        <w:t xml:space="preserve">      3.26 GST-Invoice-Based Unsecured Business Loan</w:t>
      </w:r>
      <w:r>
        <w:rPr>
          <w:rFonts w:ascii="Arial" w:hAnsi="Arial" w:cs="Arial"/>
          <w:b w:val="0"/>
          <w:sz w:val="19"/>
        </w:rPr>
        <w:tab/>
        <w:t>42</w:t>
      </w:r>
    </w:p>
    <w:p>
      <w:pPr>
        <w:tabs>
          <w:tab w:pos="9936" w:val="right" w:leader="dot"/>
        </w:tabs>
        <w:spacing w:after="20"/>
      </w:pPr>
      <w:r>
        <w:rPr>
          <w:rFonts w:ascii="Arial" w:hAnsi="Arial" w:cs="Arial"/>
          <w:b w:val="0"/>
          <w:sz w:val="19"/>
        </w:rPr>
        <w:t xml:space="preserve">      3.27 Electric Vehicle (EV) Financing</w:t>
      </w:r>
      <w:r>
        <w:rPr>
          <w:rFonts w:ascii="Arial" w:hAnsi="Arial" w:cs="Arial"/>
          <w:b w:val="0"/>
          <w:sz w:val="19"/>
        </w:rPr>
        <w:tab/>
        <w:t>43</w:t>
      </w:r>
    </w:p>
    <w:p>
      <w:pPr>
        <w:tabs>
          <w:tab w:pos="9936" w:val="right" w:leader="dot"/>
        </w:tabs>
        <w:spacing w:after="20"/>
      </w:pPr>
      <w:r>
        <w:rPr>
          <w:rFonts w:ascii="Arial" w:hAnsi="Arial" w:cs="Arial"/>
          <w:b w:val="0"/>
          <w:sz w:val="19"/>
        </w:rPr>
        <w:t xml:space="preserve">      3.28 Insurance Premium Financing</w:t>
      </w:r>
      <w:r>
        <w:rPr>
          <w:rFonts w:ascii="Arial" w:hAnsi="Arial" w:cs="Arial"/>
          <w:b w:val="0"/>
          <w:sz w:val="19"/>
        </w:rPr>
        <w:tab/>
        <w:t>44</w:t>
      </w:r>
    </w:p>
    <w:p>
      <w:pPr>
        <w:tabs>
          <w:tab w:pos="9936" w:val="right" w:leader="dot"/>
        </w:tabs>
        <w:spacing w:after="20"/>
      </w:pPr>
      <w:r>
        <w:rPr>
          <w:rFonts w:ascii="Arial" w:hAnsi="Arial" w:cs="Arial"/>
          <w:b w:val="0"/>
          <w:sz w:val="19"/>
        </w:rPr>
        <w:t xml:space="preserve">      3.29 Gig-Worker / Platform-Income Loan</w:t>
      </w:r>
      <w:r>
        <w:rPr>
          <w:rFonts w:ascii="Arial" w:hAnsi="Arial" w:cs="Arial"/>
          <w:b w:val="0"/>
          <w:sz w:val="19"/>
        </w:rPr>
        <w:tab/>
        <w:t>44</w:t>
      </w:r>
    </w:p>
    <w:p>
      <w:pPr>
        <w:tabs>
          <w:tab w:pos="9936" w:val="right" w:leader="dot"/>
        </w:tabs>
        <w:spacing w:after="20"/>
      </w:pPr>
      <w:r>
        <w:rPr>
          <w:rFonts w:ascii="Arial" w:hAnsi="Arial" w:cs="Arial"/>
          <w:b w:val="0"/>
          <w:sz w:val="19"/>
        </w:rPr>
        <w:t xml:space="preserve">      3.30 Franchise Financing</w:t>
      </w:r>
      <w:r>
        <w:rPr>
          <w:rFonts w:ascii="Arial" w:hAnsi="Arial" w:cs="Arial"/>
          <w:b w:val="0"/>
          <w:sz w:val="19"/>
        </w:rPr>
        <w:tab/>
        <w:t>45</w:t>
      </w:r>
    </w:p>
    <w:p>
      <w:pPr>
        <w:tabs>
          <w:tab w:pos="9936" w:val="right" w:leader="dot"/>
        </w:tabs>
        <w:spacing w:after="20"/>
      </w:pPr>
      <w:r>
        <w:rPr>
          <w:rFonts w:ascii="Arial" w:hAnsi="Arial" w:cs="Arial"/>
          <w:b w:val="0"/>
          <w:sz w:val="19"/>
        </w:rPr>
        <w:t xml:space="preserve">      3.31 Startup Venture Debt</w:t>
      </w:r>
      <w:r>
        <w:rPr>
          <w:rFonts w:ascii="Arial" w:hAnsi="Arial" w:cs="Arial"/>
          <w:b w:val="0"/>
          <w:sz w:val="19"/>
        </w:rPr>
        <w:tab/>
        <w:t>45</w:t>
      </w:r>
    </w:p>
    <w:p>
      <w:pPr>
        <w:tabs>
          <w:tab w:pos="9936" w:val="right" w:leader="dot"/>
        </w:tabs>
        <w:spacing w:after="20"/>
      </w:pPr>
      <w:r>
        <w:rPr>
          <w:rFonts w:ascii="Arial" w:hAnsi="Arial" w:cs="Arial"/>
          <w:b w:val="0"/>
          <w:sz w:val="19"/>
        </w:rPr>
        <w:t xml:space="preserve">      3.32 Renewable Energy / Solar Loan</w:t>
      </w:r>
      <w:r>
        <w:rPr>
          <w:rFonts w:ascii="Arial" w:hAnsi="Arial" w:cs="Arial"/>
          <w:b w:val="0"/>
          <w:sz w:val="19"/>
        </w:rPr>
        <w:tab/>
        <w:t>46</w:t>
      </w:r>
    </w:p>
    <w:p>
      <w:pPr>
        <w:tabs>
          <w:tab w:pos="9936" w:val="right" w:leader="dot"/>
        </w:tabs>
        <w:spacing w:after="20"/>
      </w:pPr>
      <w:r>
        <w:rPr>
          <w:rFonts w:ascii="Arial" w:hAnsi="Arial" w:cs="Arial"/>
          <w:b w:val="0"/>
          <w:sz w:val="19"/>
        </w:rPr>
        <w:t xml:space="preserve">      3.33 Alternative Data &amp; Emerging Underwriting Inputs (Cross-Cutting)</w:t>
      </w:r>
      <w:r>
        <w:rPr>
          <w:rFonts w:ascii="Arial" w:hAnsi="Arial" w:cs="Arial"/>
          <w:b w:val="0"/>
          <w:sz w:val="19"/>
        </w:rPr>
        <w:tab/>
        <w:t>47</w:t>
      </w:r>
    </w:p>
    <w:p>
      <w:pPr>
        <w:tabs>
          <w:tab w:pos="9936" w:val="right" w:leader="dot"/>
        </w:tabs>
        <w:spacing w:after="20"/>
      </w:pPr>
      <w:r>
        <w:rPr>
          <w:rFonts w:ascii="Arial" w:hAnsi="Arial" w:cs="Arial"/>
          <w:b/>
          <w:color w:val="1F4E78"/>
          <w:sz w:val="21"/>
        </w:rPr>
        <w:t>4. Loan Lifecycle Workflow</w:t>
      </w:r>
      <w:r>
        <w:rPr>
          <w:rFonts w:ascii="Arial" w:hAnsi="Arial" w:cs="Arial"/>
          <w:b w:val="0"/>
          <w:sz w:val="20"/>
        </w:rPr>
        <w:tab/>
        <w:t>48</w:t>
      </w:r>
    </w:p>
    <w:p>
      <w:pPr>
        <w:tabs>
          <w:tab w:pos="9936" w:val="right" w:leader="dot"/>
        </w:tabs>
        <w:spacing w:after="20"/>
      </w:pPr>
      <w:r>
        <w:rPr>
          <w:rFonts w:ascii="Arial" w:hAnsi="Arial" w:cs="Arial"/>
          <w:b/>
          <w:color w:val="1F4E78"/>
          <w:sz w:val="21"/>
        </w:rPr>
        <w:t>5. Credit Underwriting &amp; Bureau Integration</w:t>
      </w:r>
      <w:r>
        <w:rPr>
          <w:rFonts w:ascii="Arial" w:hAnsi="Arial" w:cs="Arial"/>
          <w:b w:val="0"/>
          <w:sz w:val="20"/>
        </w:rPr>
        <w:tab/>
        <w:t>49</w:t>
      </w:r>
    </w:p>
    <w:p>
      <w:pPr>
        <w:tabs>
          <w:tab w:pos="9936" w:val="right" w:leader="dot"/>
        </w:tabs>
        <w:spacing w:after="20"/>
      </w:pPr>
      <w:r>
        <w:rPr>
          <w:rFonts w:ascii="Arial" w:hAnsi="Arial" w:cs="Arial"/>
          <w:b w:val="0"/>
          <w:sz w:val="19"/>
        </w:rPr>
        <w:t xml:space="preserve">      5.1 Bureau Pull</w:t>
      </w:r>
      <w:r>
        <w:rPr>
          <w:rFonts w:ascii="Arial" w:hAnsi="Arial" w:cs="Arial"/>
          <w:b w:val="0"/>
          <w:sz w:val="19"/>
        </w:rPr>
        <w:tab/>
        <w:t>49</w:t>
      </w:r>
    </w:p>
    <w:p>
      <w:pPr>
        <w:tabs>
          <w:tab w:pos="9936" w:val="right" w:leader="dot"/>
        </w:tabs>
        <w:spacing w:after="20"/>
      </w:pPr>
      <w:r>
        <w:rPr>
          <w:rFonts w:ascii="Arial" w:hAnsi="Arial" w:cs="Arial"/>
          <w:b w:val="0"/>
          <w:sz w:val="19"/>
        </w:rPr>
        <w:t xml:space="preserve">      5.2 Rules Engine &amp; Scorecards</w:t>
      </w:r>
      <w:r>
        <w:rPr>
          <w:rFonts w:ascii="Arial" w:hAnsi="Arial" w:cs="Arial"/>
          <w:b w:val="0"/>
          <w:sz w:val="19"/>
        </w:rPr>
        <w:tab/>
        <w:t>49</w:t>
      </w:r>
    </w:p>
    <w:p>
      <w:pPr>
        <w:tabs>
          <w:tab w:pos="9936" w:val="right" w:leader="dot"/>
        </w:tabs>
        <w:spacing w:after="20"/>
      </w:pPr>
      <w:r>
        <w:rPr>
          <w:rFonts w:ascii="Arial" w:hAnsi="Arial" w:cs="Arial"/>
          <w:b w:val="0"/>
          <w:sz w:val="19"/>
        </w:rPr>
        <w:t xml:space="preserve">      5.3 Sanction Workflow</w:t>
      </w:r>
      <w:r>
        <w:rPr>
          <w:rFonts w:ascii="Arial" w:hAnsi="Arial" w:cs="Arial"/>
          <w:b w:val="0"/>
          <w:sz w:val="19"/>
        </w:rPr>
        <w:tab/>
        <w:t>49</w:t>
      </w:r>
    </w:p>
    <w:p>
      <w:pPr>
        <w:tabs>
          <w:tab w:pos="9936" w:val="right" w:leader="dot"/>
        </w:tabs>
        <w:spacing w:after="20"/>
      </w:pPr>
      <w:r>
        <w:rPr>
          <w:rFonts w:ascii="Arial" w:hAnsi="Arial" w:cs="Arial"/>
          <w:b w:val="0"/>
          <w:sz w:val="19"/>
        </w:rPr>
        <w:t xml:space="preserve">      5.4 Interest Rate Model &amp; Board-Approved Pricing Policy</w:t>
      </w:r>
      <w:r>
        <w:rPr>
          <w:rFonts w:ascii="Arial" w:hAnsi="Arial" w:cs="Arial"/>
          <w:b w:val="0"/>
          <w:sz w:val="19"/>
        </w:rPr>
        <w:tab/>
        <w:t>49</w:t>
      </w:r>
    </w:p>
    <w:p>
      <w:pPr>
        <w:tabs>
          <w:tab w:pos="9936" w:val="right" w:leader="dot"/>
        </w:tabs>
        <w:spacing w:after="20"/>
      </w:pPr>
      <w:r>
        <w:rPr>
          <w:rFonts w:ascii="Arial" w:hAnsi="Arial" w:cs="Arial"/>
          <w:b/>
          <w:color w:val="1F4E78"/>
          <w:sz w:val="21"/>
        </w:rPr>
        <w:t>6. Loan Management / Servicing Module</w:t>
      </w:r>
      <w:r>
        <w:rPr>
          <w:rFonts w:ascii="Arial" w:hAnsi="Arial" w:cs="Arial"/>
          <w:b w:val="0"/>
          <w:sz w:val="20"/>
        </w:rPr>
        <w:tab/>
        <w:t>51</w:t>
      </w:r>
    </w:p>
    <w:p>
      <w:pPr>
        <w:tabs>
          <w:tab w:pos="9936" w:val="right" w:leader="dot"/>
        </w:tabs>
        <w:spacing w:after="20"/>
      </w:pPr>
      <w:r>
        <w:rPr>
          <w:rFonts w:ascii="Arial" w:hAnsi="Arial" w:cs="Arial"/>
          <w:b/>
          <w:color w:val="1F4E78"/>
          <w:sz w:val="21"/>
        </w:rPr>
        <w:t>7. Collections &amp; Recovery Module</w:t>
      </w:r>
      <w:r>
        <w:rPr>
          <w:rFonts w:ascii="Arial" w:hAnsi="Arial" w:cs="Arial"/>
          <w:b w:val="0"/>
          <w:sz w:val="20"/>
        </w:rPr>
        <w:tab/>
        <w:t>52</w:t>
      </w:r>
    </w:p>
    <w:p>
      <w:pPr>
        <w:tabs>
          <w:tab w:pos="9936" w:val="right" w:leader="dot"/>
        </w:tabs>
        <w:spacing w:after="20"/>
      </w:pPr>
      <w:r>
        <w:rPr>
          <w:rFonts w:ascii="Arial" w:hAnsi="Arial" w:cs="Arial"/>
          <w:b w:val="0"/>
          <w:sz w:val="19"/>
        </w:rPr>
        <w:t xml:space="preserve">      7.2 Legal Case Management (Beyond SARFAESI)</w:t>
      </w:r>
      <w:r>
        <w:rPr>
          <w:rFonts w:ascii="Arial" w:hAnsi="Arial" w:cs="Arial"/>
          <w:b w:val="0"/>
          <w:sz w:val="19"/>
        </w:rPr>
        <w:tab/>
        <w:t>52</w:t>
      </w:r>
    </w:p>
    <w:p>
      <w:pPr>
        <w:tabs>
          <w:tab w:pos="9936" w:val="right" w:leader="dot"/>
        </w:tabs>
        <w:spacing w:after="20"/>
      </w:pPr>
      <w:r>
        <w:rPr>
          <w:rFonts w:ascii="Arial" w:hAnsi="Arial" w:cs="Arial"/>
          <w:b/>
          <w:color w:val="1F4E78"/>
          <w:sz w:val="21"/>
        </w:rPr>
        <w:t>8. Accounting &amp; Finance Module (Embedded General Ledger)</w:t>
      </w:r>
      <w:r>
        <w:rPr>
          <w:rFonts w:ascii="Arial" w:hAnsi="Arial" w:cs="Arial"/>
          <w:b w:val="0"/>
          <w:sz w:val="20"/>
        </w:rPr>
        <w:tab/>
        <w:t>54</w:t>
      </w:r>
    </w:p>
    <w:p>
      <w:pPr>
        <w:tabs>
          <w:tab w:pos="9936" w:val="right" w:leader="dot"/>
        </w:tabs>
        <w:spacing w:after="20"/>
      </w:pPr>
      <w:r>
        <w:rPr>
          <w:rFonts w:ascii="Arial" w:hAnsi="Arial" w:cs="Arial"/>
          <w:b w:val="0"/>
          <w:sz w:val="19"/>
        </w:rPr>
        <w:t xml:space="preserve">      8.1 Chart of Accounts (COA) Structure</w:t>
      </w:r>
      <w:r>
        <w:rPr>
          <w:rFonts w:ascii="Arial" w:hAnsi="Arial" w:cs="Arial"/>
          <w:b w:val="0"/>
          <w:sz w:val="19"/>
        </w:rPr>
        <w:tab/>
        <w:t>54</w:t>
      </w:r>
    </w:p>
    <w:p>
      <w:pPr>
        <w:tabs>
          <w:tab w:pos="9936" w:val="right" w:leader="dot"/>
        </w:tabs>
        <w:spacing w:after="20"/>
      </w:pPr>
      <w:r>
        <w:rPr>
          <w:rFonts w:ascii="Arial" w:hAnsi="Arial" w:cs="Arial"/>
          <w:b w:val="0"/>
          <w:sz w:val="19"/>
        </w:rPr>
        <w:t xml:space="preserve">      8.2 Auto Journal-Posting Rules</w:t>
      </w:r>
      <w:r>
        <w:rPr>
          <w:rFonts w:ascii="Arial" w:hAnsi="Arial" w:cs="Arial"/>
          <w:b w:val="0"/>
          <w:sz w:val="19"/>
        </w:rPr>
        <w:tab/>
        <w:t>54</w:t>
      </w:r>
    </w:p>
    <w:p>
      <w:pPr>
        <w:tabs>
          <w:tab w:pos="9936" w:val="right" w:leader="dot"/>
        </w:tabs>
        <w:spacing w:after="20"/>
      </w:pPr>
      <w:r>
        <w:rPr>
          <w:rFonts w:ascii="Arial" w:hAnsi="Arial" w:cs="Arial"/>
          <w:b w:val="0"/>
          <w:sz w:val="19"/>
        </w:rPr>
        <w:t xml:space="preserve">      8.3 Sub-Ledgers &amp; Reconciliation</w:t>
      </w:r>
      <w:r>
        <w:rPr>
          <w:rFonts w:ascii="Arial" w:hAnsi="Arial" w:cs="Arial"/>
          <w:b w:val="0"/>
          <w:sz w:val="19"/>
        </w:rPr>
        <w:tab/>
        <w:t>55</w:t>
      </w:r>
    </w:p>
    <w:p>
      <w:pPr>
        <w:tabs>
          <w:tab w:pos="9936" w:val="right" w:leader="dot"/>
        </w:tabs>
        <w:spacing w:after="20"/>
      </w:pPr>
      <w:r>
        <w:rPr>
          <w:rFonts w:ascii="Arial" w:hAnsi="Arial" w:cs="Arial"/>
          <w:b w:val="0"/>
          <w:sz w:val="19"/>
        </w:rPr>
        <w:t xml:space="preserve">      8.4 Fixed Assets &amp; Payables</w:t>
      </w:r>
      <w:r>
        <w:rPr>
          <w:rFonts w:ascii="Arial" w:hAnsi="Arial" w:cs="Arial"/>
          <w:b w:val="0"/>
          <w:sz w:val="19"/>
        </w:rPr>
        <w:tab/>
        <w:t>55</w:t>
      </w:r>
    </w:p>
    <w:p>
      <w:pPr>
        <w:tabs>
          <w:tab w:pos="9936" w:val="right" w:leader="dot"/>
        </w:tabs>
        <w:spacing w:after="20"/>
      </w:pPr>
      <w:r>
        <w:rPr>
          <w:rFonts w:ascii="Arial" w:hAnsi="Arial" w:cs="Arial"/>
          <w:b w:val="0"/>
          <w:sz w:val="19"/>
        </w:rPr>
        <w:t xml:space="preserve">      8.5 Statutory Financial Statements</w:t>
      </w:r>
      <w:r>
        <w:rPr>
          <w:rFonts w:ascii="Arial" w:hAnsi="Arial" w:cs="Arial"/>
          <w:b w:val="0"/>
          <w:sz w:val="19"/>
        </w:rPr>
        <w:tab/>
        <w:t>55</w:t>
      </w:r>
    </w:p>
    <w:p>
      <w:pPr>
        <w:tabs>
          <w:tab w:pos="9936" w:val="right" w:leader="dot"/>
        </w:tabs>
        <w:spacing w:after="20"/>
      </w:pPr>
      <w:r>
        <w:rPr>
          <w:rFonts w:ascii="Arial" w:hAnsi="Arial" w:cs="Arial"/>
          <w:b w:val="0"/>
          <w:sz w:val="19"/>
        </w:rPr>
        <w:t xml:space="preserve">      8.6 Period-End Close</w:t>
      </w:r>
      <w:r>
        <w:rPr>
          <w:rFonts w:ascii="Arial" w:hAnsi="Arial" w:cs="Arial"/>
          <w:b w:val="0"/>
          <w:sz w:val="19"/>
        </w:rPr>
        <w:tab/>
        <w:t>55</w:t>
      </w:r>
    </w:p>
    <w:p>
      <w:pPr>
        <w:tabs>
          <w:tab w:pos="9936" w:val="right" w:leader="dot"/>
        </w:tabs>
        <w:spacing w:after="20"/>
      </w:pPr>
      <w:r>
        <w:rPr>
          <w:rFonts w:ascii="Arial" w:hAnsi="Arial" w:cs="Arial"/>
          <w:b/>
          <w:color w:val="1F4E78"/>
          <w:sz w:val="21"/>
        </w:rPr>
        <w:t>9. RBI Regulatory Reporting Module</w:t>
      </w:r>
      <w:r>
        <w:rPr>
          <w:rFonts w:ascii="Arial" w:hAnsi="Arial" w:cs="Arial"/>
          <w:b w:val="0"/>
          <w:sz w:val="20"/>
        </w:rPr>
        <w:tab/>
        <w:t>57</w:t>
      </w:r>
    </w:p>
    <w:p>
      <w:pPr>
        <w:tabs>
          <w:tab w:pos="9936" w:val="right" w:leader="dot"/>
        </w:tabs>
        <w:spacing w:after="20"/>
      </w:pPr>
      <w:r>
        <w:rPr>
          <w:rFonts w:ascii="Arial" w:hAnsi="Arial" w:cs="Arial"/>
          <w:b w:val="0"/>
          <w:sz w:val="19"/>
        </w:rPr>
        <w:t xml:space="preserve">      9.1 SBR Layer Configuration</w:t>
      </w:r>
      <w:r>
        <w:rPr>
          <w:rFonts w:ascii="Arial" w:hAnsi="Arial" w:cs="Arial"/>
          <w:b w:val="0"/>
          <w:sz w:val="19"/>
        </w:rPr>
        <w:tab/>
        <w:t>57</w:t>
      </w:r>
    </w:p>
    <w:p>
      <w:pPr>
        <w:tabs>
          <w:tab w:pos="9936" w:val="right" w:leader="dot"/>
        </w:tabs>
        <w:spacing w:after="20"/>
      </w:pPr>
      <w:r>
        <w:rPr>
          <w:rFonts w:ascii="Arial" w:hAnsi="Arial" w:cs="Arial"/>
          <w:b w:val="0"/>
          <w:sz w:val="19"/>
        </w:rPr>
        <w:t xml:space="preserve">      9.2 Regulatory Returns Matrix</w:t>
      </w:r>
      <w:r>
        <w:rPr>
          <w:rFonts w:ascii="Arial" w:hAnsi="Arial" w:cs="Arial"/>
          <w:b w:val="0"/>
          <w:sz w:val="19"/>
        </w:rPr>
        <w:tab/>
        <w:t>57</w:t>
      </w:r>
    </w:p>
    <w:p>
      <w:pPr>
        <w:tabs>
          <w:tab w:pos="9936" w:val="right" w:leader="dot"/>
        </w:tabs>
        <w:spacing w:after="20"/>
      </w:pPr>
      <w:r>
        <w:rPr>
          <w:rFonts w:ascii="Arial" w:hAnsi="Arial" w:cs="Arial"/>
          <w:b w:val="0"/>
          <w:sz w:val="19"/>
        </w:rPr>
        <w:t xml:space="preserve">      9.3 Reporting Data Mart &amp; Submission Engine</w:t>
      </w:r>
      <w:r>
        <w:rPr>
          <w:rFonts w:ascii="Arial" w:hAnsi="Arial" w:cs="Arial"/>
          <w:b w:val="0"/>
          <w:sz w:val="19"/>
        </w:rPr>
        <w:tab/>
        <w:t>58</w:t>
      </w:r>
    </w:p>
    <w:p>
      <w:pPr>
        <w:tabs>
          <w:tab w:pos="9936" w:val="right" w:leader="dot"/>
        </w:tabs>
        <w:spacing w:after="20"/>
      </w:pPr>
      <w:r>
        <w:rPr>
          <w:rFonts w:ascii="Arial" w:hAnsi="Arial" w:cs="Arial"/>
          <w:b w:val="0"/>
          <w:sz w:val="19"/>
        </w:rPr>
        <w:t xml:space="preserve">      9.4 NPA Classification &amp; Provisioning Engine</w:t>
      </w:r>
      <w:r>
        <w:rPr>
          <w:rFonts w:ascii="Arial" w:hAnsi="Arial" w:cs="Arial"/>
          <w:b w:val="0"/>
          <w:sz w:val="19"/>
        </w:rPr>
        <w:tab/>
        <w:t>58</w:t>
      </w:r>
    </w:p>
    <w:p>
      <w:pPr>
        <w:tabs>
          <w:tab w:pos="9936" w:val="right" w:leader="dot"/>
        </w:tabs>
        <w:spacing w:after="20"/>
      </w:pPr>
      <w:r>
        <w:rPr>
          <w:rFonts w:ascii="Arial" w:hAnsi="Arial" w:cs="Arial"/>
          <w:b w:val="0"/>
          <w:sz w:val="19"/>
        </w:rPr>
        <w:t xml:space="preserve">      9.5 Grievance &amp; Fair Practices Reporting</w:t>
      </w:r>
      <w:r>
        <w:rPr>
          <w:rFonts w:ascii="Arial" w:hAnsi="Arial" w:cs="Arial"/>
          <w:b w:val="0"/>
          <w:sz w:val="19"/>
        </w:rPr>
        <w:tab/>
        <w:t>59</w:t>
      </w:r>
    </w:p>
    <w:p>
      <w:pPr>
        <w:tabs>
          <w:tab w:pos="9936" w:val="right" w:leader="dot"/>
        </w:tabs>
        <w:spacing w:after="20"/>
      </w:pPr>
      <w:r>
        <w:rPr>
          <w:rFonts w:ascii="Arial" w:hAnsi="Arial" w:cs="Arial"/>
          <w:b/>
          <w:color w:val="1F4E78"/>
          <w:sz w:val="21"/>
        </w:rPr>
        <w:t>10. Credit Information Company (CIC) Reporting Module</w:t>
      </w:r>
      <w:r>
        <w:rPr>
          <w:rFonts w:ascii="Arial" w:hAnsi="Arial" w:cs="Arial"/>
          <w:b w:val="0"/>
          <w:sz w:val="20"/>
        </w:rPr>
        <w:tab/>
        <w:t>60</w:t>
      </w:r>
    </w:p>
    <w:p>
      <w:pPr>
        <w:tabs>
          <w:tab w:pos="9936" w:val="right" w:leader="dot"/>
        </w:tabs>
        <w:spacing w:after="20"/>
      </w:pPr>
      <w:r>
        <w:rPr>
          <w:rFonts w:ascii="Arial" w:hAnsi="Arial" w:cs="Arial"/>
          <w:b w:val="0"/>
          <w:sz w:val="19"/>
        </w:rPr>
        <w:t xml:space="preserve">      10.1 Regulatory Basis</w:t>
      </w:r>
      <w:r>
        <w:rPr>
          <w:rFonts w:ascii="Arial" w:hAnsi="Arial" w:cs="Arial"/>
          <w:b w:val="0"/>
          <w:sz w:val="19"/>
        </w:rPr>
        <w:tab/>
        <w:t>60</w:t>
      </w:r>
    </w:p>
    <w:p>
      <w:pPr>
        <w:tabs>
          <w:tab w:pos="9936" w:val="right" w:leader="dot"/>
        </w:tabs>
        <w:spacing w:after="20"/>
      </w:pPr>
      <w:r>
        <w:rPr>
          <w:rFonts w:ascii="Arial" w:hAnsi="Arial" w:cs="Arial"/>
          <w:b w:val="0"/>
          <w:sz w:val="19"/>
        </w:rPr>
        <w:t xml:space="preserve">      10.2 Consumer Data Format — Uniform Credit Reporting Format</w:t>
      </w:r>
      <w:r>
        <w:rPr>
          <w:rFonts w:ascii="Arial" w:hAnsi="Arial" w:cs="Arial"/>
          <w:b w:val="0"/>
          <w:sz w:val="19"/>
        </w:rPr>
        <w:tab/>
        <w:t>60</w:t>
      </w:r>
    </w:p>
    <w:p>
      <w:pPr>
        <w:tabs>
          <w:tab w:pos="9936" w:val="right" w:leader="dot"/>
        </w:tabs>
        <w:spacing w:after="20"/>
      </w:pPr>
      <w:r>
        <w:rPr>
          <w:rFonts w:ascii="Arial" w:hAnsi="Arial" w:cs="Arial"/>
          <w:b w:val="0"/>
          <w:sz w:val="19"/>
        </w:rPr>
        <w:t xml:space="preserve">      10.3 Commercial Data Format (Non-Individual Borrowers)</w:t>
      </w:r>
      <w:r>
        <w:rPr>
          <w:rFonts w:ascii="Arial" w:hAnsi="Arial" w:cs="Arial"/>
          <w:b w:val="0"/>
          <w:sz w:val="19"/>
        </w:rPr>
        <w:tab/>
        <w:t>60</w:t>
      </w:r>
    </w:p>
    <w:p>
      <w:pPr>
        <w:tabs>
          <w:tab w:pos="9936" w:val="right" w:leader="dot"/>
        </w:tabs>
        <w:spacing w:after="20"/>
      </w:pPr>
      <w:r>
        <w:rPr>
          <w:rFonts w:ascii="Arial" w:hAnsi="Arial" w:cs="Arial"/>
          <w:b w:val="0"/>
          <w:sz w:val="19"/>
        </w:rPr>
        <w:t xml:space="preserve">      10.4 Bureau Pull (Underwriting-Time)</w:t>
      </w:r>
      <w:r>
        <w:rPr>
          <w:rFonts w:ascii="Arial" w:hAnsi="Arial" w:cs="Arial"/>
          <w:b w:val="0"/>
          <w:sz w:val="19"/>
        </w:rPr>
        <w:tab/>
        <w:t>61</w:t>
      </w:r>
    </w:p>
    <w:p>
      <w:pPr>
        <w:tabs>
          <w:tab w:pos="9936" w:val="right" w:leader="dot"/>
        </w:tabs>
        <w:spacing w:after="20"/>
      </w:pPr>
      <w:r>
        <w:rPr>
          <w:rFonts w:ascii="Arial" w:hAnsi="Arial" w:cs="Arial"/>
          <w:b w:val="0"/>
          <w:sz w:val="19"/>
        </w:rPr>
        <w:t xml:space="preserve">      10.5 File Generation, Validation &amp; Submission Engine</w:t>
      </w:r>
      <w:r>
        <w:rPr>
          <w:rFonts w:ascii="Arial" w:hAnsi="Arial" w:cs="Arial"/>
          <w:b w:val="0"/>
          <w:sz w:val="19"/>
        </w:rPr>
        <w:tab/>
        <w:t>61</w:t>
      </w:r>
    </w:p>
    <w:p>
      <w:pPr>
        <w:tabs>
          <w:tab w:pos="9936" w:val="right" w:leader="dot"/>
        </w:tabs>
        <w:spacing w:after="20"/>
      </w:pPr>
      <w:r>
        <w:rPr>
          <w:rFonts w:ascii="Arial" w:hAnsi="Arial" w:cs="Arial"/>
          <w:b w:val="0"/>
          <w:sz w:val="19"/>
        </w:rPr>
        <w:t xml:space="preserve">      10.6 Dispute &amp; Correction Workflow</w:t>
      </w:r>
      <w:r>
        <w:rPr>
          <w:rFonts w:ascii="Arial" w:hAnsi="Arial" w:cs="Arial"/>
          <w:b w:val="0"/>
          <w:sz w:val="19"/>
        </w:rPr>
        <w:tab/>
        <w:t>61</w:t>
      </w:r>
    </w:p>
    <w:p>
      <w:pPr>
        <w:tabs>
          <w:tab w:pos="9936" w:val="right" w:leader="dot"/>
        </w:tabs>
        <w:spacing w:after="20"/>
      </w:pPr>
      <w:r>
        <w:rPr>
          <w:rFonts w:ascii="Arial" w:hAnsi="Arial" w:cs="Arial"/>
          <w:b/>
          <w:color w:val="1F4E78"/>
          <w:sz w:val="21"/>
        </w:rPr>
        <w:t>11. Core Data Model — Key Entities</w:t>
      </w:r>
      <w:r>
        <w:rPr>
          <w:rFonts w:ascii="Arial" w:hAnsi="Arial" w:cs="Arial"/>
          <w:b w:val="0"/>
          <w:sz w:val="20"/>
        </w:rPr>
        <w:tab/>
        <w:t>62</w:t>
      </w:r>
    </w:p>
    <w:p>
      <w:pPr>
        <w:tabs>
          <w:tab w:pos="9936" w:val="right" w:leader="dot"/>
        </w:tabs>
        <w:spacing w:after="20"/>
      </w:pPr>
      <w:r>
        <w:rPr>
          <w:rFonts w:ascii="Arial" w:hAnsi="Arial" w:cs="Arial"/>
          <w:b/>
          <w:color w:val="1F4E78"/>
          <w:sz w:val="21"/>
        </w:rPr>
        <w:t>12. Integration Architecture</w:t>
      </w:r>
      <w:r>
        <w:rPr>
          <w:rFonts w:ascii="Arial" w:hAnsi="Arial" w:cs="Arial"/>
          <w:b w:val="0"/>
          <w:sz w:val="20"/>
        </w:rPr>
        <w:tab/>
        <w:t>65</w:t>
      </w:r>
    </w:p>
    <w:p>
      <w:pPr>
        <w:tabs>
          <w:tab w:pos="9936" w:val="right" w:leader="dot"/>
        </w:tabs>
        <w:spacing w:after="20"/>
      </w:pPr>
      <w:r>
        <w:rPr>
          <w:rFonts w:ascii="Arial" w:hAnsi="Arial" w:cs="Arial"/>
          <w:b/>
          <w:color w:val="1F4E78"/>
          <w:sz w:val="21"/>
        </w:rPr>
        <w:t>13. Reports &amp; Dashboards (MIS)</w:t>
      </w:r>
      <w:r>
        <w:rPr>
          <w:rFonts w:ascii="Arial" w:hAnsi="Arial" w:cs="Arial"/>
          <w:b w:val="0"/>
          <w:sz w:val="20"/>
        </w:rPr>
        <w:tab/>
        <w:t>66</w:t>
      </w:r>
    </w:p>
    <w:p>
      <w:pPr>
        <w:tabs>
          <w:tab w:pos="9936" w:val="right" w:leader="dot"/>
        </w:tabs>
        <w:spacing w:after="20"/>
      </w:pPr>
      <w:r>
        <w:rPr>
          <w:rFonts w:ascii="Arial" w:hAnsi="Arial" w:cs="Arial"/>
          <w:b/>
          <w:color w:val="1F4E78"/>
          <w:sz w:val="21"/>
        </w:rPr>
        <w:t>14. Security, Data Privacy &amp; Audit</w:t>
      </w:r>
      <w:r>
        <w:rPr>
          <w:rFonts w:ascii="Arial" w:hAnsi="Arial" w:cs="Arial"/>
          <w:b w:val="0"/>
          <w:sz w:val="20"/>
        </w:rPr>
        <w:tab/>
        <w:t>67</w:t>
      </w:r>
    </w:p>
    <w:p>
      <w:pPr>
        <w:tabs>
          <w:tab w:pos="9936" w:val="right" w:leader="dot"/>
        </w:tabs>
        <w:spacing w:after="20"/>
      </w:pPr>
      <w:r>
        <w:rPr>
          <w:rFonts w:ascii="Arial" w:hAnsi="Arial" w:cs="Arial"/>
          <w:b/>
          <w:color w:val="1F4E78"/>
          <w:sz w:val="21"/>
        </w:rPr>
        <w:t>15. Non-Functional &amp; SaaS Multi-Tenancy Considerations</w:t>
      </w:r>
      <w:r>
        <w:rPr>
          <w:rFonts w:ascii="Arial" w:hAnsi="Arial" w:cs="Arial"/>
          <w:b w:val="0"/>
          <w:sz w:val="20"/>
        </w:rPr>
        <w:tab/>
        <w:t>68</w:t>
      </w:r>
    </w:p>
    <w:p>
      <w:pPr>
        <w:tabs>
          <w:tab w:pos="9936" w:val="right" w:leader="dot"/>
        </w:tabs>
        <w:spacing w:after="20"/>
      </w:pPr>
      <w:r>
        <w:rPr>
          <w:rFonts w:ascii="Arial" w:hAnsi="Arial" w:cs="Arial"/>
          <w:b/>
          <w:color w:val="1F4E78"/>
          <w:sz w:val="21"/>
        </w:rPr>
        <w:t>16. AML / CFT &amp; PMLA Compliance Module</w:t>
      </w:r>
      <w:r>
        <w:rPr>
          <w:rFonts w:ascii="Arial" w:hAnsi="Arial" w:cs="Arial"/>
          <w:b w:val="0"/>
          <w:sz w:val="20"/>
        </w:rPr>
        <w:tab/>
        <w:t>69</w:t>
      </w:r>
    </w:p>
    <w:p>
      <w:pPr>
        <w:tabs>
          <w:tab w:pos="9936" w:val="right" w:leader="dot"/>
        </w:tabs>
        <w:spacing w:after="20"/>
      </w:pPr>
      <w:r>
        <w:rPr>
          <w:rFonts w:ascii="Arial" w:hAnsi="Arial" w:cs="Arial"/>
          <w:b w:val="0"/>
          <w:sz w:val="19"/>
        </w:rPr>
        <w:t xml:space="preserve">      16.1 Transaction Monitoring &amp; Screening</w:t>
      </w:r>
      <w:r>
        <w:rPr>
          <w:rFonts w:ascii="Arial" w:hAnsi="Arial" w:cs="Arial"/>
          <w:b w:val="0"/>
          <w:sz w:val="19"/>
        </w:rPr>
        <w:tab/>
        <w:t>69</w:t>
      </w:r>
    </w:p>
    <w:p>
      <w:pPr>
        <w:tabs>
          <w:tab w:pos="9936" w:val="right" w:leader="dot"/>
        </w:tabs>
        <w:spacing w:after="20"/>
      </w:pPr>
      <w:r>
        <w:rPr>
          <w:rFonts w:ascii="Arial" w:hAnsi="Arial" w:cs="Arial"/>
          <w:b w:val="0"/>
          <w:sz w:val="19"/>
        </w:rPr>
        <w:t xml:space="preserve">      16.2 Statutory Reporting to FIU-IND</w:t>
      </w:r>
      <w:r>
        <w:rPr>
          <w:rFonts w:ascii="Arial" w:hAnsi="Arial" w:cs="Arial"/>
          <w:b w:val="0"/>
          <w:sz w:val="19"/>
        </w:rPr>
        <w:tab/>
        <w:t>69</w:t>
      </w:r>
    </w:p>
    <w:p>
      <w:pPr>
        <w:tabs>
          <w:tab w:pos="9936" w:val="right" w:leader="dot"/>
        </w:tabs>
        <w:spacing w:after="20"/>
      </w:pPr>
      <w:r>
        <w:rPr>
          <w:rFonts w:ascii="Arial" w:hAnsi="Arial" w:cs="Arial"/>
          <w:b w:val="0"/>
          <w:sz w:val="19"/>
        </w:rPr>
        <w:t xml:space="preserve">      16.3 Principal Officer &amp; Record-Keeping</w:t>
      </w:r>
      <w:r>
        <w:rPr>
          <w:rFonts w:ascii="Arial" w:hAnsi="Arial" w:cs="Arial"/>
          <w:b w:val="0"/>
          <w:sz w:val="19"/>
        </w:rPr>
        <w:tab/>
        <w:t>69</w:t>
      </w:r>
    </w:p>
    <w:p>
      <w:pPr>
        <w:tabs>
          <w:tab w:pos="9936" w:val="right" w:leader="dot"/>
        </w:tabs>
        <w:spacing w:after="20"/>
      </w:pPr>
      <w:r>
        <w:rPr>
          <w:rFonts w:ascii="Arial" w:hAnsi="Arial" w:cs="Arial"/>
          <w:b/>
          <w:color w:val="1F4E78"/>
          <w:sz w:val="21"/>
        </w:rPr>
        <w:t>17. Digital Lending Compliance (Key Fact Statement, APR &amp; Cooling-Off)</w:t>
      </w:r>
      <w:r>
        <w:rPr>
          <w:rFonts w:ascii="Arial" w:hAnsi="Arial" w:cs="Arial"/>
          <w:b w:val="0"/>
          <w:sz w:val="20"/>
        </w:rPr>
        <w:tab/>
        <w:t>70</w:t>
      </w:r>
    </w:p>
    <w:p>
      <w:pPr>
        <w:tabs>
          <w:tab w:pos="9936" w:val="right" w:leader="dot"/>
        </w:tabs>
        <w:spacing w:after="20"/>
      </w:pPr>
      <w:r>
        <w:rPr>
          <w:rFonts w:ascii="Arial" w:hAnsi="Arial" w:cs="Arial"/>
          <w:b w:val="0"/>
          <w:sz w:val="19"/>
        </w:rPr>
        <w:t xml:space="preserve">      17.1 Key Fact Statement (KFS)</w:t>
      </w:r>
      <w:r>
        <w:rPr>
          <w:rFonts w:ascii="Arial" w:hAnsi="Arial" w:cs="Arial"/>
          <w:b w:val="0"/>
          <w:sz w:val="19"/>
        </w:rPr>
        <w:tab/>
        <w:t>70</w:t>
      </w:r>
    </w:p>
    <w:p>
      <w:pPr>
        <w:tabs>
          <w:tab w:pos="9936" w:val="right" w:leader="dot"/>
        </w:tabs>
        <w:spacing w:after="20"/>
      </w:pPr>
      <w:r>
        <w:rPr>
          <w:rFonts w:ascii="Arial" w:hAnsi="Arial" w:cs="Arial"/>
          <w:b w:val="0"/>
          <w:sz w:val="19"/>
        </w:rPr>
        <w:t xml:space="preserve">      17.2 Lending Service Provider (LSP) &amp; Default Loss Guarantee (FLDG) Tagging</w:t>
      </w:r>
      <w:r>
        <w:rPr>
          <w:rFonts w:ascii="Arial" w:hAnsi="Arial" w:cs="Arial"/>
          <w:b w:val="0"/>
          <w:sz w:val="19"/>
        </w:rPr>
        <w:tab/>
        <w:t>70</w:t>
      </w:r>
    </w:p>
    <w:p>
      <w:pPr>
        <w:tabs>
          <w:tab w:pos="9936" w:val="right" w:leader="dot"/>
        </w:tabs>
        <w:spacing w:after="20"/>
      </w:pPr>
      <w:r>
        <w:rPr>
          <w:rFonts w:ascii="Arial" w:hAnsi="Arial" w:cs="Arial"/>
          <w:b w:val="0"/>
          <w:sz w:val="19"/>
        </w:rPr>
        <w:t xml:space="preserve">      17.3 Algorithmic/Automated Decisioning Disclosure</w:t>
      </w:r>
      <w:r>
        <w:rPr>
          <w:rFonts w:ascii="Arial" w:hAnsi="Arial" w:cs="Arial"/>
          <w:b w:val="0"/>
          <w:sz w:val="19"/>
        </w:rPr>
        <w:tab/>
        <w:t>70</w:t>
      </w:r>
    </w:p>
    <w:p>
      <w:pPr>
        <w:tabs>
          <w:tab w:pos="9936" w:val="right" w:leader="dot"/>
        </w:tabs>
        <w:spacing w:after="20"/>
      </w:pPr>
      <w:r>
        <w:rPr>
          <w:rFonts w:ascii="Arial" w:hAnsi="Arial" w:cs="Arial"/>
          <w:b/>
          <w:color w:val="1F4E78"/>
          <w:sz w:val="21"/>
        </w:rPr>
        <w:t>18. Co-Lending, Loan Assignment &amp; Securitization Module</w:t>
      </w:r>
      <w:r>
        <w:rPr>
          <w:rFonts w:ascii="Arial" w:hAnsi="Arial" w:cs="Arial"/>
          <w:b w:val="0"/>
          <w:sz w:val="20"/>
        </w:rPr>
        <w:tab/>
        <w:t>71</w:t>
      </w:r>
    </w:p>
    <w:p>
      <w:pPr>
        <w:tabs>
          <w:tab w:pos="9936" w:val="right" w:leader="dot"/>
        </w:tabs>
        <w:spacing w:after="20"/>
      </w:pPr>
      <w:r>
        <w:rPr>
          <w:rFonts w:ascii="Arial" w:hAnsi="Arial" w:cs="Arial"/>
          <w:b w:val="0"/>
          <w:sz w:val="19"/>
        </w:rPr>
        <w:t xml:space="preserve">      18.1 Co-Lending</w:t>
      </w:r>
      <w:r>
        <w:rPr>
          <w:rFonts w:ascii="Arial" w:hAnsi="Arial" w:cs="Arial"/>
          <w:b w:val="0"/>
          <w:sz w:val="19"/>
        </w:rPr>
        <w:tab/>
        <w:t>71</w:t>
      </w:r>
    </w:p>
    <w:p>
      <w:pPr>
        <w:tabs>
          <w:tab w:pos="9936" w:val="right" w:leader="dot"/>
        </w:tabs>
        <w:spacing w:after="20"/>
      </w:pPr>
      <w:r>
        <w:rPr>
          <w:rFonts w:ascii="Arial" w:hAnsi="Arial" w:cs="Arial"/>
          <w:b w:val="0"/>
          <w:sz w:val="19"/>
        </w:rPr>
        <w:t xml:space="preserve">      18.2 Direct Assignment / Loan Sale</w:t>
      </w:r>
      <w:r>
        <w:rPr>
          <w:rFonts w:ascii="Arial" w:hAnsi="Arial" w:cs="Arial"/>
          <w:b w:val="0"/>
          <w:sz w:val="19"/>
        </w:rPr>
        <w:tab/>
        <w:t>71</w:t>
      </w:r>
    </w:p>
    <w:p>
      <w:pPr>
        <w:tabs>
          <w:tab w:pos="9936" w:val="right" w:leader="dot"/>
        </w:tabs>
        <w:spacing w:after="20"/>
      </w:pPr>
      <w:r>
        <w:rPr>
          <w:rFonts w:ascii="Arial" w:hAnsi="Arial" w:cs="Arial"/>
          <w:b w:val="0"/>
          <w:sz w:val="19"/>
        </w:rPr>
        <w:t xml:space="preserve">      18.3 Securitization (Pass-Through Certificates)</w:t>
      </w:r>
      <w:r>
        <w:rPr>
          <w:rFonts w:ascii="Arial" w:hAnsi="Arial" w:cs="Arial"/>
          <w:b w:val="0"/>
          <w:sz w:val="19"/>
        </w:rPr>
        <w:tab/>
        <w:t>71</w:t>
      </w:r>
    </w:p>
    <w:p>
      <w:pPr>
        <w:tabs>
          <w:tab w:pos="9936" w:val="right" w:leader="dot"/>
        </w:tabs>
        <w:spacing w:after="20"/>
      </w:pPr>
      <w:r>
        <w:rPr>
          <w:rFonts w:ascii="Arial" w:hAnsi="Arial" w:cs="Arial"/>
          <w:b/>
          <w:color w:val="1F4E78"/>
          <w:sz w:val="21"/>
        </w:rPr>
        <w:t>19. Insurance Module</w:t>
      </w:r>
      <w:r>
        <w:rPr>
          <w:rFonts w:ascii="Arial" w:hAnsi="Arial" w:cs="Arial"/>
          <w:b w:val="0"/>
          <w:sz w:val="20"/>
        </w:rPr>
        <w:tab/>
        <w:t>72</w:t>
      </w:r>
    </w:p>
    <w:p>
      <w:pPr>
        <w:tabs>
          <w:tab w:pos="9936" w:val="right" w:leader="dot"/>
        </w:tabs>
        <w:spacing w:after="20"/>
      </w:pPr>
      <w:r>
        <w:rPr>
          <w:rFonts w:ascii="Arial" w:hAnsi="Arial" w:cs="Arial"/>
          <w:b/>
          <w:color w:val="1F4E78"/>
          <w:sz w:val="21"/>
        </w:rPr>
        <w:t>20. Document Generation &amp; Templates</w:t>
      </w:r>
      <w:r>
        <w:rPr>
          <w:rFonts w:ascii="Arial" w:hAnsi="Arial" w:cs="Arial"/>
          <w:b w:val="0"/>
          <w:sz w:val="20"/>
        </w:rPr>
        <w:tab/>
        <w:t>73</w:t>
      </w:r>
    </w:p>
    <w:p>
      <w:pPr>
        <w:tabs>
          <w:tab w:pos="9936" w:val="right" w:leader="dot"/>
        </w:tabs>
        <w:spacing w:after="20"/>
      </w:pPr>
      <w:r>
        <w:rPr>
          <w:rFonts w:ascii="Arial" w:hAnsi="Arial" w:cs="Arial"/>
          <w:b/>
          <w:color w:val="1F4E78"/>
          <w:sz w:val="21"/>
        </w:rPr>
        <w:t>21. Vendor / Empanelment Management</w:t>
      </w:r>
      <w:r>
        <w:rPr>
          <w:rFonts w:ascii="Arial" w:hAnsi="Arial" w:cs="Arial"/>
          <w:b w:val="0"/>
          <w:sz w:val="20"/>
        </w:rPr>
        <w:tab/>
        <w:t>74</w:t>
      </w:r>
    </w:p>
    <w:p>
      <w:pPr>
        <w:tabs>
          <w:tab w:pos="9936" w:val="right" w:leader="dot"/>
        </w:tabs>
        <w:spacing w:after="20"/>
      </w:pPr>
      <w:r>
        <w:rPr>
          <w:rFonts w:ascii="Arial" w:hAnsi="Arial" w:cs="Arial"/>
          <w:b/>
          <w:color w:val="1F4E78"/>
          <w:sz w:val="21"/>
        </w:rPr>
        <w:t>22. API Contract Reference (Illustrative)</w:t>
      </w:r>
      <w:r>
        <w:rPr>
          <w:rFonts w:ascii="Arial" w:hAnsi="Arial" w:cs="Arial"/>
          <w:b w:val="0"/>
          <w:sz w:val="20"/>
        </w:rPr>
        <w:tab/>
        <w:t>75</w:t>
      </w:r>
    </w:p>
    <w:p>
      <w:pPr>
        <w:tabs>
          <w:tab w:pos="9936" w:val="right" w:leader="dot"/>
        </w:tabs>
        <w:spacing w:after="20"/>
      </w:pPr>
      <w:r>
        <w:rPr>
          <w:rFonts w:ascii="Arial" w:hAnsi="Arial" w:cs="Arial"/>
          <w:b/>
          <w:color w:val="1F4E78"/>
          <w:sz w:val="21"/>
        </w:rPr>
        <w:t>23. Data Migration &amp; UAT Strategy</w:t>
      </w:r>
      <w:r>
        <w:rPr>
          <w:rFonts w:ascii="Arial" w:hAnsi="Arial" w:cs="Arial"/>
          <w:b w:val="0"/>
          <w:sz w:val="20"/>
        </w:rPr>
        <w:tab/>
        <w:t>76</w:t>
      </w:r>
    </w:p>
    <w:p>
      <w:pPr>
        <w:tabs>
          <w:tab w:pos="9936" w:val="right" w:leader="dot"/>
        </w:tabs>
        <w:spacing w:after="20"/>
      </w:pPr>
      <w:r>
        <w:rPr>
          <w:rFonts w:ascii="Arial" w:hAnsi="Arial" w:cs="Arial"/>
          <w:b w:val="0"/>
          <w:sz w:val="19"/>
        </w:rPr>
        <w:t xml:space="preserve">      23.1 Legacy Data Migration</w:t>
      </w:r>
      <w:r>
        <w:rPr>
          <w:rFonts w:ascii="Arial" w:hAnsi="Arial" w:cs="Arial"/>
          <w:b w:val="0"/>
          <w:sz w:val="19"/>
        </w:rPr>
        <w:tab/>
        <w:t>76</w:t>
      </w:r>
    </w:p>
    <w:p>
      <w:pPr>
        <w:tabs>
          <w:tab w:pos="9936" w:val="right" w:leader="dot"/>
        </w:tabs>
        <w:spacing w:after="20"/>
      </w:pPr>
      <w:r>
        <w:rPr>
          <w:rFonts w:ascii="Arial" w:hAnsi="Arial" w:cs="Arial"/>
          <w:b w:val="0"/>
          <w:sz w:val="19"/>
        </w:rPr>
        <w:t xml:space="preserve">      23.2 UAT &amp; Go-Live</w:t>
      </w:r>
      <w:r>
        <w:rPr>
          <w:rFonts w:ascii="Arial" w:hAnsi="Arial" w:cs="Arial"/>
          <w:b w:val="0"/>
          <w:sz w:val="19"/>
        </w:rPr>
        <w:tab/>
        <w:t>76</w:t>
      </w:r>
    </w:p>
    <w:p>
      <w:pPr>
        <w:tabs>
          <w:tab w:pos="9936" w:val="right" w:leader="dot"/>
        </w:tabs>
        <w:spacing w:after="20"/>
      </w:pPr>
      <w:r>
        <w:rPr>
          <w:rFonts w:ascii="Arial" w:hAnsi="Arial" w:cs="Arial"/>
          <w:b/>
          <w:color w:val="1F4E78"/>
          <w:sz w:val="21"/>
        </w:rPr>
        <w:t>24. Interest &amp; Charges Calculation Engine</w:t>
      </w:r>
      <w:r>
        <w:rPr>
          <w:rFonts w:ascii="Arial" w:hAnsi="Arial" w:cs="Arial"/>
          <w:b w:val="0"/>
          <w:sz w:val="20"/>
        </w:rPr>
        <w:tab/>
        <w:t>77</w:t>
      </w:r>
    </w:p>
    <w:p>
      <w:pPr>
        <w:tabs>
          <w:tab w:pos="9936" w:val="right" w:leader="dot"/>
        </w:tabs>
        <w:spacing w:after="20"/>
      </w:pPr>
      <w:r>
        <w:rPr>
          <w:rFonts w:ascii="Arial" w:hAnsi="Arial" w:cs="Arial"/>
          <w:b w:val="0"/>
          <w:sz w:val="19"/>
        </w:rPr>
        <w:t xml:space="preserve">      24.1 Day-Count Conventions</w:t>
      </w:r>
      <w:r>
        <w:rPr>
          <w:rFonts w:ascii="Arial" w:hAnsi="Arial" w:cs="Arial"/>
          <w:b w:val="0"/>
          <w:sz w:val="19"/>
        </w:rPr>
        <w:tab/>
        <w:t>77</w:t>
      </w:r>
    </w:p>
    <w:p>
      <w:pPr>
        <w:tabs>
          <w:tab w:pos="9936" w:val="right" w:leader="dot"/>
        </w:tabs>
        <w:spacing w:after="20"/>
      </w:pPr>
      <w:r>
        <w:rPr>
          <w:rFonts w:ascii="Arial" w:hAnsi="Arial" w:cs="Arial"/>
          <w:b w:val="0"/>
          <w:sz w:val="19"/>
        </w:rPr>
        <w:t xml:space="preserve">      24.2 EMI — Reducing Balance, Monthly Rest</w:t>
      </w:r>
      <w:r>
        <w:rPr>
          <w:rFonts w:ascii="Arial" w:hAnsi="Arial" w:cs="Arial"/>
          <w:b w:val="0"/>
          <w:sz w:val="19"/>
        </w:rPr>
        <w:tab/>
        <w:t>77</w:t>
      </w:r>
    </w:p>
    <w:p>
      <w:pPr>
        <w:tabs>
          <w:tab w:pos="9936" w:val="right" w:leader="dot"/>
        </w:tabs>
        <w:spacing w:after="20"/>
      </w:pPr>
      <w:r>
        <w:rPr>
          <w:rFonts w:ascii="Arial" w:hAnsi="Arial" w:cs="Arial"/>
          <w:b w:val="0"/>
          <w:sz w:val="19"/>
        </w:rPr>
        <w:t xml:space="preserve">      24.3 Daily Reducing Balance (Broken-Period Interest)</w:t>
      </w:r>
      <w:r>
        <w:rPr>
          <w:rFonts w:ascii="Arial" w:hAnsi="Arial" w:cs="Arial"/>
          <w:b w:val="0"/>
          <w:sz w:val="19"/>
        </w:rPr>
        <w:tab/>
        <w:t>78</w:t>
      </w:r>
    </w:p>
    <w:p>
      <w:pPr>
        <w:tabs>
          <w:tab w:pos="9936" w:val="right" w:leader="dot"/>
        </w:tabs>
        <w:spacing w:after="20"/>
      </w:pPr>
      <w:r>
        <w:rPr>
          <w:rFonts w:ascii="Arial" w:hAnsi="Arial" w:cs="Arial"/>
          <w:b w:val="0"/>
          <w:sz w:val="19"/>
        </w:rPr>
        <w:t xml:space="preserve">      24.4 Flat Rate Interest Method</w:t>
      </w:r>
      <w:r>
        <w:rPr>
          <w:rFonts w:ascii="Arial" w:hAnsi="Arial" w:cs="Arial"/>
          <w:b w:val="0"/>
          <w:sz w:val="19"/>
        </w:rPr>
        <w:tab/>
        <w:t>78</w:t>
      </w:r>
    </w:p>
    <w:p>
      <w:pPr>
        <w:tabs>
          <w:tab w:pos="9936" w:val="right" w:leader="dot"/>
        </w:tabs>
        <w:spacing w:after="20"/>
      </w:pPr>
      <w:r>
        <w:rPr>
          <w:rFonts w:ascii="Arial" w:hAnsi="Arial" w:cs="Arial"/>
          <w:b w:val="0"/>
          <w:sz w:val="19"/>
        </w:rPr>
        <w:t xml:space="preserve">      24.5 Bullet / Interest-Only Repayment (Simple Interest)</w:t>
      </w:r>
      <w:r>
        <w:rPr>
          <w:rFonts w:ascii="Arial" w:hAnsi="Arial" w:cs="Arial"/>
          <w:b w:val="0"/>
          <w:sz w:val="19"/>
        </w:rPr>
        <w:tab/>
        <w:t>78</w:t>
      </w:r>
    </w:p>
    <w:p>
      <w:pPr>
        <w:tabs>
          <w:tab w:pos="9936" w:val="right" w:leader="dot"/>
        </w:tabs>
        <w:spacing w:after="20"/>
      </w:pPr>
      <w:r>
        <w:rPr>
          <w:rFonts w:ascii="Arial" w:hAnsi="Arial" w:cs="Arial"/>
          <w:b w:val="0"/>
          <w:sz w:val="19"/>
        </w:rPr>
        <w:t xml:space="preserve">      24.6 LAS / Smart Credit Line — Daily Interest on Utilized Balance</w:t>
      </w:r>
      <w:r>
        <w:rPr>
          <w:rFonts w:ascii="Arial" w:hAnsi="Arial" w:cs="Arial"/>
          <w:b w:val="0"/>
          <w:sz w:val="19"/>
        </w:rPr>
        <w:tab/>
        <w:t>79</w:t>
      </w:r>
    </w:p>
    <w:p>
      <w:pPr>
        <w:tabs>
          <w:tab w:pos="9936" w:val="right" w:leader="dot"/>
        </w:tabs>
        <w:spacing w:after="20"/>
      </w:pPr>
      <w:r>
        <w:rPr>
          <w:rFonts w:ascii="Arial" w:hAnsi="Arial" w:cs="Arial"/>
          <w:b w:val="0"/>
          <w:sz w:val="19"/>
        </w:rPr>
        <w:t xml:space="preserve">      24.7 Penal Charges (Not Penal Interest)</w:t>
      </w:r>
      <w:r>
        <w:rPr>
          <w:rFonts w:ascii="Arial" w:hAnsi="Arial" w:cs="Arial"/>
          <w:b w:val="0"/>
          <w:sz w:val="19"/>
        </w:rPr>
        <w:tab/>
        <w:t>79</w:t>
      </w:r>
    </w:p>
    <w:p>
      <w:pPr>
        <w:tabs>
          <w:tab w:pos="9936" w:val="right" w:leader="dot"/>
        </w:tabs>
        <w:spacing w:after="20"/>
      </w:pPr>
      <w:r>
        <w:rPr>
          <w:rFonts w:ascii="Arial" w:hAnsi="Arial" w:cs="Arial"/>
          <w:b w:val="0"/>
          <w:sz w:val="19"/>
        </w:rPr>
        <w:t xml:space="preserve">      24.8 Part-Payment / Prepayment Recalculation</w:t>
      </w:r>
      <w:r>
        <w:rPr>
          <w:rFonts w:ascii="Arial" w:hAnsi="Arial" w:cs="Arial"/>
          <w:b w:val="0"/>
          <w:sz w:val="19"/>
        </w:rPr>
        <w:tab/>
        <w:t>79</w:t>
      </w:r>
    </w:p>
    <w:p>
      <w:pPr>
        <w:tabs>
          <w:tab w:pos="9936" w:val="right" w:leader="dot"/>
        </w:tabs>
        <w:spacing w:after="20"/>
      </w:pPr>
      <w:r>
        <w:rPr>
          <w:rFonts w:ascii="Arial" w:hAnsi="Arial" w:cs="Arial"/>
          <w:b w:val="0"/>
          <w:sz w:val="19"/>
        </w:rPr>
        <w:t xml:space="preserve">      24.9 Foreclosure Payoff Amount</w:t>
      </w:r>
      <w:r>
        <w:rPr>
          <w:rFonts w:ascii="Arial" w:hAnsi="Arial" w:cs="Arial"/>
          <w:b w:val="0"/>
          <w:sz w:val="19"/>
        </w:rPr>
        <w:tab/>
        <w:t>80</w:t>
      </w:r>
    </w:p>
    <w:p>
      <w:pPr>
        <w:tabs>
          <w:tab w:pos="9936" w:val="right" w:leader="dot"/>
        </w:tabs>
        <w:spacing w:after="20"/>
      </w:pPr>
      <w:r>
        <w:rPr>
          <w:rFonts w:ascii="Arial" w:hAnsi="Arial" w:cs="Arial"/>
          <w:b w:val="0"/>
          <w:sz w:val="19"/>
        </w:rPr>
        <w:t xml:space="preserve">      24.10 Effective Interest Rate (EIR) for Ind AS 109 Amortized Cost</w:t>
      </w:r>
      <w:r>
        <w:rPr>
          <w:rFonts w:ascii="Arial" w:hAnsi="Arial" w:cs="Arial"/>
          <w:b w:val="0"/>
          <w:sz w:val="19"/>
        </w:rPr>
        <w:tab/>
        <w:t>80</w:t>
      </w:r>
    </w:p>
    <w:p>
      <w:pPr>
        <w:tabs>
          <w:tab w:pos="9936" w:val="right" w:leader="dot"/>
        </w:tabs>
        <w:spacing w:after="20"/>
      </w:pPr>
      <w:r>
        <w:rPr>
          <w:rFonts w:ascii="Arial" w:hAnsi="Arial" w:cs="Arial"/>
          <w:b w:val="0"/>
          <w:sz w:val="19"/>
        </w:rPr>
        <w:t xml:space="preserve">      24.11 Interest Recomputation on Partial Redemption (Gold Loan)</w:t>
      </w:r>
      <w:r>
        <w:rPr>
          <w:rFonts w:ascii="Arial" w:hAnsi="Arial" w:cs="Arial"/>
          <w:b w:val="0"/>
          <w:sz w:val="19"/>
        </w:rPr>
        <w:tab/>
        <w:t>80</w:t>
      </w:r>
    </w:p>
    <w:p>
      <w:pPr>
        <w:tabs>
          <w:tab w:pos="9936" w:val="right" w:leader="dot"/>
        </w:tabs>
        <w:spacing w:after="20"/>
      </w:pPr>
      <w:r>
        <w:rPr>
          <w:rFonts w:ascii="Arial" w:hAnsi="Arial" w:cs="Arial"/>
          <w:b w:val="0"/>
          <w:sz w:val="19"/>
        </w:rPr>
        <w:t xml:space="preserve">      24.12 Standard Asset &amp; NPA Provisioning — Worked Example</w:t>
      </w:r>
      <w:r>
        <w:rPr>
          <w:rFonts w:ascii="Arial" w:hAnsi="Arial" w:cs="Arial"/>
          <w:b w:val="0"/>
          <w:sz w:val="19"/>
        </w:rPr>
        <w:tab/>
        <w:t>80</w:t>
      </w:r>
    </w:p>
    <w:p>
      <w:pPr>
        <w:tabs>
          <w:tab w:pos="9936" w:val="right" w:leader="dot"/>
        </w:tabs>
        <w:spacing w:after="20"/>
      </w:pPr>
      <w:r>
        <w:rPr>
          <w:rFonts w:ascii="Arial" w:hAnsi="Arial" w:cs="Arial"/>
          <w:b/>
          <w:color w:val="1F4E78"/>
          <w:sz w:val="21"/>
        </w:rPr>
        <w:t>25. Field-Level Developer Specifications</w:t>
      </w:r>
      <w:r>
        <w:rPr>
          <w:rFonts w:ascii="Arial" w:hAnsi="Arial" w:cs="Arial"/>
          <w:b w:val="0"/>
          <w:sz w:val="20"/>
        </w:rPr>
        <w:tab/>
        <w:t>82</w:t>
      </w:r>
    </w:p>
    <w:p>
      <w:pPr>
        <w:tabs>
          <w:tab w:pos="9936" w:val="right" w:leader="dot"/>
        </w:tabs>
        <w:spacing w:after="20"/>
      </w:pPr>
      <w:r>
        <w:rPr>
          <w:rFonts w:ascii="Arial" w:hAnsi="Arial" w:cs="Arial"/>
          <w:b w:val="0"/>
          <w:sz w:val="19"/>
        </w:rPr>
        <w:t xml:space="preserve">      25.1 Regex / Format Validation for Regulated Fields</w:t>
      </w:r>
      <w:r>
        <w:rPr>
          <w:rFonts w:ascii="Arial" w:hAnsi="Arial" w:cs="Arial"/>
          <w:b w:val="0"/>
          <w:sz w:val="19"/>
        </w:rPr>
        <w:tab/>
        <w:t>82</w:t>
      </w:r>
    </w:p>
    <w:p>
      <w:pPr>
        <w:tabs>
          <w:tab w:pos="9936" w:val="right" w:leader="dot"/>
        </w:tabs>
        <w:spacing w:after="20"/>
      </w:pPr>
      <w:r>
        <w:rPr>
          <w:rFonts w:ascii="Arial" w:hAnsi="Arial" w:cs="Arial"/>
          <w:b w:val="0"/>
          <w:sz w:val="19"/>
        </w:rPr>
        <w:t xml:space="preserve">      25.2 Entity Status Enumerations (State Machines)</w:t>
      </w:r>
      <w:r>
        <w:rPr>
          <w:rFonts w:ascii="Arial" w:hAnsi="Arial" w:cs="Arial"/>
          <w:b w:val="0"/>
          <w:sz w:val="19"/>
        </w:rPr>
        <w:tab/>
        <w:t>82</w:t>
      </w:r>
    </w:p>
    <w:p>
      <w:pPr>
        <w:tabs>
          <w:tab w:pos="9936" w:val="right" w:leader="dot"/>
        </w:tabs>
        <w:spacing w:after="20"/>
      </w:pPr>
      <w:r>
        <w:rPr>
          <w:rFonts w:ascii="Arial" w:hAnsi="Arial" w:cs="Arial"/>
          <w:b w:val="0"/>
          <w:sz w:val="19"/>
        </w:rPr>
        <w:t xml:space="preserve">      25.3 Product-Wise Business Rule Limits (Consolidated)</w:t>
      </w:r>
      <w:r>
        <w:rPr>
          <w:rFonts w:ascii="Arial" w:hAnsi="Arial" w:cs="Arial"/>
          <w:b w:val="0"/>
          <w:sz w:val="19"/>
        </w:rPr>
        <w:tab/>
        <w:t>83</w:t>
      </w:r>
    </w:p>
    <w:p>
      <w:pPr>
        <w:tabs>
          <w:tab w:pos="9936" w:val="right" w:leader="dot"/>
        </w:tabs>
        <w:spacing w:after="20"/>
      </w:pPr>
      <w:r>
        <w:rPr>
          <w:rFonts w:ascii="Arial" w:hAnsi="Arial" w:cs="Arial"/>
          <w:b/>
          <w:color w:val="1F4E78"/>
          <w:sz w:val="21"/>
        </w:rPr>
        <w:t>26. API Request/Response Payload Samples</w:t>
      </w:r>
      <w:r>
        <w:rPr>
          <w:rFonts w:ascii="Arial" w:hAnsi="Arial" w:cs="Arial"/>
          <w:b w:val="0"/>
          <w:sz w:val="20"/>
        </w:rPr>
        <w:tab/>
        <w:t>84</w:t>
      </w:r>
    </w:p>
    <w:p>
      <w:pPr>
        <w:tabs>
          <w:tab w:pos="9936" w:val="right" w:leader="dot"/>
        </w:tabs>
        <w:spacing w:after="20"/>
      </w:pPr>
      <w:r>
        <w:rPr>
          <w:rFonts w:ascii="Arial" w:hAnsi="Arial" w:cs="Arial"/>
          <w:b w:val="0"/>
          <w:sz w:val="19"/>
        </w:rPr>
        <w:t xml:space="preserve">      26.1 POST /applications</w:t>
      </w:r>
      <w:r>
        <w:rPr>
          <w:rFonts w:ascii="Arial" w:hAnsi="Arial" w:cs="Arial"/>
          <w:b w:val="0"/>
          <w:sz w:val="19"/>
        </w:rPr>
        <w:tab/>
        <w:t>84</w:t>
      </w:r>
    </w:p>
    <w:p>
      <w:pPr>
        <w:tabs>
          <w:tab w:pos="9936" w:val="right" w:leader="dot"/>
        </w:tabs>
        <w:spacing w:after="20"/>
      </w:pPr>
      <w:r>
        <w:rPr>
          <w:rFonts w:ascii="Arial" w:hAnsi="Arial" w:cs="Arial"/>
          <w:b w:val="0"/>
          <w:sz w:val="19"/>
        </w:rPr>
        <w:t xml:space="preserve">      26.2 POST /applications/{id}/bureau-pull</w:t>
      </w:r>
      <w:r>
        <w:rPr>
          <w:rFonts w:ascii="Arial" w:hAnsi="Arial" w:cs="Arial"/>
          <w:b w:val="0"/>
          <w:sz w:val="19"/>
        </w:rPr>
        <w:tab/>
        <w:t>84</w:t>
      </w:r>
    </w:p>
    <w:p>
      <w:pPr>
        <w:tabs>
          <w:tab w:pos="9936" w:val="right" w:leader="dot"/>
        </w:tabs>
        <w:spacing w:after="20"/>
      </w:pPr>
      <w:r>
        <w:rPr>
          <w:rFonts w:ascii="Arial" w:hAnsi="Arial" w:cs="Arial"/>
          <w:b w:val="0"/>
          <w:sz w:val="19"/>
        </w:rPr>
        <w:t xml:space="preserve">      26.3 POST /loan-accounts/{id}/disburse</w:t>
      </w:r>
      <w:r>
        <w:rPr>
          <w:rFonts w:ascii="Arial" w:hAnsi="Arial" w:cs="Arial"/>
          <w:b w:val="0"/>
          <w:sz w:val="19"/>
        </w:rPr>
        <w:tab/>
        <w:t>85</w:t>
      </w:r>
    </w:p>
    <w:p>
      <w:pPr>
        <w:tabs>
          <w:tab w:pos="9936" w:val="right" w:leader="dot"/>
        </w:tabs>
        <w:spacing w:after="20"/>
      </w:pPr>
      <w:r>
        <w:rPr>
          <w:rFonts w:ascii="Arial" w:hAnsi="Arial" w:cs="Arial"/>
          <w:b w:val="0"/>
          <w:sz w:val="19"/>
        </w:rPr>
        <w:t xml:space="preserve">      26.4 POST /loan-accounts/{id}/repayments</w:t>
      </w:r>
      <w:r>
        <w:rPr>
          <w:rFonts w:ascii="Arial" w:hAnsi="Arial" w:cs="Arial"/>
          <w:b w:val="0"/>
          <w:sz w:val="19"/>
        </w:rPr>
        <w:tab/>
        <w:t>85</w:t>
      </w:r>
    </w:p>
    <w:p>
      <w:pPr>
        <w:tabs>
          <w:tab w:pos="9936" w:val="right" w:leader="dot"/>
        </w:tabs>
        <w:spacing w:after="20"/>
      </w:pPr>
      <w:r>
        <w:rPr>
          <w:rFonts w:ascii="Arial" w:hAnsi="Arial" w:cs="Arial"/>
          <w:b w:val="0"/>
          <w:sz w:val="19"/>
        </w:rPr>
        <w:t xml:space="preserve">      26.5 GET /loan-accounts/{id}/schedule</w:t>
      </w:r>
      <w:r>
        <w:rPr>
          <w:rFonts w:ascii="Arial" w:hAnsi="Arial" w:cs="Arial"/>
          <w:b w:val="0"/>
          <w:sz w:val="19"/>
        </w:rPr>
        <w:tab/>
        <w:t>86</w:t>
      </w:r>
    </w:p>
    <w:p>
      <w:pPr>
        <w:tabs>
          <w:tab w:pos="9936" w:val="right" w:leader="dot"/>
        </w:tabs>
        <w:spacing w:after="20"/>
      </w:pPr>
      <w:r>
        <w:rPr>
          <w:rFonts w:ascii="Arial" w:hAnsi="Arial" w:cs="Arial"/>
          <w:b w:val="0"/>
          <w:sz w:val="19"/>
        </w:rPr>
        <w:t xml:space="preserve">      26.6 POST /collections/{loanId}/ptp</w:t>
      </w:r>
      <w:r>
        <w:rPr>
          <w:rFonts w:ascii="Arial" w:hAnsi="Arial" w:cs="Arial"/>
          <w:b w:val="0"/>
          <w:sz w:val="19"/>
        </w:rPr>
        <w:tab/>
        <w:t>86</w:t>
      </w:r>
    </w:p>
    <w:p>
      <w:pPr>
        <w:tabs>
          <w:tab w:pos="9936" w:val="right" w:leader="dot"/>
        </w:tabs>
        <w:spacing w:after="20"/>
      </w:pPr>
      <w:r>
        <w:rPr>
          <w:rFonts w:ascii="Arial" w:hAnsi="Arial" w:cs="Arial"/>
          <w:b/>
          <w:color w:val="1F4E78"/>
          <w:sz w:val="21"/>
        </w:rPr>
        <w:t>27. Reference Technology Architecture &amp; Decision Criteria</w:t>
      </w:r>
      <w:r>
        <w:rPr>
          <w:rFonts w:ascii="Arial" w:hAnsi="Arial" w:cs="Arial"/>
          <w:b w:val="0"/>
          <w:sz w:val="20"/>
        </w:rPr>
        <w:tab/>
        <w:t>87</w:t>
      </w:r>
    </w:p>
    <w:p>
      <w:pPr>
        <w:tabs>
          <w:tab w:pos="9936" w:val="right" w:leader="dot"/>
        </w:tabs>
        <w:spacing w:after="20"/>
      </w:pPr>
      <w:r>
        <w:rPr>
          <w:rFonts w:ascii="Arial" w:hAnsi="Arial" w:cs="Arial"/>
          <w:b w:val="0"/>
          <w:sz w:val="19"/>
        </w:rPr>
        <w:t xml:space="preserve">      27.1 Reference Stack</w:t>
      </w:r>
      <w:r>
        <w:rPr>
          <w:rFonts w:ascii="Arial" w:hAnsi="Arial" w:cs="Arial"/>
          <w:b w:val="0"/>
          <w:sz w:val="19"/>
        </w:rPr>
        <w:tab/>
        <w:t>87</w:t>
      </w:r>
    </w:p>
    <w:p>
      <w:pPr>
        <w:tabs>
          <w:tab w:pos="9936" w:val="right" w:leader="dot"/>
        </w:tabs>
        <w:spacing w:after="20"/>
      </w:pPr>
      <w:r>
        <w:rPr>
          <w:rFonts w:ascii="Arial" w:hAnsi="Arial" w:cs="Arial"/>
          <w:b w:val="0"/>
          <w:sz w:val="19"/>
        </w:rPr>
        <w:t xml:space="preserve">      27.2 Decision Criteria</w:t>
      </w:r>
      <w:r>
        <w:rPr>
          <w:rFonts w:ascii="Arial" w:hAnsi="Arial" w:cs="Arial"/>
          <w:b w:val="0"/>
          <w:sz w:val="19"/>
        </w:rPr>
        <w:tab/>
        <w:t>88</w:t>
      </w:r>
    </w:p>
    <w:p>
      <w:pPr>
        <w:tabs>
          <w:tab w:pos="9936" w:val="right" w:leader="dot"/>
        </w:tabs>
        <w:spacing w:after="20"/>
      </w:pPr>
      <w:r>
        <w:rPr>
          <w:rFonts w:ascii="Arial" w:hAnsi="Arial" w:cs="Arial"/>
          <w:b/>
          <w:color w:val="1F4E78"/>
          <w:sz w:val="21"/>
        </w:rPr>
        <w:t>28. Money Precision, Rounding &amp; Ledger Integrity Standard</w:t>
      </w:r>
      <w:r>
        <w:rPr>
          <w:rFonts w:ascii="Arial" w:hAnsi="Arial" w:cs="Arial"/>
          <w:b w:val="0"/>
          <w:sz w:val="20"/>
        </w:rPr>
        <w:tab/>
        <w:t>89</w:t>
      </w:r>
    </w:p>
    <w:p>
      <w:pPr>
        <w:tabs>
          <w:tab w:pos="9936" w:val="right" w:leader="dot"/>
        </w:tabs>
        <w:spacing w:after="20"/>
      </w:pPr>
      <w:r>
        <w:rPr>
          <w:rFonts w:ascii="Arial" w:hAnsi="Arial" w:cs="Arial"/>
          <w:b w:val="0"/>
          <w:sz w:val="19"/>
        </w:rPr>
        <w:t xml:space="preserve">      28.1 Money Representation</w:t>
      </w:r>
      <w:r>
        <w:rPr>
          <w:rFonts w:ascii="Arial" w:hAnsi="Arial" w:cs="Arial"/>
          <w:b w:val="0"/>
          <w:sz w:val="19"/>
        </w:rPr>
        <w:tab/>
        <w:t>89</w:t>
      </w:r>
    </w:p>
    <w:p>
      <w:pPr>
        <w:tabs>
          <w:tab w:pos="9936" w:val="right" w:leader="dot"/>
        </w:tabs>
        <w:spacing w:after="20"/>
      </w:pPr>
      <w:r>
        <w:rPr>
          <w:rFonts w:ascii="Arial" w:hAnsi="Arial" w:cs="Arial"/>
          <w:b w:val="0"/>
          <w:sz w:val="19"/>
        </w:rPr>
        <w:t xml:space="preserve">      28.2 Rounding Policy</w:t>
      </w:r>
      <w:r>
        <w:rPr>
          <w:rFonts w:ascii="Arial" w:hAnsi="Arial" w:cs="Arial"/>
          <w:b w:val="0"/>
          <w:sz w:val="19"/>
        </w:rPr>
        <w:tab/>
        <w:t>89</w:t>
      </w:r>
    </w:p>
    <w:p>
      <w:pPr>
        <w:tabs>
          <w:tab w:pos="9936" w:val="right" w:leader="dot"/>
        </w:tabs>
        <w:spacing w:after="20"/>
      </w:pPr>
      <w:r>
        <w:rPr>
          <w:rFonts w:ascii="Arial" w:hAnsi="Arial" w:cs="Arial"/>
          <w:b w:val="0"/>
          <w:sz w:val="19"/>
        </w:rPr>
        <w:t xml:space="preserve">      28.3 Ledger Integrity Invariants</w:t>
      </w:r>
      <w:r>
        <w:rPr>
          <w:rFonts w:ascii="Arial" w:hAnsi="Arial" w:cs="Arial"/>
          <w:b w:val="0"/>
          <w:sz w:val="19"/>
        </w:rPr>
        <w:tab/>
        <w:t>90</w:t>
      </w:r>
    </w:p>
    <w:p>
      <w:pPr>
        <w:tabs>
          <w:tab w:pos="9936" w:val="right" w:leader="dot"/>
        </w:tabs>
        <w:spacing w:after="20"/>
      </w:pPr>
      <w:r>
        <w:rPr>
          <w:rFonts w:ascii="Arial" w:hAnsi="Arial" w:cs="Arial"/>
          <w:b w:val="0"/>
          <w:sz w:val="19"/>
        </w:rPr>
        <w:t xml:space="preserve">      28.4 Concurrency &amp; Financial Consistency</w:t>
      </w:r>
      <w:r>
        <w:rPr>
          <w:rFonts w:ascii="Arial" w:hAnsi="Arial" w:cs="Arial"/>
          <w:b w:val="0"/>
          <w:sz w:val="19"/>
        </w:rPr>
        <w:tab/>
        <w:t>90</w:t>
      </w:r>
    </w:p>
    <w:p>
      <w:pPr>
        <w:tabs>
          <w:tab w:pos="9936" w:val="right" w:leader="dot"/>
        </w:tabs>
        <w:spacing w:after="20"/>
      </w:pPr>
      <w:r>
        <w:rPr>
          <w:rFonts w:ascii="Arial" w:hAnsi="Arial" w:cs="Arial"/>
          <w:b/>
          <w:color w:val="1F4E78"/>
          <w:sz w:val="21"/>
        </w:rPr>
        <w:t>29. Quantified Non-Functional Requirements &amp; SLAs</w:t>
      </w:r>
      <w:r>
        <w:rPr>
          <w:rFonts w:ascii="Arial" w:hAnsi="Arial" w:cs="Arial"/>
          <w:b w:val="0"/>
          <w:sz w:val="20"/>
        </w:rPr>
        <w:tab/>
        <w:t>90</w:t>
      </w:r>
    </w:p>
    <w:p>
      <w:pPr>
        <w:tabs>
          <w:tab w:pos="9936" w:val="right" w:leader="dot"/>
        </w:tabs>
        <w:spacing w:after="20"/>
      </w:pPr>
      <w:r>
        <w:rPr>
          <w:rFonts w:ascii="Arial" w:hAnsi="Arial" w:cs="Arial"/>
          <w:b w:val="0"/>
          <w:sz w:val="19"/>
        </w:rPr>
        <w:t xml:space="preserve">      29.1 Service-Level Targets</w:t>
      </w:r>
      <w:r>
        <w:rPr>
          <w:rFonts w:ascii="Arial" w:hAnsi="Arial" w:cs="Arial"/>
          <w:b w:val="0"/>
          <w:sz w:val="19"/>
        </w:rPr>
        <w:tab/>
        <w:t>90</w:t>
      </w:r>
    </w:p>
    <w:p>
      <w:pPr>
        <w:tabs>
          <w:tab w:pos="9936" w:val="right" w:leader="dot"/>
        </w:tabs>
        <w:spacing w:after="20"/>
      </w:pPr>
      <w:r>
        <w:rPr>
          <w:rFonts w:ascii="Arial" w:hAnsi="Arial" w:cs="Arial"/>
          <w:b w:val="0"/>
          <w:sz w:val="19"/>
        </w:rPr>
        <w:t xml:space="preserve">      29.2 Batch Windows</w:t>
      </w:r>
      <w:r>
        <w:rPr>
          <w:rFonts w:ascii="Arial" w:hAnsi="Arial" w:cs="Arial"/>
          <w:b w:val="0"/>
          <w:sz w:val="19"/>
        </w:rPr>
        <w:tab/>
        <w:t>91</w:t>
      </w:r>
    </w:p>
    <w:p>
      <w:pPr>
        <w:tabs>
          <w:tab w:pos="9936" w:val="right" w:leader="dot"/>
        </w:tabs>
        <w:spacing w:after="20"/>
      </w:pPr>
      <w:r>
        <w:rPr>
          <w:rFonts w:ascii="Arial" w:hAnsi="Arial" w:cs="Arial"/>
          <w:b w:val="0"/>
          <w:sz w:val="19"/>
        </w:rPr>
        <w:t xml:space="preserve">      29.3 Capacity Assumptions (baseline model)</w:t>
      </w:r>
      <w:r>
        <w:rPr>
          <w:rFonts w:ascii="Arial" w:hAnsi="Arial" w:cs="Arial"/>
          <w:b w:val="0"/>
          <w:sz w:val="19"/>
        </w:rPr>
        <w:tab/>
        <w:t>91</w:t>
      </w:r>
    </w:p>
    <w:p>
      <w:pPr>
        <w:tabs>
          <w:tab w:pos="9936" w:val="right" w:leader="dot"/>
        </w:tabs>
        <w:spacing w:after="20"/>
      </w:pPr>
      <w:r>
        <w:rPr>
          <w:rFonts w:ascii="Arial" w:hAnsi="Arial" w:cs="Arial"/>
          <w:b/>
          <w:color w:val="1F4E78"/>
          <w:sz w:val="21"/>
        </w:rPr>
        <w:t>30. Ind AS 109 Expected Credit Loss (ECL) Model</w:t>
      </w:r>
      <w:r>
        <w:rPr>
          <w:rFonts w:ascii="Arial" w:hAnsi="Arial" w:cs="Arial"/>
          <w:b w:val="0"/>
          <w:sz w:val="20"/>
        </w:rPr>
        <w:tab/>
        <w:t>91</w:t>
      </w:r>
    </w:p>
    <w:p>
      <w:pPr>
        <w:tabs>
          <w:tab w:pos="9936" w:val="right" w:leader="dot"/>
        </w:tabs>
        <w:spacing w:after="20"/>
      </w:pPr>
      <w:r>
        <w:rPr>
          <w:rFonts w:ascii="Arial" w:hAnsi="Arial" w:cs="Arial"/>
          <w:b w:val="0"/>
          <w:sz w:val="19"/>
        </w:rPr>
        <w:t xml:space="preserve">      30.1 Three-Stage Staging</w:t>
      </w:r>
      <w:r>
        <w:rPr>
          <w:rFonts w:ascii="Arial" w:hAnsi="Arial" w:cs="Arial"/>
          <w:b w:val="0"/>
          <w:sz w:val="19"/>
        </w:rPr>
        <w:tab/>
        <w:t>91</w:t>
      </w:r>
    </w:p>
    <w:p>
      <w:pPr>
        <w:tabs>
          <w:tab w:pos="9936" w:val="right" w:leader="dot"/>
        </w:tabs>
        <w:spacing w:after="20"/>
      </w:pPr>
      <w:r>
        <w:rPr>
          <w:rFonts w:ascii="Arial" w:hAnsi="Arial" w:cs="Arial"/>
          <w:b w:val="0"/>
          <w:sz w:val="19"/>
        </w:rPr>
        <w:t xml:space="preserve">      30.2 SICR Triggers (Stage 1 → Stage 2)</w:t>
      </w:r>
      <w:r>
        <w:rPr>
          <w:rFonts w:ascii="Arial" w:hAnsi="Arial" w:cs="Arial"/>
          <w:b w:val="0"/>
          <w:sz w:val="19"/>
        </w:rPr>
        <w:tab/>
        <w:t>92</w:t>
      </w:r>
    </w:p>
    <w:p>
      <w:pPr>
        <w:tabs>
          <w:tab w:pos="9936" w:val="right" w:leader="dot"/>
        </w:tabs>
        <w:spacing w:after="20"/>
      </w:pPr>
      <w:r>
        <w:rPr>
          <w:rFonts w:ascii="Arial" w:hAnsi="Arial" w:cs="Arial"/>
          <w:b w:val="0"/>
          <w:sz w:val="19"/>
        </w:rPr>
        <w:t xml:space="preserve">      30.3 ECL Computation</w:t>
      </w:r>
      <w:r>
        <w:rPr>
          <w:rFonts w:ascii="Arial" w:hAnsi="Arial" w:cs="Arial"/>
          <w:b w:val="0"/>
          <w:sz w:val="19"/>
        </w:rPr>
        <w:tab/>
        <w:t>92</w:t>
      </w:r>
    </w:p>
    <w:p>
      <w:pPr>
        <w:tabs>
          <w:tab w:pos="9936" w:val="right" w:leader="dot"/>
        </w:tabs>
        <w:spacing w:after="20"/>
      </w:pPr>
      <w:r>
        <w:rPr>
          <w:rFonts w:ascii="Arial" w:hAnsi="Arial" w:cs="Arial"/>
          <w:b w:val="0"/>
          <w:sz w:val="19"/>
        </w:rPr>
        <w:t xml:space="preserve">      30.4 Worked Example &amp; IRAC Reconciliation</w:t>
      </w:r>
      <w:r>
        <w:rPr>
          <w:rFonts w:ascii="Arial" w:hAnsi="Arial" w:cs="Arial"/>
          <w:b w:val="0"/>
          <w:sz w:val="19"/>
        </w:rPr>
        <w:tab/>
        <w:t>92</w:t>
      </w:r>
    </w:p>
    <w:p>
      <w:pPr>
        <w:tabs>
          <w:tab w:pos="9936" w:val="right" w:leader="dot"/>
        </w:tabs>
        <w:spacing w:after="20"/>
      </w:pPr>
      <w:r>
        <w:rPr>
          <w:rFonts w:ascii="Arial" w:hAnsi="Arial" w:cs="Arial"/>
          <w:b/>
          <w:color w:val="1F4E78"/>
          <w:sz w:val="21"/>
        </w:rPr>
        <w:t>31. Taxation Sub-Module — GST &amp; TDS</w:t>
      </w:r>
      <w:r>
        <w:rPr>
          <w:rFonts w:ascii="Arial" w:hAnsi="Arial" w:cs="Arial"/>
          <w:b w:val="0"/>
          <w:sz w:val="20"/>
        </w:rPr>
        <w:tab/>
        <w:t>92</w:t>
      </w:r>
    </w:p>
    <w:p>
      <w:pPr>
        <w:tabs>
          <w:tab w:pos="9936" w:val="right" w:leader="dot"/>
        </w:tabs>
        <w:spacing w:after="20"/>
      </w:pPr>
      <w:r>
        <w:rPr>
          <w:rFonts w:ascii="Arial" w:hAnsi="Arial" w:cs="Arial"/>
          <w:b w:val="0"/>
          <w:sz w:val="19"/>
        </w:rPr>
        <w:t xml:space="preserve">      31.1 GST</w:t>
      </w:r>
      <w:r>
        <w:rPr>
          <w:rFonts w:ascii="Arial" w:hAnsi="Arial" w:cs="Arial"/>
          <w:b w:val="0"/>
          <w:sz w:val="19"/>
        </w:rPr>
        <w:tab/>
        <w:t>92</w:t>
      </w:r>
    </w:p>
    <w:p>
      <w:pPr>
        <w:tabs>
          <w:tab w:pos="9936" w:val="right" w:leader="dot"/>
        </w:tabs>
        <w:spacing w:after="20"/>
      </w:pPr>
      <w:r>
        <w:rPr>
          <w:rFonts w:ascii="Arial" w:hAnsi="Arial" w:cs="Arial"/>
          <w:b w:val="0"/>
          <w:sz w:val="19"/>
        </w:rPr>
        <w:t xml:space="preserve">      31.2 TDS / TCS</w:t>
      </w:r>
      <w:r>
        <w:rPr>
          <w:rFonts w:ascii="Arial" w:hAnsi="Arial" w:cs="Arial"/>
          <w:b w:val="0"/>
          <w:sz w:val="19"/>
        </w:rPr>
        <w:tab/>
        <w:t>93</w:t>
      </w:r>
    </w:p>
    <w:p>
      <w:pPr>
        <w:tabs>
          <w:tab w:pos="9936" w:val="right" w:leader="dot"/>
        </w:tabs>
        <w:spacing w:after="20"/>
      </w:pPr>
      <w:r>
        <w:rPr>
          <w:rFonts w:ascii="Arial" w:hAnsi="Arial" w:cs="Arial"/>
          <w:b/>
          <w:color w:val="1F4E78"/>
          <w:sz w:val="21"/>
        </w:rPr>
        <w:t>32. Interest Calculation Engine — Moratorium, Restructuring &amp; Top-Up</w:t>
      </w:r>
      <w:r>
        <w:rPr>
          <w:rFonts w:ascii="Arial" w:hAnsi="Arial" w:cs="Arial"/>
          <w:b w:val="0"/>
          <w:sz w:val="20"/>
        </w:rPr>
        <w:tab/>
        <w:t>93</w:t>
      </w:r>
    </w:p>
    <w:p>
      <w:pPr>
        <w:tabs>
          <w:tab w:pos="9936" w:val="right" w:leader="dot"/>
        </w:tabs>
        <w:spacing w:after="20"/>
      </w:pPr>
      <w:r>
        <w:rPr>
          <w:rFonts w:ascii="Arial" w:hAnsi="Arial" w:cs="Arial"/>
          <w:b w:val="0"/>
          <w:sz w:val="19"/>
        </w:rPr>
        <w:t xml:space="preserve">      32.1 Moratorium &amp; Interest Capitalisation (Education / EMI-Holiday)</w:t>
      </w:r>
      <w:r>
        <w:rPr>
          <w:rFonts w:ascii="Arial" w:hAnsi="Arial" w:cs="Arial"/>
          <w:b w:val="0"/>
          <w:sz w:val="19"/>
        </w:rPr>
        <w:tab/>
        <w:t>93</w:t>
      </w:r>
    </w:p>
    <w:p>
      <w:pPr>
        <w:tabs>
          <w:tab w:pos="9936" w:val="right" w:leader="dot"/>
        </w:tabs>
        <w:spacing w:after="20"/>
      </w:pPr>
      <w:r>
        <w:rPr>
          <w:rFonts w:ascii="Arial" w:hAnsi="Arial" w:cs="Arial"/>
          <w:b w:val="0"/>
          <w:sz w:val="19"/>
        </w:rPr>
        <w:t xml:space="preserve">      32.2 Restructuring — Schedule Regeneration &amp; Modification Gain/Loss</w:t>
      </w:r>
      <w:r>
        <w:rPr>
          <w:rFonts w:ascii="Arial" w:hAnsi="Arial" w:cs="Arial"/>
          <w:b w:val="0"/>
          <w:sz w:val="19"/>
        </w:rPr>
        <w:tab/>
        <w:t>94</w:t>
      </w:r>
    </w:p>
    <w:p>
      <w:pPr>
        <w:tabs>
          <w:tab w:pos="9936" w:val="right" w:leader="dot"/>
        </w:tabs>
        <w:spacing w:after="20"/>
      </w:pPr>
      <w:r>
        <w:rPr>
          <w:rFonts w:ascii="Arial" w:hAnsi="Arial" w:cs="Arial"/>
          <w:b w:val="0"/>
          <w:sz w:val="19"/>
        </w:rPr>
        <w:t xml:space="preserve">      32.3 Top-Up Loan</w:t>
      </w:r>
      <w:r>
        <w:rPr>
          <w:rFonts w:ascii="Arial" w:hAnsi="Arial" w:cs="Arial"/>
          <w:b w:val="0"/>
          <w:sz w:val="19"/>
        </w:rPr>
        <w:tab/>
        <w:t>94</w:t>
      </w:r>
    </w:p>
    <w:p>
      <w:pPr>
        <w:tabs>
          <w:tab w:pos="9936" w:val="right" w:leader="dot"/>
        </w:tabs>
        <w:spacing w:after="20"/>
      </w:pPr>
      <w:r>
        <w:rPr>
          <w:rFonts w:ascii="Arial" w:hAnsi="Arial" w:cs="Arial"/>
          <w:b/>
          <w:color w:val="1F4E78"/>
          <w:sz w:val="21"/>
        </w:rPr>
        <w:t>33. NPA Income Recognition &amp; Reversal Accounting</w:t>
      </w:r>
      <w:r>
        <w:rPr>
          <w:rFonts w:ascii="Arial" w:hAnsi="Arial" w:cs="Arial"/>
          <w:b w:val="0"/>
          <w:sz w:val="20"/>
        </w:rPr>
        <w:tab/>
        <w:t>94</w:t>
      </w:r>
    </w:p>
    <w:p>
      <w:pPr>
        <w:tabs>
          <w:tab w:pos="9936" w:val="right" w:leader="dot"/>
        </w:tabs>
        <w:spacing w:after="20"/>
      </w:pPr>
      <w:r>
        <w:rPr>
          <w:rFonts w:ascii="Arial" w:hAnsi="Arial" w:cs="Arial"/>
          <w:b w:val="0"/>
          <w:sz w:val="19"/>
        </w:rPr>
        <w:t xml:space="preserve">      33.1 On Downgrade to NPA</w:t>
      </w:r>
      <w:r>
        <w:rPr>
          <w:rFonts w:ascii="Arial" w:hAnsi="Arial" w:cs="Arial"/>
          <w:b w:val="0"/>
          <w:sz w:val="19"/>
        </w:rPr>
        <w:tab/>
        <w:t>94</w:t>
      </w:r>
    </w:p>
    <w:p>
      <w:pPr>
        <w:tabs>
          <w:tab w:pos="9936" w:val="right" w:leader="dot"/>
        </w:tabs>
        <w:spacing w:after="20"/>
      </w:pPr>
      <w:r>
        <w:rPr>
          <w:rFonts w:ascii="Arial" w:hAnsi="Arial" w:cs="Arial"/>
          <w:b w:val="0"/>
          <w:sz w:val="19"/>
        </w:rPr>
        <w:t xml:space="preserve">      33.2 On Recovery from an NPA Account</w:t>
      </w:r>
      <w:r>
        <w:rPr>
          <w:rFonts w:ascii="Arial" w:hAnsi="Arial" w:cs="Arial"/>
          <w:b w:val="0"/>
          <w:sz w:val="19"/>
        </w:rPr>
        <w:tab/>
        <w:t>95</w:t>
      </w:r>
    </w:p>
    <w:p>
      <w:pPr>
        <w:tabs>
          <w:tab w:pos="9936" w:val="right" w:leader="dot"/>
        </w:tabs>
        <w:spacing w:after="20"/>
      </w:pPr>
      <w:r>
        <w:rPr>
          <w:rFonts w:ascii="Arial" w:hAnsi="Arial" w:cs="Arial"/>
          <w:b w:val="0"/>
          <w:sz w:val="19"/>
        </w:rPr>
        <w:t xml:space="preserve">      33.3 On Upgrade / Cure</w:t>
      </w:r>
      <w:r>
        <w:rPr>
          <w:rFonts w:ascii="Arial" w:hAnsi="Arial" w:cs="Arial"/>
          <w:b w:val="0"/>
          <w:sz w:val="19"/>
        </w:rPr>
        <w:tab/>
        <w:t>95</w:t>
      </w:r>
    </w:p>
    <w:p>
      <w:pPr>
        <w:tabs>
          <w:tab w:pos="9936" w:val="right" w:leader="dot"/>
        </w:tabs>
        <w:spacing w:after="20"/>
      </w:pPr>
      <w:r>
        <w:rPr>
          <w:rFonts w:ascii="Arial" w:hAnsi="Arial" w:cs="Arial"/>
          <w:b/>
          <w:color w:val="1F4E78"/>
          <w:sz w:val="21"/>
        </w:rPr>
        <w:t>34. Security, IT Governance &amp; Cyber Resilience (RBI Framework Mapping)</w:t>
      </w:r>
      <w:r>
        <w:rPr>
          <w:rFonts w:ascii="Arial" w:hAnsi="Arial" w:cs="Arial"/>
          <w:b w:val="0"/>
          <w:sz w:val="20"/>
        </w:rPr>
        <w:tab/>
        <w:t>95</w:t>
      </w:r>
    </w:p>
    <w:p>
      <w:pPr>
        <w:tabs>
          <w:tab w:pos="9936" w:val="right" w:leader="dot"/>
        </w:tabs>
        <w:spacing w:after="20"/>
      </w:pPr>
      <w:r>
        <w:rPr>
          <w:rFonts w:ascii="Arial" w:hAnsi="Arial" w:cs="Arial"/>
          <w:b w:val="0"/>
          <w:sz w:val="19"/>
        </w:rPr>
        <w:t xml:space="preserve">      34.1 Control-Domain Mapping</w:t>
      </w:r>
      <w:r>
        <w:rPr>
          <w:rFonts w:ascii="Arial" w:hAnsi="Arial" w:cs="Arial"/>
          <w:b w:val="0"/>
          <w:sz w:val="19"/>
        </w:rPr>
        <w:tab/>
        <w:t>95</w:t>
      </w:r>
    </w:p>
    <w:p>
      <w:pPr>
        <w:tabs>
          <w:tab w:pos="9936" w:val="right" w:leader="dot"/>
        </w:tabs>
        <w:spacing w:after="20"/>
      </w:pPr>
      <w:r>
        <w:rPr>
          <w:rFonts w:ascii="Arial" w:hAnsi="Arial" w:cs="Arial"/>
          <w:b w:val="0"/>
          <w:sz w:val="19"/>
        </w:rPr>
        <w:t xml:space="preserve">      34.2 Key Management &amp; API Security</w:t>
      </w:r>
      <w:r>
        <w:rPr>
          <w:rFonts w:ascii="Arial" w:hAnsi="Arial" w:cs="Arial"/>
          <w:b w:val="0"/>
          <w:sz w:val="19"/>
        </w:rPr>
        <w:tab/>
        <w:t>96</w:t>
      </w:r>
    </w:p>
    <w:p>
      <w:pPr>
        <w:tabs>
          <w:tab w:pos="9936" w:val="right" w:leader="dot"/>
        </w:tabs>
        <w:spacing w:after="20"/>
      </w:pPr>
      <w:r>
        <w:rPr>
          <w:rFonts w:ascii="Arial" w:hAnsi="Arial" w:cs="Arial"/>
          <w:b w:val="0"/>
          <w:sz w:val="19"/>
        </w:rPr>
        <w:t xml:space="preserve">      34.3 Incident Response &amp; Breach Reporting</w:t>
      </w:r>
      <w:r>
        <w:rPr>
          <w:rFonts w:ascii="Arial" w:hAnsi="Arial" w:cs="Arial"/>
          <w:b w:val="0"/>
          <w:sz w:val="19"/>
        </w:rPr>
        <w:tab/>
        <w:t>96</w:t>
      </w:r>
    </w:p>
    <w:p>
      <w:pPr>
        <w:tabs>
          <w:tab w:pos="9936" w:val="right" w:leader="dot"/>
        </w:tabs>
        <w:spacing w:after="20"/>
      </w:pPr>
      <w:r>
        <w:rPr>
          <w:rFonts w:ascii="Arial" w:hAnsi="Arial" w:cs="Arial"/>
          <w:b/>
          <w:color w:val="1F4E78"/>
          <w:sz w:val="21"/>
        </w:rPr>
        <w:t>35. Data Privacy (DPDP) — Consent Model &amp; Retention Schedule</w:t>
      </w:r>
      <w:r>
        <w:rPr>
          <w:rFonts w:ascii="Arial" w:hAnsi="Arial" w:cs="Arial"/>
          <w:b w:val="0"/>
          <w:sz w:val="20"/>
        </w:rPr>
        <w:tab/>
        <w:t>96</w:t>
      </w:r>
    </w:p>
    <w:p>
      <w:pPr>
        <w:tabs>
          <w:tab w:pos="9936" w:val="right" w:leader="dot"/>
        </w:tabs>
        <w:spacing w:after="20"/>
      </w:pPr>
      <w:r>
        <w:rPr>
          <w:rFonts w:ascii="Arial" w:hAnsi="Arial" w:cs="Arial"/>
          <w:b w:val="0"/>
          <w:sz w:val="19"/>
        </w:rPr>
        <w:t xml:space="preserve">      35.1 Consent as a First-Class Entity</w:t>
      </w:r>
      <w:r>
        <w:rPr>
          <w:rFonts w:ascii="Arial" w:hAnsi="Arial" w:cs="Arial"/>
          <w:b w:val="0"/>
          <w:sz w:val="19"/>
        </w:rPr>
        <w:tab/>
        <w:t>96</w:t>
      </w:r>
    </w:p>
    <w:p>
      <w:pPr>
        <w:tabs>
          <w:tab w:pos="9936" w:val="right" w:leader="dot"/>
        </w:tabs>
        <w:spacing w:after="20"/>
      </w:pPr>
      <w:r>
        <w:rPr>
          <w:rFonts w:ascii="Arial" w:hAnsi="Arial" w:cs="Arial"/>
          <w:b w:val="0"/>
          <w:sz w:val="19"/>
        </w:rPr>
        <w:t xml:space="preserve">      35.2 Retention Schedule</w:t>
      </w:r>
      <w:r>
        <w:rPr>
          <w:rFonts w:ascii="Arial" w:hAnsi="Arial" w:cs="Arial"/>
          <w:b w:val="0"/>
          <w:sz w:val="19"/>
        </w:rPr>
        <w:tab/>
        <w:t>96</w:t>
      </w:r>
    </w:p>
    <w:p>
      <w:pPr>
        <w:tabs>
          <w:tab w:pos="9936" w:val="right" w:leader="dot"/>
        </w:tabs>
        <w:spacing w:after="20"/>
      </w:pPr>
      <w:r>
        <w:rPr>
          <w:rFonts w:ascii="Arial" w:hAnsi="Arial" w:cs="Arial"/>
          <w:b/>
          <w:color w:val="1F4E78"/>
          <w:sz w:val="21"/>
        </w:rPr>
        <w:t>36. Collections Conduct &amp; Recovery-Agent Governance</w:t>
      </w:r>
      <w:r>
        <w:rPr>
          <w:rFonts w:ascii="Arial" w:hAnsi="Arial" w:cs="Arial"/>
          <w:b w:val="0"/>
          <w:sz w:val="20"/>
        </w:rPr>
        <w:tab/>
        <w:t>97</w:t>
      </w:r>
    </w:p>
    <w:p>
      <w:pPr>
        <w:tabs>
          <w:tab w:pos="9936" w:val="right" w:leader="dot"/>
        </w:tabs>
        <w:spacing w:after="20"/>
      </w:pPr>
      <w:r>
        <w:rPr>
          <w:rFonts w:ascii="Arial" w:hAnsi="Arial" w:cs="Arial"/>
          <w:b w:val="0"/>
          <w:sz w:val="19"/>
        </w:rPr>
        <w:t xml:space="preserve">      36.1 Conduct Rules (system-enforced)</w:t>
      </w:r>
      <w:r>
        <w:rPr>
          <w:rFonts w:ascii="Arial" w:hAnsi="Arial" w:cs="Arial"/>
          <w:b w:val="0"/>
          <w:sz w:val="19"/>
        </w:rPr>
        <w:tab/>
        <w:t>97</w:t>
      </w:r>
    </w:p>
    <w:p>
      <w:pPr>
        <w:tabs>
          <w:tab w:pos="9936" w:val="right" w:leader="dot"/>
        </w:tabs>
        <w:spacing w:after="20"/>
      </w:pPr>
      <w:r>
        <w:rPr>
          <w:rFonts w:ascii="Arial" w:hAnsi="Arial" w:cs="Arial"/>
          <w:b w:val="0"/>
          <w:sz w:val="19"/>
        </w:rPr>
        <w:t xml:space="preserve">      36.2 Recovery-Agent / Agency Governance</w:t>
      </w:r>
      <w:r>
        <w:rPr>
          <w:rFonts w:ascii="Arial" w:hAnsi="Arial" w:cs="Arial"/>
          <w:b w:val="0"/>
          <w:sz w:val="19"/>
        </w:rPr>
        <w:tab/>
        <w:t>97</w:t>
      </w:r>
    </w:p>
    <w:p>
      <w:pPr>
        <w:tabs>
          <w:tab w:pos="9936" w:val="right" w:leader="dot"/>
        </w:tabs>
        <w:spacing w:after="20"/>
      </w:pPr>
      <w:r>
        <w:rPr>
          <w:rFonts w:ascii="Arial" w:hAnsi="Arial" w:cs="Arial"/>
          <w:b/>
          <w:color w:val="1F4E78"/>
          <w:sz w:val="21"/>
        </w:rPr>
        <w:t>37. Fraud Risk — Early Warning Signals, RFA, FMR &amp; Wilful/Large Defaulters</w:t>
      </w:r>
      <w:r>
        <w:rPr>
          <w:rFonts w:ascii="Arial" w:hAnsi="Arial" w:cs="Arial"/>
          <w:b w:val="0"/>
          <w:sz w:val="20"/>
        </w:rPr>
        <w:tab/>
        <w:t>98</w:t>
      </w:r>
    </w:p>
    <w:p>
      <w:pPr>
        <w:tabs>
          <w:tab w:pos="9936" w:val="right" w:leader="dot"/>
        </w:tabs>
        <w:spacing w:after="20"/>
      </w:pPr>
      <w:r>
        <w:rPr>
          <w:rFonts w:ascii="Arial" w:hAnsi="Arial" w:cs="Arial"/>
          <w:b w:val="0"/>
          <w:sz w:val="19"/>
        </w:rPr>
        <w:t xml:space="preserve">      37.1 Early Warning Signals (EWS)</w:t>
      </w:r>
      <w:r>
        <w:rPr>
          <w:rFonts w:ascii="Arial" w:hAnsi="Arial" w:cs="Arial"/>
          <w:b w:val="0"/>
          <w:sz w:val="19"/>
        </w:rPr>
        <w:tab/>
        <w:t>98</w:t>
      </w:r>
    </w:p>
    <w:p>
      <w:pPr>
        <w:tabs>
          <w:tab w:pos="9936" w:val="right" w:leader="dot"/>
        </w:tabs>
        <w:spacing w:after="20"/>
      </w:pPr>
      <w:r>
        <w:rPr>
          <w:rFonts w:ascii="Arial" w:hAnsi="Arial" w:cs="Arial"/>
          <w:b w:val="0"/>
          <w:sz w:val="19"/>
        </w:rPr>
        <w:t xml:space="preserve">      37.2 Red-Flagged Account (RFA) &amp; Fraud Workflow</w:t>
      </w:r>
      <w:r>
        <w:rPr>
          <w:rFonts w:ascii="Arial" w:hAnsi="Arial" w:cs="Arial"/>
          <w:b w:val="0"/>
          <w:sz w:val="19"/>
        </w:rPr>
        <w:tab/>
        <w:t>98</w:t>
      </w:r>
    </w:p>
    <w:p>
      <w:pPr>
        <w:tabs>
          <w:tab w:pos="9936" w:val="right" w:leader="dot"/>
        </w:tabs>
        <w:spacing w:after="20"/>
      </w:pPr>
      <w:r>
        <w:rPr>
          <w:rFonts w:ascii="Arial" w:hAnsi="Arial" w:cs="Arial"/>
          <w:b w:val="0"/>
          <w:sz w:val="19"/>
        </w:rPr>
        <w:t xml:space="preserve">      37.3 Wilful &amp; Large Defaulters</w:t>
      </w:r>
      <w:r>
        <w:rPr>
          <w:rFonts w:ascii="Arial" w:hAnsi="Arial" w:cs="Arial"/>
          <w:b w:val="0"/>
          <w:sz w:val="19"/>
        </w:rPr>
        <w:tab/>
        <w:t>98</w:t>
      </w:r>
    </w:p>
    <w:p>
      <w:pPr>
        <w:tabs>
          <w:tab w:pos="9936" w:val="right" w:leader="dot"/>
        </w:tabs>
        <w:spacing w:after="20"/>
      </w:pPr>
      <w:r>
        <w:rPr>
          <w:rFonts w:ascii="Arial" w:hAnsi="Arial" w:cs="Arial"/>
          <w:b/>
          <w:color w:val="1F4E78"/>
          <w:sz w:val="21"/>
        </w:rPr>
        <w:t>38. Integration Resilience Patterns &amp; Per-Integration SLAs</w:t>
      </w:r>
      <w:r>
        <w:rPr>
          <w:rFonts w:ascii="Arial" w:hAnsi="Arial" w:cs="Arial"/>
          <w:b w:val="0"/>
          <w:sz w:val="20"/>
        </w:rPr>
        <w:tab/>
        <w:t>98</w:t>
      </w:r>
    </w:p>
    <w:p>
      <w:pPr>
        <w:tabs>
          <w:tab w:pos="9936" w:val="right" w:leader="dot"/>
        </w:tabs>
        <w:spacing w:after="20"/>
      </w:pPr>
      <w:r>
        <w:rPr>
          <w:rFonts w:ascii="Arial" w:hAnsi="Arial" w:cs="Arial"/>
          <w:b w:val="0"/>
          <w:sz w:val="19"/>
        </w:rPr>
        <w:t xml:space="preserve">      38.1 Standard Patterns</w:t>
      </w:r>
      <w:r>
        <w:rPr>
          <w:rFonts w:ascii="Arial" w:hAnsi="Arial" w:cs="Arial"/>
          <w:b w:val="0"/>
          <w:sz w:val="19"/>
        </w:rPr>
        <w:tab/>
        <w:t>98</w:t>
      </w:r>
    </w:p>
    <w:p>
      <w:pPr>
        <w:tabs>
          <w:tab w:pos="9936" w:val="right" w:leader="dot"/>
        </w:tabs>
        <w:spacing w:after="20"/>
      </w:pPr>
      <w:r>
        <w:rPr>
          <w:rFonts w:ascii="Arial" w:hAnsi="Arial" w:cs="Arial"/>
          <w:b w:val="0"/>
          <w:sz w:val="19"/>
        </w:rPr>
        <w:t xml:space="preserve">      38.2 Per-Integration Profile</w:t>
      </w:r>
      <w:r>
        <w:rPr>
          <w:rFonts w:ascii="Arial" w:hAnsi="Arial" w:cs="Arial"/>
          <w:b w:val="0"/>
          <w:sz w:val="19"/>
        </w:rPr>
        <w:tab/>
        <w:t>99</w:t>
      </w:r>
    </w:p>
    <w:p>
      <w:pPr>
        <w:tabs>
          <w:tab w:pos="9936" w:val="right" w:leader="dot"/>
        </w:tabs>
        <w:spacing w:after="20"/>
      </w:pPr>
      <w:r>
        <w:rPr>
          <w:rFonts w:ascii="Arial" w:hAnsi="Arial" w:cs="Arial"/>
          <w:b w:val="0"/>
          <w:sz w:val="19"/>
        </w:rPr>
        <w:t xml:space="preserve">      38.3 Payment-Rail Reconciliation</w:t>
      </w:r>
      <w:r>
        <w:rPr>
          <w:rFonts w:ascii="Arial" w:hAnsi="Arial" w:cs="Arial"/>
          <w:b w:val="0"/>
          <w:sz w:val="19"/>
        </w:rPr>
        <w:tab/>
        <w:t>99</w:t>
      </w:r>
    </w:p>
    <w:p>
      <w:pPr>
        <w:tabs>
          <w:tab w:pos="9936" w:val="right" w:leader="dot"/>
        </w:tabs>
        <w:spacing w:after="20"/>
      </w:pPr>
      <w:r>
        <w:rPr>
          <w:rFonts w:ascii="Arial" w:hAnsi="Arial" w:cs="Arial"/>
          <w:b/>
          <w:color w:val="1F4E78"/>
          <w:sz w:val="21"/>
        </w:rPr>
        <w:t>39. Data Dictionary, Temporal Design &amp; Indexing</w:t>
      </w:r>
      <w:r>
        <w:rPr>
          <w:rFonts w:ascii="Arial" w:hAnsi="Arial" w:cs="Arial"/>
          <w:b w:val="0"/>
          <w:sz w:val="20"/>
        </w:rPr>
        <w:tab/>
        <w:t>99</w:t>
      </w:r>
    </w:p>
    <w:p>
      <w:pPr>
        <w:tabs>
          <w:tab w:pos="9936" w:val="right" w:leader="dot"/>
        </w:tabs>
        <w:spacing w:after="20"/>
      </w:pPr>
      <w:r>
        <w:rPr>
          <w:rFonts w:ascii="Arial" w:hAnsi="Arial" w:cs="Arial"/>
          <w:b w:val="0"/>
          <w:sz w:val="19"/>
        </w:rPr>
        <w:t xml:space="preserve">      39.1 Standard Columns (every table)</w:t>
      </w:r>
      <w:r>
        <w:rPr>
          <w:rFonts w:ascii="Arial" w:hAnsi="Arial" w:cs="Arial"/>
          <w:b w:val="0"/>
          <w:sz w:val="19"/>
        </w:rPr>
        <w:tab/>
        <w:t>99</w:t>
      </w:r>
    </w:p>
    <w:p>
      <w:pPr>
        <w:tabs>
          <w:tab w:pos="9936" w:val="right" w:leader="dot"/>
        </w:tabs>
        <w:spacing w:after="20"/>
      </w:pPr>
      <w:r>
        <w:rPr>
          <w:rFonts w:ascii="Arial" w:hAnsi="Arial" w:cs="Arial"/>
          <w:b w:val="0"/>
          <w:sz w:val="19"/>
        </w:rPr>
        <w:t xml:space="preserve">      39.2 Temporal / Effective-Dating</w:t>
      </w:r>
      <w:r>
        <w:rPr>
          <w:rFonts w:ascii="Arial" w:hAnsi="Arial" w:cs="Arial"/>
          <w:b w:val="0"/>
          <w:sz w:val="19"/>
        </w:rPr>
        <w:tab/>
        <w:t>100</w:t>
      </w:r>
    </w:p>
    <w:p>
      <w:pPr>
        <w:tabs>
          <w:tab w:pos="9936" w:val="right" w:leader="dot"/>
        </w:tabs>
        <w:spacing w:after="20"/>
      </w:pPr>
      <w:r>
        <w:rPr>
          <w:rFonts w:ascii="Arial" w:hAnsi="Arial" w:cs="Arial"/>
          <w:b w:val="0"/>
          <w:sz w:val="19"/>
        </w:rPr>
        <w:t xml:space="preserve">      39.3 Types, Money &amp; PII</w:t>
      </w:r>
      <w:r>
        <w:rPr>
          <w:rFonts w:ascii="Arial" w:hAnsi="Arial" w:cs="Arial"/>
          <w:b w:val="0"/>
          <w:sz w:val="19"/>
        </w:rPr>
        <w:tab/>
        <w:t>100</w:t>
      </w:r>
    </w:p>
    <w:p>
      <w:pPr>
        <w:tabs>
          <w:tab w:pos="9936" w:val="right" w:leader="dot"/>
        </w:tabs>
        <w:spacing w:after="20"/>
      </w:pPr>
      <w:r>
        <w:rPr>
          <w:rFonts w:ascii="Arial" w:hAnsi="Arial" w:cs="Arial"/>
          <w:b w:val="0"/>
          <w:sz w:val="19"/>
        </w:rPr>
        <w:t xml:space="preserve">      39.4 Indexing &amp; Partitioning</w:t>
      </w:r>
      <w:r>
        <w:rPr>
          <w:rFonts w:ascii="Arial" w:hAnsi="Arial" w:cs="Arial"/>
          <w:b w:val="0"/>
          <w:sz w:val="19"/>
        </w:rPr>
        <w:tab/>
        <w:t>100</w:t>
      </w:r>
    </w:p>
    <w:p>
      <w:pPr>
        <w:tabs>
          <w:tab w:pos="9936" w:val="right" w:leader="dot"/>
        </w:tabs>
        <w:spacing w:after="20"/>
      </w:pPr>
      <w:r>
        <w:rPr>
          <w:rFonts w:ascii="Arial" w:hAnsi="Arial" w:cs="Arial"/>
          <w:b/>
          <w:color w:val="1F4E78"/>
          <w:sz w:val="21"/>
        </w:rPr>
        <w:t>40. API Engineering Standard — Idempotency, Errors, Versioning &amp; Async</w:t>
      </w:r>
      <w:r>
        <w:rPr>
          <w:rFonts w:ascii="Arial" w:hAnsi="Arial" w:cs="Arial"/>
          <w:b w:val="0"/>
          <w:sz w:val="20"/>
        </w:rPr>
        <w:tab/>
        <w:t>100</w:t>
      </w:r>
    </w:p>
    <w:p>
      <w:pPr>
        <w:tabs>
          <w:tab w:pos="9936" w:val="right" w:leader="dot"/>
        </w:tabs>
        <w:spacing w:after="20"/>
      </w:pPr>
      <w:r>
        <w:rPr>
          <w:rFonts w:ascii="Arial" w:hAnsi="Arial" w:cs="Arial"/>
          <w:b w:val="0"/>
          <w:sz w:val="19"/>
        </w:rPr>
        <w:t xml:space="preserve">      40.1 Idempotency</w:t>
      </w:r>
      <w:r>
        <w:rPr>
          <w:rFonts w:ascii="Arial" w:hAnsi="Arial" w:cs="Arial"/>
          <w:b w:val="0"/>
          <w:sz w:val="19"/>
        </w:rPr>
        <w:tab/>
        <w:t>100</w:t>
      </w:r>
    </w:p>
    <w:p>
      <w:pPr>
        <w:tabs>
          <w:tab w:pos="9936" w:val="right" w:leader="dot"/>
        </w:tabs>
        <w:spacing w:after="20"/>
      </w:pPr>
      <w:r>
        <w:rPr>
          <w:rFonts w:ascii="Arial" w:hAnsi="Arial" w:cs="Arial"/>
          <w:b w:val="0"/>
          <w:sz w:val="19"/>
        </w:rPr>
        <w:t xml:space="preserve">      40.2 Error Envelope &amp; Status Codes</w:t>
      </w:r>
      <w:r>
        <w:rPr>
          <w:rFonts w:ascii="Arial" w:hAnsi="Arial" w:cs="Arial"/>
          <w:b w:val="0"/>
          <w:sz w:val="19"/>
        </w:rPr>
        <w:tab/>
        <w:t>101</w:t>
      </w:r>
    </w:p>
    <w:p>
      <w:pPr>
        <w:tabs>
          <w:tab w:pos="9936" w:val="right" w:leader="dot"/>
        </w:tabs>
        <w:spacing w:after="20"/>
      </w:pPr>
      <w:r>
        <w:rPr>
          <w:rFonts w:ascii="Arial" w:hAnsi="Arial" w:cs="Arial"/>
          <w:b w:val="0"/>
          <w:sz w:val="19"/>
        </w:rPr>
        <w:t xml:space="preserve">      40.3 Versioning, Pagination &amp; Auth</w:t>
      </w:r>
      <w:r>
        <w:rPr>
          <w:rFonts w:ascii="Arial" w:hAnsi="Arial" w:cs="Arial"/>
          <w:b w:val="0"/>
          <w:sz w:val="19"/>
        </w:rPr>
        <w:tab/>
        <w:t>101</w:t>
      </w:r>
    </w:p>
    <w:p>
      <w:pPr>
        <w:tabs>
          <w:tab w:pos="9936" w:val="right" w:leader="dot"/>
        </w:tabs>
        <w:spacing w:after="20"/>
      </w:pPr>
      <w:r>
        <w:rPr>
          <w:rFonts w:ascii="Arial" w:hAnsi="Arial" w:cs="Arial"/>
          <w:b w:val="0"/>
          <w:sz w:val="19"/>
        </w:rPr>
        <w:t xml:space="preserve">      40.4 Async / Long-Running Operations</w:t>
      </w:r>
      <w:r>
        <w:rPr>
          <w:rFonts w:ascii="Arial" w:hAnsi="Arial" w:cs="Arial"/>
          <w:b w:val="0"/>
          <w:sz w:val="19"/>
        </w:rPr>
        <w:tab/>
        <w:t>101</w:t>
      </w:r>
    </w:p>
    <w:p>
      <w:pPr>
        <w:tabs>
          <w:tab w:pos="9936" w:val="right" w:leader="dot"/>
        </w:tabs>
        <w:spacing w:after="20"/>
      </w:pPr>
      <w:r>
        <w:rPr>
          <w:rFonts w:ascii="Arial" w:hAnsi="Arial" w:cs="Arial"/>
          <w:b/>
          <w:color w:val="1F4E78"/>
          <w:sz w:val="21"/>
        </w:rPr>
        <w:t>41. Test Strategy &amp; Golden Test Vectors</w:t>
      </w:r>
      <w:r>
        <w:rPr>
          <w:rFonts w:ascii="Arial" w:hAnsi="Arial" w:cs="Arial"/>
          <w:b w:val="0"/>
          <w:sz w:val="20"/>
        </w:rPr>
        <w:tab/>
        <w:t>101</w:t>
      </w:r>
    </w:p>
    <w:p>
      <w:pPr>
        <w:tabs>
          <w:tab w:pos="9936" w:val="right" w:leader="dot"/>
        </w:tabs>
        <w:spacing w:after="20"/>
      </w:pPr>
      <w:r>
        <w:rPr>
          <w:rFonts w:ascii="Arial" w:hAnsi="Arial" w:cs="Arial"/>
          <w:b w:val="0"/>
          <w:sz w:val="19"/>
        </w:rPr>
        <w:t xml:space="preserve">      41.1 Test Pyramid &amp; Coverage</w:t>
      </w:r>
      <w:r>
        <w:rPr>
          <w:rFonts w:ascii="Arial" w:hAnsi="Arial" w:cs="Arial"/>
          <w:b w:val="0"/>
          <w:sz w:val="19"/>
        </w:rPr>
        <w:tab/>
        <w:t>102</w:t>
      </w:r>
    </w:p>
    <w:p>
      <w:pPr>
        <w:tabs>
          <w:tab w:pos="9936" w:val="right" w:leader="dot"/>
        </w:tabs>
        <w:spacing w:after="20"/>
      </w:pPr>
      <w:r>
        <w:rPr>
          <w:rFonts w:ascii="Arial" w:hAnsi="Arial" w:cs="Arial"/>
          <w:b w:val="0"/>
          <w:sz w:val="19"/>
        </w:rPr>
        <w:t xml:space="preserve">      41.2 Golden Test Vectors (calculation engine)</w:t>
      </w:r>
      <w:r>
        <w:rPr>
          <w:rFonts w:ascii="Arial" w:hAnsi="Arial" w:cs="Arial"/>
          <w:b w:val="0"/>
          <w:sz w:val="19"/>
        </w:rPr>
        <w:tab/>
        <w:t>102</w:t>
      </w:r>
    </w:p>
    <w:p>
      <w:pPr>
        <w:tabs>
          <w:tab w:pos="9936" w:val="right" w:leader="dot"/>
        </w:tabs>
        <w:spacing w:after="20"/>
      </w:pPr>
      <w:r>
        <w:rPr>
          <w:rFonts w:ascii="Arial" w:hAnsi="Arial" w:cs="Arial"/>
          <w:b w:val="0"/>
          <w:sz w:val="19"/>
        </w:rPr>
        <w:t xml:space="preserve">      41.3 Reconciliation Harness</w:t>
      </w:r>
      <w:r>
        <w:rPr>
          <w:rFonts w:ascii="Arial" w:hAnsi="Arial" w:cs="Arial"/>
          <w:b w:val="0"/>
          <w:sz w:val="19"/>
        </w:rPr>
        <w:tab/>
        <w:t>102</w:t>
      </w:r>
    </w:p>
    <w:p>
      <w:pPr>
        <w:tabs>
          <w:tab w:pos="9936" w:val="right" w:leader="dot"/>
        </w:tabs>
        <w:spacing w:after="20"/>
      </w:pPr>
      <w:r>
        <w:rPr>
          <w:rFonts w:ascii="Arial" w:hAnsi="Arial" w:cs="Arial"/>
          <w:b w:val="0"/>
          <w:sz w:val="19"/>
        </w:rPr>
        <w:t xml:space="preserve">      41.4 Performance, Resilience &amp; Security Testing</w:t>
      </w:r>
      <w:r>
        <w:rPr>
          <w:rFonts w:ascii="Arial" w:hAnsi="Arial" w:cs="Arial"/>
          <w:b w:val="0"/>
          <w:sz w:val="19"/>
        </w:rPr>
        <w:tab/>
        <w:t>102</w:t>
      </w:r>
    </w:p>
    <w:p>
      <w:pPr>
        <w:tabs>
          <w:tab w:pos="9936" w:val="right" w:leader="dot"/>
        </w:tabs>
        <w:spacing w:after="20"/>
      </w:pPr>
      <w:r>
        <w:rPr>
          <w:rFonts w:ascii="Arial" w:hAnsi="Arial" w:cs="Arial"/>
          <w:b/>
          <w:color w:val="1F4E78"/>
          <w:sz w:val="21"/>
        </w:rPr>
        <w:t>42. DevOps, Observability, Capacity &amp; Cost Model</w:t>
      </w:r>
      <w:r>
        <w:rPr>
          <w:rFonts w:ascii="Arial" w:hAnsi="Arial" w:cs="Arial"/>
          <w:b w:val="0"/>
          <w:sz w:val="20"/>
        </w:rPr>
        <w:tab/>
        <w:t>102</w:t>
      </w:r>
    </w:p>
    <w:p>
      <w:pPr>
        <w:tabs>
          <w:tab w:pos="9936" w:val="right" w:leader="dot"/>
        </w:tabs>
        <w:spacing w:after="20"/>
      </w:pPr>
      <w:r>
        <w:rPr>
          <w:rFonts w:ascii="Arial" w:hAnsi="Arial" w:cs="Arial"/>
          <w:b w:val="0"/>
          <w:sz w:val="19"/>
        </w:rPr>
        <w:t xml:space="preserve">      42.1 CI/CD &amp; Environments</w:t>
      </w:r>
      <w:r>
        <w:rPr>
          <w:rFonts w:ascii="Arial" w:hAnsi="Arial" w:cs="Arial"/>
          <w:b w:val="0"/>
          <w:sz w:val="19"/>
        </w:rPr>
        <w:tab/>
        <w:t>102</w:t>
      </w:r>
    </w:p>
    <w:p>
      <w:pPr>
        <w:tabs>
          <w:tab w:pos="9936" w:val="right" w:leader="dot"/>
        </w:tabs>
        <w:spacing w:after="20"/>
      </w:pPr>
      <w:r>
        <w:rPr>
          <w:rFonts w:ascii="Arial" w:hAnsi="Arial" w:cs="Arial"/>
          <w:b w:val="0"/>
          <w:sz w:val="19"/>
        </w:rPr>
        <w:t xml:space="preserve">      42.2 Observability</w:t>
      </w:r>
      <w:r>
        <w:rPr>
          <w:rFonts w:ascii="Arial" w:hAnsi="Arial" w:cs="Arial"/>
          <w:b w:val="0"/>
          <w:sz w:val="19"/>
        </w:rPr>
        <w:tab/>
        <w:t>103</w:t>
      </w:r>
    </w:p>
    <w:p>
      <w:pPr>
        <w:tabs>
          <w:tab w:pos="9936" w:val="right" w:leader="dot"/>
        </w:tabs>
        <w:spacing w:after="20"/>
      </w:pPr>
      <w:r>
        <w:rPr>
          <w:rFonts w:ascii="Arial" w:hAnsi="Arial" w:cs="Arial"/>
          <w:b w:val="0"/>
          <w:sz w:val="19"/>
        </w:rPr>
        <w:t xml:space="preserve">      42.3 Capacity &amp; Cost Model</w:t>
      </w:r>
      <w:r>
        <w:rPr>
          <w:rFonts w:ascii="Arial" w:hAnsi="Arial" w:cs="Arial"/>
          <w:b w:val="0"/>
          <w:sz w:val="19"/>
        </w:rPr>
        <w:tab/>
        <w:t>103</w:t>
      </w:r>
    </w:p>
    <w:p>
      <w:pPr>
        <w:tabs>
          <w:tab w:pos="9936" w:val="right" w:leader="dot"/>
        </w:tabs>
        <w:spacing w:after="20"/>
      </w:pPr>
      <w:r>
        <w:rPr>
          <w:rFonts w:ascii="Arial" w:hAnsi="Arial" w:cs="Arial"/>
          <w:b/>
          <w:color w:val="1F4E78"/>
          <w:sz w:val="21"/>
        </w:rPr>
        <w:t>43. Cross-Cutting Field Standards &amp; New Product Variants</w:t>
      </w:r>
      <w:r>
        <w:rPr>
          <w:rFonts w:ascii="Arial" w:hAnsi="Arial" w:cs="Arial"/>
          <w:b w:val="0"/>
          <w:sz w:val="20"/>
        </w:rPr>
        <w:tab/>
        <w:t>103</w:t>
      </w:r>
    </w:p>
    <w:p>
      <w:pPr>
        <w:tabs>
          <w:tab w:pos="9936" w:val="right" w:leader="dot"/>
        </w:tabs>
        <w:spacing w:after="20"/>
      </w:pPr>
      <w:r>
        <w:rPr>
          <w:rFonts w:ascii="Arial" w:hAnsi="Arial" w:cs="Arial"/>
          <w:b w:val="0"/>
          <w:sz w:val="19"/>
        </w:rPr>
        <w:t xml:space="preserve">      43.1 Standard Consent Block (reusable on every application)</w:t>
      </w:r>
      <w:r>
        <w:rPr>
          <w:rFonts w:ascii="Arial" w:hAnsi="Arial" w:cs="Arial"/>
          <w:b w:val="0"/>
          <w:sz w:val="19"/>
        </w:rPr>
        <w:tab/>
        <w:t>103</w:t>
      </w:r>
    </w:p>
    <w:p>
      <w:pPr>
        <w:tabs>
          <w:tab w:pos="9936" w:val="right" w:leader="dot"/>
        </w:tabs>
        <w:spacing w:after="20"/>
      </w:pPr>
      <w:r>
        <w:rPr>
          <w:rFonts w:ascii="Arial" w:hAnsi="Arial" w:cs="Arial"/>
          <w:b w:val="0"/>
          <w:sz w:val="19"/>
        </w:rPr>
        <w:t xml:space="preserve">      43.2 Mandatory Field Additions (all applicant types)</w:t>
      </w:r>
      <w:r>
        <w:rPr>
          <w:rFonts w:ascii="Arial" w:hAnsi="Arial" w:cs="Arial"/>
          <w:b w:val="0"/>
          <w:sz w:val="19"/>
        </w:rPr>
        <w:tab/>
        <w:t>103</w:t>
      </w:r>
    </w:p>
    <w:p>
      <w:pPr>
        <w:tabs>
          <w:tab w:pos="9936" w:val="right" w:leader="dot"/>
        </w:tabs>
        <w:spacing w:after="20"/>
      </w:pPr>
      <w:r>
        <w:rPr>
          <w:rFonts w:ascii="Arial" w:hAnsi="Arial" w:cs="Arial"/>
          <w:b w:val="0"/>
          <w:sz w:val="19"/>
        </w:rPr>
        <w:t xml:space="preserve">      43.3 Conditional-Field Rule Convention</w:t>
      </w:r>
      <w:r>
        <w:rPr>
          <w:rFonts w:ascii="Arial" w:hAnsi="Arial" w:cs="Arial"/>
          <w:b w:val="0"/>
          <w:sz w:val="19"/>
        </w:rPr>
        <w:tab/>
        <w:t>104</w:t>
      </w:r>
    </w:p>
    <w:p>
      <w:pPr>
        <w:tabs>
          <w:tab w:pos="9936" w:val="right" w:leader="dot"/>
        </w:tabs>
        <w:spacing w:after="20"/>
      </w:pPr>
      <w:r>
        <w:rPr>
          <w:rFonts w:ascii="Arial" w:hAnsi="Arial" w:cs="Arial"/>
          <w:b w:val="0"/>
          <w:sz w:val="19"/>
        </w:rPr>
        <w:t xml:space="preserve">      43.4 New Product Variant — 3.34 Top-Up Loan</w:t>
      </w:r>
      <w:r>
        <w:rPr>
          <w:rFonts w:ascii="Arial" w:hAnsi="Arial" w:cs="Arial"/>
          <w:b w:val="0"/>
          <w:sz w:val="19"/>
        </w:rPr>
        <w:tab/>
        <w:t>104</w:t>
      </w:r>
    </w:p>
    <w:p>
      <w:pPr>
        <w:tabs>
          <w:tab w:pos="9936" w:val="right" w:leader="dot"/>
        </w:tabs>
        <w:spacing w:after="20"/>
      </w:pPr>
      <w:r>
        <w:rPr>
          <w:rFonts w:ascii="Arial" w:hAnsi="Arial" w:cs="Arial"/>
          <w:b w:val="0"/>
          <w:sz w:val="19"/>
        </w:rPr>
        <w:t xml:space="preserve">      43.5 New Product Variant — 3.35 Balance Transfer / Takeover</w:t>
      </w:r>
      <w:r>
        <w:rPr>
          <w:rFonts w:ascii="Arial" w:hAnsi="Arial" w:cs="Arial"/>
          <w:b w:val="0"/>
          <w:sz w:val="19"/>
        </w:rPr>
        <w:tab/>
        <w:t>104</w:t>
      </w:r>
    </w:p>
    <w:p>
      <w:pPr>
        <w:tabs>
          <w:tab w:pos="9936" w:val="right" w:leader="dot"/>
        </w:tabs>
        <w:spacing w:after="20"/>
      </w:pPr>
      <w:r>
        <w:rPr>
          <w:rFonts w:ascii="Arial" w:hAnsi="Arial" w:cs="Arial"/>
          <w:b/>
          <w:color w:val="1F4E78"/>
          <w:sz w:val="21"/>
        </w:rPr>
        <w:t>44. Architecture &amp; Flow Diagrams</w:t>
      </w:r>
      <w:r>
        <w:rPr>
          <w:rFonts w:ascii="Arial" w:hAnsi="Arial" w:cs="Arial"/>
          <w:b w:val="0"/>
          <w:sz w:val="20"/>
        </w:rPr>
        <w:tab/>
        <w:t>106</w:t>
      </w:r>
    </w:p>
    <w:p>
      <w:pPr>
        <w:tabs>
          <w:tab w:pos="9936" w:val="right" w:leader="dot"/>
        </w:tabs>
        <w:spacing w:after="20"/>
      </w:pPr>
      <w:r>
        <w:rPr>
          <w:rFonts w:ascii="Arial" w:hAnsi="Arial" w:cs="Arial"/>
          <w:b w:val="0"/>
          <w:sz w:val="19"/>
        </w:rPr>
        <w:t xml:space="preserve">      44.1 System Context</w:t>
      </w:r>
      <w:r>
        <w:rPr>
          <w:rFonts w:ascii="Arial" w:hAnsi="Arial" w:cs="Arial"/>
          <w:b w:val="0"/>
          <w:sz w:val="19"/>
        </w:rPr>
        <w:tab/>
        <w:t>106</w:t>
      </w:r>
    </w:p>
    <w:p>
      <w:pPr>
        <w:tabs>
          <w:tab w:pos="9936" w:val="right" w:leader="dot"/>
        </w:tabs>
        <w:spacing w:after="20"/>
      </w:pPr>
      <w:r>
        <w:rPr>
          <w:rFonts w:ascii="Arial" w:hAnsi="Arial" w:cs="Arial"/>
          <w:b w:val="0"/>
          <w:sz w:val="19"/>
        </w:rPr>
        <w:t xml:space="preserve">      44.2 Deployment &amp; Disaster-Recovery Topology</w:t>
      </w:r>
      <w:r>
        <w:rPr>
          <w:rFonts w:ascii="Arial" w:hAnsi="Arial" w:cs="Arial"/>
          <w:b w:val="0"/>
          <w:sz w:val="19"/>
        </w:rPr>
        <w:tab/>
        <w:t>107</w:t>
      </w:r>
    </w:p>
    <w:p>
      <w:pPr>
        <w:tabs>
          <w:tab w:pos="9936" w:val="right" w:leader="dot"/>
        </w:tabs>
        <w:spacing w:after="20"/>
      </w:pPr>
      <w:r>
        <w:rPr>
          <w:rFonts w:ascii="Arial" w:hAnsi="Arial" w:cs="Arial"/>
          <w:b w:val="0"/>
          <w:sz w:val="19"/>
        </w:rPr>
        <w:t xml:space="preserve">      44.3 Core Data Model (Entity–Relationship)</w:t>
      </w:r>
      <w:r>
        <w:rPr>
          <w:rFonts w:ascii="Arial" w:hAnsi="Arial" w:cs="Arial"/>
          <w:b w:val="0"/>
          <w:sz w:val="19"/>
        </w:rPr>
        <w:tab/>
        <w:t>107</w:t>
      </w:r>
    </w:p>
    <w:p>
      <w:pPr>
        <w:tabs>
          <w:tab w:pos="9936" w:val="right" w:leader="dot"/>
        </w:tabs>
        <w:spacing w:after="20"/>
      </w:pPr>
      <w:r>
        <w:rPr>
          <w:rFonts w:ascii="Arial" w:hAnsi="Arial" w:cs="Arial"/>
          <w:b w:val="0"/>
          <w:sz w:val="19"/>
        </w:rPr>
        <w:t xml:space="preserve">      44.4 Sequence — Disbursement → GL Posting</w:t>
      </w:r>
      <w:r>
        <w:rPr>
          <w:rFonts w:ascii="Arial" w:hAnsi="Arial" w:cs="Arial"/>
          <w:b w:val="0"/>
          <w:sz w:val="19"/>
        </w:rPr>
        <w:tab/>
        <w:t>108</w:t>
      </w:r>
    </w:p>
    <w:p>
      <w:pPr>
        <w:tabs>
          <w:tab w:pos="9936" w:val="right" w:leader="dot"/>
        </w:tabs>
        <w:spacing w:after="20"/>
      </w:pPr>
      <w:r>
        <w:rPr>
          <w:rFonts w:ascii="Arial" w:hAnsi="Arial" w:cs="Arial"/>
          <w:b w:val="0"/>
          <w:sz w:val="19"/>
        </w:rPr>
        <w:t xml:space="preserve">      44.5 Sequence — EMI / NACH Collection &amp; Failure</w:t>
      </w:r>
      <w:r>
        <w:rPr>
          <w:rFonts w:ascii="Arial" w:hAnsi="Arial" w:cs="Arial"/>
          <w:b w:val="0"/>
          <w:sz w:val="19"/>
        </w:rPr>
        <w:tab/>
        <w:t>108</w:t>
      </w:r>
    </w:p>
    <w:p>
      <w:pPr>
        <w:tabs>
          <w:tab w:pos="9936" w:val="right" w:leader="dot"/>
        </w:tabs>
        <w:spacing w:after="20"/>
      </w:pPr>
      <w:r>
        <w:rPr>
          <w:rFonts w:ascii="Arial" w:hAnsi="Arial" w:cs="Arial"/>
          <w:b w:val="0"/>
          <w:sz w:val="19"/>
        </w:rPr>
        <w:t xml:space="preserve">      44.6 Sequence — Monthly CIC (Bureau) Reporting</w:t>
      </w:r>
      <w:r>
        <w:rPr>
          <w:rFonts w:ascii="Arial" w:hAnsi="Arial" w:cs="Arial"/>
          <w:b w:val="0"/>
          <w:sz w:val="19"/>
        </w:rPr>
        <w:tab/>
        <w:t>109</w:t>
      </w:r>
    </w:p>
    <w:p>
      <w:pPr>
        <w:tabs>
          <w:tab w:pos="9936" w:val="right" w:leader="dot"/>
        </w:tabs>
        <w:spacing w:after="20"/>
      </w:pPr>
      <w:r>
        <w:rPr>
          <w:rFonts w:ascii="Arial" w:hAnsi="Arial" w:cs="Arial"/>
          <w:b w:val="0"/>
          <w:sz w:val="19"/>
        </w:rPr>
        <w:t xml:space="preserve">      44.7 Sequence — LAS Drawing-Power Revaluation &amp; Margin Call</w:t>
      </w:r>
      <w:r>
        <w:rPr>
          <w:rFonts w:ascii="Arial" w:hAnsi="Arial" w:cs="Arial"/>
          <w:b w:val="0"/>
          <w:sz w:val="19"/>
        </w:rPr>
        <w:tab/>
        <w:t>109</w:t>
      </w:r>
    </w:p>
    <w:p>
      <w:pPr>
        <w:tabs>
          <w:tab w:pos="9936" w:val="right" w:leader="dot"/>
        </w:tabs>
        <w:spacing w:after="20"/>
      </w:pPr>
      <w:r>
        <w:rPr>
          <w:rFonts w:ascii="Arial" w:hAnsi="Arial" w:cs="Arial"/>
          <w:b w:val="0"/>
          <w:sz w:val="19"/>
        </w:rPr>
        <w:t xml:space="preserve">      44.8 State Machine — Loan Account</w:t>
      </w:r>
      <w:r>
        <w:rPr>
          <w:rFonts w:ascii="Arial" w:hAnsi="Arial" w:cs="Arial"/>
          <w:b w:val="0"/>
          <w:sz w:val="19"/>
        </w:rPr>
        <w:tab/>
        <w:t>110</w:t>
      </w:r>
    </w:p>
    <w:p>
      <w:pPr>
        <w:tabs>
          <w:tab w:pos="9936" w:val="right" w:leader="dot"/>
        </w:tabs>
        <w:spacing w:after="20"/>
      </w:pPr>
      <w:r>
        <w:rPr>
          <w:rFonts w:ascii="Arial" w:hAnsi="Arial" w:cs="Arial"/>
          <w:b w:val="0"/>
          <w:sz w:val="19"/>
        </w:rPr>
        <w:t xml:space="preserve">      44.9 State Machine — Application</w:t>
      </w:r>
      <w:r>
        <w:rPr>
          <w:rFonts w:ascii="Arial" w:hAnsi="Arial" w:cs="Arial"/>
          <w:b w:val="0"/>
          <w:sz w:val="19"/>
        </w:rPr>
        <w:tab/>
        <w:t>110</w:t>
      </w:r>
    </w:p>
    <w:p>
      <w:pPr>
        <w:tabs>
          <w:tab w:pos="9936" w:val="right" w:leader="dot"/>
        </w:tabs>
        <w:spacing w:after="20"/>
      </w:pPr>
      <w:r>
        <w:rPr>
          <w:rFonts w:ascii="Arial" w:hAnsi="Arial" w:cs="Arial"/>
          <w:b/>
          <w:color w:val="1F4E78"/>
          <w:sz w:val="21"/>
        </w:rPr>
        <w:t>45. Comprehensive Calculation Engine — Interest, Charges, Fees &amp; Penalties</w:t>
      </w:r>
      <w:r>
        <w:rPr>
          <w:rFonts w:ascii="Arial" w:hAnsi="Arial" w:cs="Arial"/>
          <w:b w:val="0"/>
          <w:sz w:val="20"/>
        </w:rPr>
        <w:tab/>
        <w:t>112</w:t>
      </w:r>
    </w:p>
    <w:p>
      <w:pPr>
        <w:tabs>
          <w:tab w:pos="9936" w:val="right" w:leader="dot"/>
        </w:tabs>
        <w:spacing w:after="20"/>
      </w:pPr>
      <w:r>
        <w:rPr>
          <w:rFonts w:ascii="Arial" w:hAnsi="Arial" w:cs="Arial"/>
          <w:b w:val="0"/>
          <w:sz w:val="19"/>
        </w:rPr>
        <w:t xml:space="preserve">      45.1 Calculation-Method Taxonomy</w:t>
      </w:r>
      <w:r>
        <w:rPr>
          <w:rFonts w:ascii="Arial" w:hAnsi="Arial" w:cs="Arial"/>
          <w:b w:val="0"/>
          <w:sz w:val="19"/>
        </w:rPr>
        <w:tab/>
        <w:t>112</w:t>
      </w:r>
    </w:p>
    <w:p>
      <w:pPr>
        <w:tabs>
          <w:tab w:pos="9936" w:val="right" w:leader="dot"/>
        </w:tabs>
        <w:spacing w:after="20"/>
      </w:pPr>
      <w:r>
        <w:rPr>
          <w:rFonts w:ascii="Arial" w:hAnsi="Arial" w:cs="Arial"/>
          <w:b w:val="0"/>
          <w:sz w:val="19"/>
        </w:rPr>
        <w:t xml:space="preserve">      45.2 Day-Count Conventions</w:t>
      </w:r>
      <w:r>
        <w:rPr>
          <w:rFonts w:ascii="Arial" w:hAnsi="Arial" w:cs="Arial"/>
          <w:b w:val="0"/>
          <w:sz w:val="19"/>
        </w:rPr>
        <w:tab/>
        <w:t>112</w:t>
      </w:r>
    </w:p>
    <w:p>
      <w:pPr>
        <w:tabs>
          <w:tab w:pos="9936" w:val="right" w:leader="dot"/>
        </w:tabs>
        <w:spacing w:after="20"/>
      </w:pPr>
      <w:r>
        <w:rPr>
          <w:rFonts w:ascii="Arial" w:hAnsi="Arial" w:cs="Arial"/>
          <w:b w:val="0"/>
          <w:sz w:val="19"/>
        </w:rPr>
        <w:t xml:space="preserve">      45.3 Interest Methods (with worked examples)</w:t>
      </w:r>
      <w:r>
        <w:rPr>
          <w:rFonts w:ascii="Arial" w:hAnsi="Arial" w:cs="Arial"/>
          <w:b w:val="0"/>
          <w:sz w:val="19"/>
        </w:rPr>
        <w:tab/>
        <w:t>112</w:t>
      </w:r>
    </w:p>
    <w:p>
      <w:pPr>
        <w:tabs>
          <w:tab w:pos="9936" w:val="right" w:leader="dot"/>
        </w:tabs>
        <w:spacing w:after="20"/>
      </w:pPr>
      <w:r>
        <w:rPr>
          <w:rFonts w:ascii="Arial" w:hAnsi="Arial" w:cs="Arial"/>
          <w:b w:val="0"/>
          <w:sz w:val="19"/>
        </w:rPr>
        <w:t xml:space="preserve">      45.4 Product ↔ Calculation-Method Matrix</w:t>
      </w:r>
      <w:r>
        <w:rPr>
          <w:rFonts w:ascii="Arial" w:hAnsi="Arial" w:cs="Arial"/>
          <w:b w:val="0"/>
          <w:sz w:val="19"/>
        </w:rPr>
        <w:tab/>
        <w:t>114</w:t>
      </w:r>
    </w:p>
    <w:p>
      <w:pPr>
        <w:tabs>
          <w:tab w:pos="9936" w:val="right" w:leader="dot"/>
        </w:tabs>
        <w:spacing w:after="20"/>
      </w:pPr>
      <w:r>
        <w:rPr>
          <w:rFonts w:ascii="Arial" w:hAnsi="Arial" w:cs="Arial"/>
          <w:b w:val="0"/>
          <w:sz w:val="19"/>
        </w:rPr>
        <w:t xml:space="preserve">      45.5 Fees &amp; Charges Methods</w:t>
      </w:r>
      <w:r>
        <w:rPr>
          <w:rFonts w:ascii="Arial" w:hAnsi="Arial" w:cs="Arial"/>
          <w:b w:val="0"/>
          <w:sz w:val="19"/>
        </w:rPr>
        <w:tab/>
        <w:t>115</w:t>
      </w:r>
    </w:p>
    <w:p>
      <w:pPr>
        <w:tabs>
          <w:tab w:pos="9936" w:val="right" w:leader="dot"/>
        </w:tabs>
        <w:spacing w:after="20"/>
      </w:pPr>
      <w:r>
        <w:rPr>
          <w:rFonts w:ascii="Arial" w:hAnsi="Arial" w:cs="Arial"/>
          <w:b w:val="0"/>
          <w:sz w:val="19"/>
        </w:rPr>
        <w:t xml:space="preserve">      45.6 Penal-Charge Methods (RBI-Compliant)</w:t>
      </w:r>
      <w:r>
        <w:rPr>
          <w:rFonts w:ascii="Arial" w:hAnsi="Arial" w:cs="Arial"/>
          <w:b w:val="0"/>
          <w:sz w:val="19"/>
        </w:rPr>
        <w:tab/>
        <w:t>115</w:t>
      </w:r>
    </w:p>
    <w:p>
      <w:pPr>
        <w:tabs>
          <w:tab w:pos="9936" w:val="right" w:leader="dot"/>
        </w:tabs>
        <w:spacing w:after="20"/>
      </w:pPr>
      <w:r>
        <w:rPr>
          <w:rFonts w:ascii="Arial" w:hAnsi="Arial" w:cs="Arial"/>
          <w:b w:val="0"/>
          <w:sz w:val="19"/>
        </w:rPr>
        <w:t xml:space="preserve">      45.7 Subvention &amp; No-Cost-EMI Mechanics</w:t>
      </w:r>
      <w:r>
        <w:rPr>
          <w:rFonts w:ascii="Arial" w:hAnsi="Arial" w:cs="Arial"/>
          <w:b w:val="0"/>
          <w:sz w:val="19"/>
        </w:rPr>
        <w:tab/>
        <w:t>115</w:t>
      </w:r>
    </w:p>
    <w:p>
      <w:pPr>
        <w:tabs>
          <w:tab w:pos="9936" w:val="right" w:leader="dot"/>
        </w:tabs>
        <w:spacing w:after="20"/>
      </w:pPr>
      <w:r>
        <w:rPr>
          <w:rFonts w:ascii="Arial" w:hAnsi="Arial" w:cs="Arial"/>
          <w:b w:val="0"/>
          <w:sz w:val="19"/>
        </w:rPr>
        <w:t xml:space="preserve">      45.8 Prepayment Rebate — Rule-of-78 vs Actuarial</w:t>
      </w:r>
      <w:r>
        <w:rPr>
          <w:rFonts w:ascii="Arial" w:hAnsi="Arial" w:cs="Arial"/>
          <w:b w:val="0"/>
          <w:sz w:val="19"/>
        </w:rPr>
        <w:tab/>
        <w:t>116</w:t>
      </w:r>
    </w:p>
    <w:p>
      <w:pPr>
        <w:tabs>
          <w:tab w:pos="9936" w:val="right" w:leader="dot"/>
        </w:tabs>
        <w:spacing w:after="20"/>
      </w:pPr>
      <w:r>
        <w:rPr>
          <w:rFonts w:ascii="Arial" w:hAnsi="Arial" w:cs="Arial"/>
          <w:b w:val="0"/>
          <w:sz w:val="19"/>
        </w:rPr>
        <w:t xml:space="preserve">      45.9 APR &amp; EIR</w:t>
      </w:r>
      <w:r>
        <w:rPr>
          <w:rFonts w:ascii="Arial" w:hAnsi="Arial" w:cs="Arial"/>
          <w:b w:val="0"/>
          <w:sz w:val="19"/>
        </w:rPr>
        <w:tab/>
        <w:t>116</w:t>
      </w:r>
    </w:p>
    <w:p>
      <w:pPr>
        <w:tabs>
          <w:tab w:pos="9936" w:val="right" w:leader="dot"/>
        </w:tabs>
        <w:spacing w:after="20"/>
      </w:pPr>
      <w:r>
        <w:rPr>
          <w:rFonts w:ascii="Arial" w:hAnsi="Arial" w:cs="Arial"/>
          <w:b w:val="0"/>
          <w:sz w:val="19"/>
        </w:rPr>
        <w:t xml:space="preserve">      45.10 Consolidated Calculation Test Vectors</w:t>
      </w:r>
      <w:r>
        <w:rPr>
          <w:rFonts w:ascii="Arial" w:hAnsi="Arial" w:cs="Arial"/>
          <w:b w:val="0"/>
          <w:sz w:val="19"/>
        </w:rPr>
        <w:tab/>
        <w:t>116</w:t>
      </w:r>
    </w:p>
    <w:p>
      <w:pPr>
        <w:tabs>
          <w:tab w:pos="9936" w:val="right" w:leader="dot"/>
        </w:tabs>
        <w:spacing w:after="20"/>
      </w:pPr>
      <w:r>
        <w:rPr>
          <w:rFonts w:ascii="Arial" w:hAnsi="Arial" w:cs="Arial"/>
          <w:b/>
          <w:color w:val="1F4E78"/>
          <w:sz w:val="21"/>
        </w:rPr>
        <w:t>46. Reference-Model &amp; Standards Alignment</w:t>
      </w:r>
      <w:r>
        <w:rPr>
          <w:rFonts w:ascii="Arial" w:hAnsi="Arial" w:cs="Arial"/>
          <w:b w:val="0"/>
          <w:sz w:val="20"/>
        </w:rPr>
        <w:tab/>
        <w:t>117</w:t>
      </w:r>
    </w:p>
    <w:p>
      <w:pPr>
        <w:tabs>
          <w:tab w:pos="9936" w:val="right" w:leader="dot"/>
        </w:tabs>
        <w:spacing w:after="20"/>
      </w:pPr>
      <w:r>
        <w:rPr>
          <w:rFonts w:ascii="Arial" w:hAnsi="Arial" w:cs="Arial"/>
          <w:b w:val="0"/>
          <w:sz w:val="19"/>
        </w:rPr>
        <w:t xml:space="preserve">      46.1 Framework Mapping</w:t>
      </w:r>
      <w:r>
        <w:rPr>
          <w:rFonts w:ascii="Arial" w:hAnsi="Arial" w:cs="Arial"/>
          <w:b w:val="0"/>
          <w:sz w:val="19"/>
        </w:rPr>
        <w:tab/>
        <w:t>117</w:t>
      </w:r>
    </w:p>
    <w:p>
      <w:pPr>
        <w:tabs>
          <w:tab w:pos="9936" w:val="right" w:leader="dot"/>
        </w:tabs>
        <w:spacing w:after="20"/>
      </w:pPr>
      <w:r>
        <w:rPr>
          <w:rFonts w:ascii="Arial" w:hAnsi="Arial" w:cs="Arial"/>
          <w:b w:val="0"/>
          <w:sz w:val="19"/>
        </w:rPr>
        <w:t xml:space="preserve">      46.2 India Stack, Digital Rails &amp; Messaging Standards</w:t>
      </w:r>
      <w:r>
        <w:rPr>
          <w:rFonts w:ascii="Arial" w:hAnsi="Arial" w:cs="Arial"/>
          <w:b w:val="0"/>
          <w:sz w:val="19"/>
        </w:rPr>
        <w:tab/>
        <w:t>117</w:t>
      </w:r>
    </w:p>
    <w:p>
      <w:pPr>
        <w:tabs>
          <w:tab w:pos="9936" w:val="right" w:leader="dot"/>
        </w:tabs>
        <w:spacing w:after="20"/>
      </w:pPr>
      <w:r>
        <w:rPr>
          <w:rFonts w:ascii="Arial" w:hAnsi="Arial" w:cs="Arial"/>
          <w:b/>
          <w:color w:val="1F4E78"/>
          <w:sz w:val="21"/>
        </w:rPr>
        <w:t>47. Current-State Assessment, Maturity &amp; Transition Architecture</w:t>
      </w:r>
      <w:r>
        <w:rPr>
          <w:rFonts w:ascii="Arial" w:hAnsi="Arial" w:cs="Arial"/>
          <w:b w:val="0"/>
          <w:sz w:val="20"/>
        </w:rPr>
        <w:tab/>
        <w:t>118</w:t>
      </w:r>
    </w:p>
    <w:p>
      <w:pPr>
        <w:tabs>
          <w:tab w:pos="9936" w:val="right" w:leader="dot"/>
        </w:tabs>
        <w:spacing w:after="20"/>
      </w:pPr>
      <w:r>
        <w:rPr>
          <w:rFonts w:ascii="Arial" w:hAnsi="Arial" w:cs="Arial"/>
          <w:b w:val="0"/>
          <w:sz w:val="19"/>
        </w:rPr>
        <w:t xml:space="preserve">      47.1 Indicative As-Is Pain Points</w:t>
      </w:r>
      <w:r>
        <w:rPr>
          <w:rFonts w:ascii="Arial" w:hAnsi="Arial" w:cs="Arial"/>
          <w:b w:val="0"/>
          <w:sz w:val="19"/>
        </w:rPr>
        <w:tab/>
        <w:t>118</w:t>
      </w:r>
    </w:p>
    <w:p>
      <w:pPr>
        <w:tabs>
          <w:tab w:pos="9936" w:val="right" w:leader="dot"/>
        </w:tabs>
        <w:spacing w:after="20"/>
      </w:pPr>
      <w:r>
        <w:rPr>
          <w:rFonts w:ascii="Arial" w:hAnsi="Arial" w:cs="Arial"/>
          <w:b w:val="0"/>
          <w:sz w:val="19"/>
        </w:rPr>
        <w:t xml:space="preserve">      47.2 Capability Maturity — Current vs Target</w:t>
      </w:r>
      <w:r>
        <w:rPr>
          <w:rFonts w:ascii="Arial" w:hAnsi="Arial" w:cs="Arial"/>
          <w:b w:val="0"/>
          <w:sz w:val="19"/>
        </w:rPr>
        <w:tab/>
        <w:t>118</w:t>
      </w:r>
    </w:p>
    <w:p>
      <w:pPr>
        <w:tabs>
          <w:tab w:pos="9936" w:val="right" w:leader="dot"/>
        </w:tabs>
        <w:spacing w:after="20"/>
      </w:pPr>
      <w:r>
        <w:rPr>
          <w:rFonts w:ascii="Arial" w:hAnsi="Arial" w:cs="Arial"/>
          <w:b w:val="0"/>
          <w:sz w:val="19"/>
        </w:rPr>
        <w:t xml:space="preserve">      47.3 Gap Analysis (illustrative)</w:t>
      </w:r>
      <w:r>
        <w:rPr>
          <w:rFonts w:ascii="Arial" w:hAnsi="Arial" w:cs="Arial"/>
          <w:b w:val="0"/>
          <w:sz w:val="19"/>
        </w:rPr>
        <w:tab/>
        <w:t>118</w:t>
      </w:r>
    </w:p>
    <w:p>
      <w:pPr>
        <w:tabs>
          <w:tab w:pos="9936" w:val="right" w:leader="dot"/>
        </w:tabs>
        <w:spacing w:after="20"/>
      </w:pPr>
      <w:r>
        <w:rPr>
          <w:rFonts w:ascii="Arial" w:hAnsi="Arial" w:cs="Arial"/>
          <w:b w:val="0"/>
          <w:sz w:val="19"/>
        </w:rPr>
        <w:t xml:space="preserve">      47.4 Transition Architecture — Migration Waves</w:t>
      </w:r>
      <w:r>
        <w:rPr>
          <w:rFonts w:ascii="Arial" w:hAnsi="Arial" w:cs="Arial"/>
          <w:b w:val="0"/>
          <w:sz w:val="19"/>
        </w:rPr>
        <w:tab/>
        <w:t>119</w:t>
      </w:r>
    </w:p>
    <w:p>
      <w:pPr>
        <w:tabs>
          <w:tab w:pos="9936" w:val="right" w:leader="dot"/>
        </w:tabs>
        <w:spacing w:after="20"/>
      </w:pPr>
      <w:r>
        <w:rPr>
          <w:rFonts w:ascii="Arial" w:hAnsi="Arial" w:cs="Arial"/>
          <w:b w:val="0"/>
          <w:sz w:val="19"/>
        </w:rPr>
        <w:t xml:space="preserve">      47.5 Architecture Decision Records (ADRs) — sample</w:t>
      </w:r>
      <w:r>
        <w:rPr>
          <w:rFonts w:ascii="Arial" w:hAnsi="Arial" w:cs="Arial"/>
          <w:b w:val="0"/>
          <w:sz w:val="19"/>
        </w:rPr>
        <w:tab/>
        <w:t>119</w:t>
      </w:r>
    </w:p>
    <w:p>
      <w:pPr>
        <w:tabs>
          <w:tab w:pos="9936" w:val="right" w:leader="dot"/>
        </w:tabs>
        <w:spacing w:after="20"/>
      </w:pPr>
      <w:r>
        <w:rPr>
          <w:rFonts w:ascii="Arial" w:hAnsi="Arial" w:cs="Arial"/>
          <w:b/>
          <w:color w:val="1F4E78"/>
          <w:sz w:val="21"/>
        </w:rPr>
        <w:t>48. Requirements Traceability Matrix (RTM)</w:t>
      </w:r>
      <w:r>
        <w:rPr>
          <w:rFonts w:ascii="Arial" w:hAnsi="Arial" w:cs="Arial"/>
          <w:b w:val="0"/>
          <w:sz w:val="20"/>
        </w:rPr>
        <w:tab/>
        <w:t>120</w:t>
      </w:r>
    </w:p>
    <w:p>
      <w:pPr>
        <w:tabs>
          <w:tab w:pos="9936" w:val="right" w:leader="dot"/>
        </w:tabs>
        <w:spacing w:after="20"/>
      </w:pPr>
      <w:r>
        <w:rPr>
          <w:rFonts w:ascii="Arial" w:hAnsi="Arial" w:cs="Arial"/>
          <w:b/>
          <w:color w:val="1F4E78"/>
          <w:sz w:val="21"/>
        </w:rPr>
        <w:t>49. Regulatory Obligations Register</w:t>
      </w:r>
      <w:r>
        <w:rPr>
          <w:rFonts w:ascii="Arial" w:hAnsi="Arial" w:cs="Arial"/>
          <w:b w:val="0"/>
          <w:sz w:val="20"/>
        </w:rPr>
        <w:tab/>
        <w:t>120</w:t>
      </w:r>
    </w:p>
    <w:p>
      <w:pPr>
        <w:tabs>
          <w:tab w:pos="9936" w:val="right" w:leader="dot"/>
        </w:tabs>
        <w:spacing w:after="20"/>
      </w:pPr>
      <w:r>
        <w:rPr>
          <w:rFonts w:ascii="Arial" w:hAnsi="Arial" w:cs="Arial"/>
          <w:b/>
          <w:color w:val="1F4E78"/>
          <w:sz w:val="21"/>
        </w:rPr>
        <w:t>50. NFR Catalogue &amp; Security Control Matrix</w:t>
      </w:r>
      <w:r>
        <w:rPr>
          <w:rFonts w:ascii="Arial" w:hAnsi="Arial" w:cs="Arial"/>
          <w:b w:val="0"/>
          <w:sz w:val="20"/>
        </w:rPr>
        <w:tab/>
        <w:t>121</w:t>
      </w:r>
    </w:p>
    <w:p>
      <w:pPr>
        <w:tabs>
          <w:tab w:pos="9936" w:val="right" w:leader="dot"/>
        </w:tabs>
        <w:spacing w:after="20"/>
      </w:pPr>
      <w:r>
        <w:rPr>
          <w:rFonts w:ascii="Arial" w:hAnsi="Arial" w:cs="Arial"/>
          <w:b w:val="0"/>
          <w:sz w:val="19"/>
        </w:rPr>
        <w:t xml:space="preserve">      50.1 NFR Catalogue (extract, with IDs)</w:t>
      </w:r>
      <w:r>
        <w:rPr>
          <w:rFonts w:ascii="Arial" w:hAnsi="Arial" w:cs="Arial"/>
          <w:b w:val="0"/>
          <w:sz w:val="19"/>
        </w:rPr>
        <w:tab/>
        <w:t>121</w:t>
      </w:r>
    </w:p>
    <w:p>
      <w:pPr>
        <w:tabs>
          <w:tab w:pos="9936" w:val="right" w:leader="dot"/>
        </w:tabs>
        <w:spacing w:after="20"/>
      </w:pPr>
      <w:r>
        <w:rPr>
          <w:rFonts w:ascii="Arial" w:hAnsi="Arial" w:cs="Arial"/>
          <w:b w:val="0"/>
          <w:sz w:val="19"/>
        </w:rPr>
        <w:t xml:space="preserve">      50.2 Security Control Matrix (framework mapping)</w:t>
      </w:r>
      <w:r>
        <w:rPr>
          <w:rFonts w:ascii="Arial" w:hAnsi="Arial" w:cs="Arial"/>
          <w:b w:val="0"/>
          <w:sz w:val="19"/>
        </w:rPr>
        <w:tab/>
        <w:t>121</w:t>
      </w:r>
    </w:p>
    <w:p>
      <w:pPr>
        <w:tabs>
          <w:tab w:pos="9936" w:val="right" w:leader="dot"/>
        </w:tabs>
        <w:spacing w:after="20"/>
      </w:pPr>
      <w:r>
        <w:rPr>
          <w:rFonts w:ascii="Arial" w:hAnsi="Arial" w:cs="Arial"/>
          <w:b/>
          <w:color w:val="1F4E78"/>
          <w:sz w:val="21"/>
        </w:rPr>
        <w:t>51. Business Case, TCO &amp; Financial Model</w:t>
      </w:r>
      <w:r>
        <w:rPr>
          <w:rFonts w:ascii="Arial" w:hAnsi="Arial" w:cs="Arial"/>
          <w:b w:val="0"/>
          <w:sz w:val="20"/>
        </w:rPr>
        <w:tab/>
        <w:t>123</w:t>
      </w:r>
    </w:p>
    <w:p>
      <w:pPr>
        <w:tabs>
          <w:tab w:pos="9936" w:val="right" w:leader="dot"/>
        </w:tabs>
        <w:spacing w:after="20"/>
      </w:pPr>
      <w:r>
        <w:rPr>
          <w:rFonts w:ascii="Arial" w:hAnsi="Arial" w:cs="Arial"/>
          <w:b w:val="0"/>
          <w:sz w:val="19"/>
        </w:rPr>
        <w:t xml:space="preserve">      51.1 Value Drivers</w:t>
      </w:r>
      <w:r>
        <w:rPr>
          <w:rFonts w:ascii="Arial" w:hAnsi="Arial" w:cs="Arial"/>
          <w:b w:val="0"/>
          <w:sz w:val="19"/>
        </w:rPr>
        <w:tab/>
        <w:t>123</w:t>
      </w:r>
    </w:p>
    <w:p>
      <w:pPr>
        <w:tabs>
          <w:tab w:pos="9936" w:val="right" w:leader="dot"/>
        </w:tabs>
        <w:spacing w:after="20"/>
      </w:pPr>
      <w:r>
        <w:rPr>
          <w:rFonts w:ascii="Arial" w:hAnsi="Arial" w:cs="Arial"/>
          <w:b w:val="0"/>
          <w:sz w:val="19"/>
        </w:rPr>
        <w:t xml:space="preserve">      51.2 Five-Year Financial Model (illustrative, ₹ crore)</w:t>
      </w:r>
      <w:r>
        <w:rPr>
          <w:rFonts w:ascii="Arial" w:hAnsi="Arial" w:cs="Arial"/>
          <w:b w:val="0"/>
          <w:sz w:val="19"/>
        </w:rPr>
        <w:tab/>
        <w:t>123</w:t>
      </w:r>
    </w:p>
    <w:p>
      <w:pPr>
        <w:tabs>
          <w:tab w:pos="9936" w:val="right" w:leader="dot"/>
        </w:tabs>
        <w:spacing w:after="20"/>
      </w:pPr>
      <w:r>
        <w:rPr>
          <w:rFonts w:ascii="Arial" w:hAnsi="Arial" w:cs="Arial"/>
          <w:b/>
          <w:color w:val="1F4E78"/>
          <w:sz w:val="21"/>
        </w:rPr>
        <w:t>52. Build vs. Buy &amp; COTS Vendor Evaluation</w:t>
      </w:r>
      <w:r>
        <w:rPr>
          <w:rFonts w:ascii="Arial" w:hAnsi="Arial" w:cs="Arial"/>
          <w:b w:val="0"/>
          <w:sz w:val="20"/>
        </w:rPr>
        <w:tab/>
        <w:t>123</w:t>
      </w:r>
    </w:p>
    <w:p>
      <w:pPr>
        <w:tabs>
          <w:tab w:pos="9936" w:val="right" w:leader="dot"/>
        </w:tabs>
        <w:spacing w:after="20"/>
      </w:pPr>
      <w:r>
        <w:rPr>
          <w:rFonts w:ascii="Arial" w:hAnsi="Arial" w:cs="Arial"/>
          <w:b/>
          <w:color w:val="1F4E78"/>
          <w:sz w:val="21"/>
        </w:rPr>
        <w:t>53. Target Operating Model (TOM)</w:t>
      </w:r>
      <w:r>
        <w:rPr>
          <w:rFonts w:ascii="Arial" w:hAnsi="Arial" w:cs="Arial"/>
          <w:b w:val="0"/>
          <w:sz w:val="20"/>
        </w:rPr>
        <w:tab/>
        <w:t>124</w:t>
      </w:r>
    </w:p>
    <w:p>
      <w:pPr>
        <w:tabs>
          <w:tab w:pos="9936" w:val="right" w:leader="dot"/>
        </w:tabs>
        <w:spacing w:after="20"/>
      </w:pPr>
      <w:r>
        <w:rPr>
          <w:rFonts w:ascii="Arial" w:hAnsi="Arial" w:cs="Arial"/>
          <w:b/>
          <w:color w:val="1F4E78"/>
          <w:sz w:val="21"/>
        </w:rPr>
        <w:t>54. Implementation Roadmap, WBS &amp; Programme Governance</w:t>
      </w:r>
      <w:r>
        <w:rPr>
          <w:rFonts w:ascii="Arial" w:hAnsi="Arial" w:cs="Arial"/>
          <w:b w:val="0"/>
          <w:sz w:val="20"/>
        </w:rPr>
        <w:tab/>
        <w:t>124</w:t>
      </w:r>
    </w:p>
    <w:p>
      <w:pPr>
        <w:tabs>
          <w:tab w:pos="9936" w:val="right" w:leader="dot"/>
        </w:tabs>
        <w:spacing w:after="20"/>
      </w:pPr>
      <w:r>
        <w:rPr>
          <w:rFonts w:ascii="Arial" w:hAnsi="Arial" w:cs="Arial"/>
          <w:b w:val="0"/>
          <w:sz w:val="19"/>
        </w:rPr>
        <w:t xml:space="preserve">      54.1 Work Breakdown (phase level)</w:t>
      </w:r>
      <w:r>
        <w:rPr>
          <w:rFonts w:ascii="Arial" w:hAnsi="Arial" w:cs="Arial"/>
          <w:b w:val="0"/>
          <w:sz w:val="19"/>
        </w:rPr>
        <w:tab/>
        <w:t>124</w:t>
      </w:r>
    </w:p>
    <w:p>
      <w:pPr>
        <w:tabs>
          <w:tab w:pos="9936" w:val="right" w:leader="dot"/>
        </w:tabs>
        <w:spacing w:after="20"/>
      </w:pPr>
      <w:r>
        <w:rPr>
          <w:rFonts w:ascii="Arial" w:hAnsi="Arial" w:cs="Arial"/>
          <w:b w:val="0"/>
          <w:sz w:val="19"/>
        </w:rPr>
        <w:t xml:space="preserve">      54.2 Programme Governance</w:t>
      </w:r>
      <w:r>
        <w:rPr>
          <w:rFonts w:ascii="Arial" w:hAnsi="Arial" w:cs="Arial"/>
          <w:b w:val="0"/>
          <w:sz w:val="19"/>
        </w:rPr>
        <w:tab/>
        <w:t>125</w:t>
      </w:r>
    </w:p>
    <w:p>
      <w:pPr>
        <w:tabs>
          <w:tab w:pos="9936" w:val="right" w:leader="dot"/>
        </w:tabs>
        <w:spacing w:after="20"/>
      </w:pPr>
      <w:r>
        <w:rPr>
          <w:rFonts w:ascii="Arial" w:hAnsi="Arial" w:cs="Arial"/>
          <w:b/>
          <w:color w:val="1F4E78"/>
          <w:sz w:val="21"/>
        </w:rPr>
        <w:t>55. RAID Log — Risks, Assumptions, Issues, Dependencies</w:t>
      </w:r>
      <w:r>
        <w:rPr>
          <w:rFonts w:ascii="Arial" w:hAnsi="Arial" w:cs="Arial"/>
          <w:b w:val="0"/>
          <w:sz w:val="20"/>
        </w:rPr>
        <w:tab/>
        <w:t>125</w:t>
      </w:r>
    </w:p>
    <w:p>
      <w:pPr>
        <w:tabs>
          <w:tab w:pos="9936" w:val="right" w:leader="dot"/>
        </w:tabs>
        <w:spacing w:after="20"/>
      </w:pPr>
      <w:r>
        <w:rPr>
          <w:rFonts w:ascii="Arial" w:hAnsi="Arial" w:cs="Arial"/>
          <w:b/>
          <w:color w:val="1F4E78"/>
          <w:sz w:val="21"/>
        </w:rPr>
        <w:t>56. Organizational Change Management &amp; Adoption</w:t>
      </w:r>
      <w:r>
        <w:rPr>
          <w:rFonts w:ascii="Arial" w:hAnsi="Arial" w:cs="Arial"/>
          <w:b w:val="0"/>
          <w:sz w:val="20"/>
        </w:rPr>
        <w:tab/>
        <w:t>126</w:t>
      </w:r>
    </w:p>
    <w:p>
      <w:pPr>
        <w:tabs>
          <w:tab w:pos="9936" w:val="right" w:leader="dot"/>
        </w:tabs>
        <w:spacing w:after="20"/>
      </w:pPr>
      <w:r>
        <w:rPr>
          <w:rFonts w:ascii="Arial" w:hAnsi="Arial" w:cs="Arial"/>
          <w:b/>
          <w:color w:val="1F4E78"/>
          <w:sz w:val="21"/>
        </w:rPr>
        <w:t>57. Operational Resilience</w:t>
      </w:r>
      <w:r>
        <w:rPr>
          <w:rFonts w:ascii="Arial" w:hAnsi="Arial" w:cs="Arial"/>
          <w:b w:val="0"/>
          <w:sz w:val="20"/>
        </w:rPr>
        <w:tab/>
        <w:t>126</w:t>
      </w:r>
    </w:p>
    <w:p>
      <w:pPr>
        <w:tabs>
          <w:tab w:pos="9936" w:val="right" w:leader="dot"/>
        </w:tabs>
        <w:spacing w:after="20"/>
      </w:pPr>
      <w:r>
        <w:rPr>
          <w:rFonts w:ascii="Arial" w:hAnsi="Arial" w:cs="Arial"/>
          <w:b/>
          <w:color w:val="1F4E78"/>
          <w:sz w:val="21"/>
        </w:rPr>
        <w:t>58. Go-Live Readiness, Cutover &amp; Hypercare</w:t>
      </w:r>
      <w:r>
        <w:rPr>
          <w:rFonts w:ascii="Arial" w:hAnsi="Arial" w:cs="Arial"/>
          <w:b w:val="0"/>
          <w:sz w:val="20"/>
        </w:rPr>
        <w:tab/>
        <w:t>126</w:t>
      </w:r>
    </w:p>
    <w:p>
      <w:pPr>
        <w:tabs>
          <w:tab w:pos="9936" w:val="right" w:leader="dot"/>
        </w:tabs>
        <w:spacing w:after="20"/>
      </w:pPr>
      <w:r>
        <w:rPr>
          <w:rFonts w:ascii="Arial" w:hAnsi="Arial" w:cs="Arial"/>
          <w:b w:val="0"/>
          <w:sz w:val="19"/>
        </w:rPr>
        <w:t xml:space="preserve">      58.1 Go-Live Readiness Assessment (GLRA)</w:t>
      </w:r>
      <w:r>
        <w:rPr>
          <w:rFonts w:ascii="Arial" w:hAnsi="Arial" w:cs="Arial"/>
          <w:b w:val="0"/>
          <w:sz w:val="19"/>
        </w:rPr>
        <w:tab/>
        <w:t>126</w:t>
      </w:r>
    </w:p>
    <w:p>
      <w:pPr>
        <w:tabs>
          <w:tab w:pos="9936" w:val="right" w:leader="dot"/>
        </w:tabs>
        <w:spacing w:after="20"/>
      </w:pPr>
      <w:r>
        <w:rPr>
          <w:rFonts w:ascii="Arial" w:hAnsi="Arial" w:cs="Arial"/>
          <w:b w:val="0"/>
          <w:sz w:val="19"/>
        </w:rPr>
        <w:t xml:space="preserve">      58.2 Cutover &amp; Hypercare</w:t>
      </w:r>
      <w:r>
        <w:rPr>
          <w:rFonts w:ascii="Arial" w:hAnsi="Arial" w:cs="Arial"/>
          <w:b w:val="0"/>
          <w:sz w:val="19"/>
        </w:rPr>
        <w:tab/>
        <w:t>126</w:t>
      </w:r>
    </w:p>
    <w:p>
      <w:pPr>
        <w:tabs>
          <w:tab w:pos="9936" w:val="right" w:leader="dot"/>
        </w:tabs>
        <w:spacing w:after="20"/>
      </w:pPr>
      <w:r>
        <w:rPr>
          <w:rFonts w:ascii="Arial" w:hAnsi="Arial" w:cs="Arial"/>
          <w:b/>
          <w:color w:val="1F4E78"/>
          <w:sz w:val="21"/>
        </w:rPr>
        <w:t>59. Benefits Realization &amp; KPIs</w:t>
      </w:r>
      <w:r>
        <w:rPr>
          <w:rFonts w:ascii="Arial" w:hAnsi="Arial" w:cs="Arial"/>
          <w:b w:val="0"/>
          <w:sz w:val="20"/>
        </w:rPr>
        <w:tab/>
        <w:t>127</w:t>
      </w:r>
    </w:p>
    <w:p>
      <w:pPr>
        <w:tabs>
          <w:tab w:pos="9936" w:val="right" w:leader="dot"/>
        </w:tabs>
        <w:spacing w:after="20"/>
      </w:pPr>
      <w:r>
        <w:rPr>
          <w:rFonts w:ascii="Arial" w:hAnsi="Arial" w:cs="Arial"/>
          <w:b/>
          <w:color w:val="1F4E78"/>
          <w:sz w:val="21"/>
        </w:rPr>
        <w:t>60. Accessibility &amp; Localization</w:t>
      </w:r>
      <w:r>
        <w:rPr>
          <w:rFonts w:ascii="Arial" w:hAnsi="Arial" w:cs="Arial"/>
          <w:b w:val="0"/>
          <w:sz w:val="20"/>
        </w:rPr>
        <w:tab/>
        <w:t>127</w:t>
      </w:r>
    </w:p>
    <w:p>
      <w:pPr>
        <w:tabs>
          <w:tab w:pos="9936" w:val="right" w:leader="dot"/>
        </w:tabs>
        <w:spacing w:after="20"/>
      </w:pPr>
      <w:r>
        <w:rPr>
          <w:rFonts w:ascii="Arial" w:hAnsi="Arial" w:cs="Arial"/>
          <w:b/>
          <w:color w:val="1F4E78"/>
          <w:sz w:val="21"/>
        </w:rPr>
        <w:t>61. Legal, Procurement &amp; Vendor Governance</w:t>
      </w:r>
      <w:r>
        <w:rPr>
          <w:rFonts w:ascii="Arial" w:hAnsi="Arial" w:cs="Arial"/>
          <w:b w:val="0"/>
          <w:sz w:val="20"/>
        </w:rPr>
        <w:tab/>
        <w:t>127</w:t>
      </w:r>
    </w:p>
    <w:p>
      <w:pPr>
        <w:tabs>
          <w:tab w:pos="9936" w:val="right" w:leader="dot"/>
        </w:tabs>
        <w:spacing w:after="20"/>
      </w:pPr>
      <w:r>
        <w:rPr>
          <w:rFonts w:ascii="Arial" w:hAnsi="Arial" w:cs="Arial"/>
          <w:b/>
          <w:color w:val="1F4E78"/>
          <w:sz w:val="21"/>
        </w:rPr>
        <w:t>62. Quality Assurance, Methodology &amp; Basis of Preparation</w:t>
      </w:r>
      <w:r>
        <w:rPr>
          <w:rFonts w:ascii="Arial" w:hAnsi="Arial" w:cs="Arial"/>
          <w:b w:val="0"/>
          <w:sz w:val="20"/>
        </w:rPr>
        <w:tab/>
        <w:t>128</w:t>
      </w:r>
    </w:p>
    <w:p>
      <w:pPr>
        <w:tabs>
          <w:tab w:pos="9936" w:val="right" w:leader="dot"/>
        </w:tabs>
        <w:spacing w:after="20"/>
      </w:pPr>
      <w:r>
        <w:rPr>
          <w:rFonts w:ascii="Arial" w:hAnsi="Arial" w:cs="Arial"/>
          <w:b/>
          <w:color w:val="1F4E78"/>
          <w:sz w:val="21"/>
        </w:rPr>
        <w:t>63. Appendix A — API Specification (OpenAPI 3.1 extract)</w:t>
      </w:r>
      <w:r>
        <w:rPr>
          <w:rFonts w:ascii="Arial" w:hAnsi="Arial" w:cs="Arial"/>
          <w:b w:val="0"/>
          <w:sz w:val="20"/>
        </w:rPr>
        <w:tab/>
        <w:t>129</w:t>
      </w:r>
    </w:p>
    <w:p>
      <w:pPr>
        <w:tabs>
          <w:tab w:pos="9936" w:val="right" w:leader="dot"/>
        </w:tabs>
        <w:spacing w:after="20"/>
      </w:pPr>
      <w:r>
        <w:rPr>
          <w:rFonts w:ascii="Arial" w:hAnsi="Arial" w:cs="Arial"/>
          <w:b/>
          <w:color w:val="1F4E78"/>
          <w:sz w:val="21"/>
        </w:rPr>
        <w:t>64. Appendix B — Core Data Model DDL (extract)</w:t>
      </w:r>
      <w:r>
        <w:rPr>
          <w:rFonts w:ascii="Arial" w:hAnsi="Arial" w:cs="Arial"/>
          <w:b w:val="0"/>
          <w:sz w:val="20"/>
        </w:rPr>
        <w:tab/>
        <w:t>129</w:t>
      </w:r>
    </w:p>
    <w:p>
      <w:pPr>
        <w:tabs>
          <w:tab w:pos="9936" w:val="right" w:leader="dot"/>
        </w:tabs>
        <w:spacing w:after="20"/>
      </w:pPr>
      <w:r>
        <w:rPr>
          <w:rFonts w:ascii="Arial" w:hAnsi="Arial" w:cs="Arial"/>
          <w:b/>
          <w:color w:val="1F4E78"/>
          <w:sz w:val="21"/>
        </w:rPr>
        <w:t>65. Appendix C — STRIDE Threat Model (extract)</w:t>
      </w:r>
      <w:r>
        <w:rPr>
          <w:rFonts w:ascii="Arial" w:hAnsi="Arial" w:cs="Arial"/>
          <w:b w:val="0"/>
          <w:sz w:val="20"/>
        </w:rPr>
        <w:tab/>
        <w:t>130</w:t>
      </w:r>
    </w:p>
    <w:p>
      <w:pPr>
        <w:tabs>
          <w:tab w:pos="9936" w:val="right" w:leader="dot"/>
        </w:tabs>
        <w:spacing w:after="20"/>
      </w:pPr>
      <w:r>
        <w:rPr>
          <w:rFonts w:ascii="Arial" w:hAnsi="Arial" w:cs="Arial"/>
          <w:b/>
          <w:color w:val="1F4E78"/>
          <w:sz w:val="21"/>
        </w:rPr>
        <w:t>66. Appendix D — Model Risk Governance</w:t>
      </w:r>
      <w:r>
        <w:rPr>
          <w:rFonts w:ascii="Arial" w:hAnsi="Arial" w:cs="Arial"/>
          <w:b w:val="0"/>
          <w:sz w:val="20"/>
        </w:rPr>
        <w:tab/>
        <w:t>130</w:t>
      </w:r>
    </w:p>
    <w:p>
      <w:pPr>
        <w:tabs>
          <w:tab w:pos="9936" w:val="right" w:leader="dot"/>
        </w:tabs>
        <w:spacing w:after="20"/>
      </w:pPr>
      <w:r>
        <w:rPr>
          <w:rFonts w:ascii="Arial" w:hAnsi="Arial" w:cs="Arial"/>
          <w:b/>
          <w:color w:val="1F4E78"/>
          <w:sz w:val="21"/>
        </w:rPr>
        <w:t>67. Appendix E — Data Governance &amp; Data-Quality Framework</w:t>
      </w:r>
      <w:r>
        <w:rPr>
          <w:rFonts w:ascii="Arial" w:hAnsi="Arial" w:cs="Arial"/>
          <w:b w:val="0"/>
          <w:sz w:val="20"/>
        </w:rPr>
        <w:tab/>
        <w:t>131</w:t>
      </w:r>
    </w:p>
    <w:p>
      <w:pPr>
        <w:tabs>
          <w:tab w:pos="9936" w:val="right" w:leader="dot"/>
        </w:tabs>
        <w:spacing w:after="20"/>
      </w:pPr>
      <w:r>
        <w:rPr>
          <w:rFonts w:ascii="Arial" w:hAnsi="Arial" w:cs="Arial"/>
          <w:b/>
          <w:color w:val="1F4E78"/>
          <w:sz w:val="21"/>
        </w:rPr>
        <w:t>68. Appendix F — Sample MIS Dashboard &amp; Report Catalogue</w:t>
      </w:r>
      <w:r>
        <w:rPr>
          <w:rFonts w:ascii="Arial" w:hAnsi="Arial" w:cs="Arial"/>
          <w:b w:val="0"/>
          <w:sz w:val="20"/>
        </w:rPr>
        <w:tab/>
        <w:t>131</w:t>
      </w:r>
    </w:p>
    <w:p>
      <w:pPr>
        <w:tabs>
          <w:tab w:pos="9936" w:val="right" w:leader="dot"/>
        </w:tabs>
        <w:spacing w:after="20"/>
      </w:pPr>
      <w:r>
        <w:rPr>
          <w:rFonts w:ascii="Arial" w:hAnsi="Arial" w:cs="Arial"/>
          <w:b/>
          <w:color w:val="1F4E78"/>
          <w:sz w:val="21"/>
        </w:rPr>
        <w:t>69. Financial Ratios &amp; Regulatory Computation Engine</w:t>
      </w:r>
      <w:r>
        <w:rPr>
          <w:rFonts w:ascii="Arial" w:hAnsi="Arial" w:cs="Arial"/>
          <w:b w:val="0"/>
          <w:sz w:val="20"/>
        </w:rPr>
        <w:tab/>
        <w:t>133</w:t>
      </w:r>
    </w:p>
    <w:p>
      <w:pPr>
        <w:tabs>
          <w:tab w:pos="9936" w:val="right" w:leader="dot"/>
        </w:tabs>
        <w:spacing w:after="20"/>
      </w:pPr>
      <w:r>
        <w:rPr>
          <w:rFonts w:ascii="Arial" w:hAnsi="Arial" w:cs="Arial"/>
          <w:b w:val="0"/>
          <w:sz w:val="19"/>
        </w:rPr>
        <w:t xml:space="preserve">      69.1 Capital Adequacy</w:t>
      </w:r>
      <w:r>
        <w:rPr>
          <w:rFonts w:ascii="Arial" w:hAnsi="Arial" w:cs="Arial"/>
          <w:b w:val="0"/>
          <w:sz w:val="19"/>
        </w:rPr>
        <w:tab/>
        <w:t>133</w:t>
      </w:r>
    </w:p>
    <w:p>
      <w:pPr>
        <w:tabs>
          <w:tab w:pos="9936" w:val="right" w:leader="dot"/>
        </w:tabs>
        <w:spacing w:after="20"/>
      </w:pPr>
      <w:r>
        <w:rPr>
          <w:rFonts w:ascii="Arial" w:hAnsi="Arial" w:cs="Arial"/>
          <w:b w:val="0"/>
          <w:sz w:val="19"/>
        </w:rPr>
        <w:t xml:space="preserve">      69.2 Risk-Weighted Assets (RWA)</w:t>
      </w:r>
      <w:r>
        <w:rPr>
          <w:rFonts w:ascii="Arial" w:hAnsi="Arial" w:cs="Arial"/>
          <w:b w:val="0"/>
          <w:sz w:val="19"/>
        </w:rPr>
        <w:tab/>
        <w:t>133</w:t>
      </w:r>
    </w:p>
    <w:p>
      <w:pPr>
        <w:tabs>
          <w:tab w:pos="9936" w:val="right" w:leader="dot"/>
        </w:tabs>
        <w:spacing w:after="20"/>
      </w:pPr>
      <w:r>
        <w:rPr>
          <w:rFonts w:ascii="Arial" w:hAnsi="Arial" w:cs="Arial"/>
          <w:b w:val="0"/>
          <w:sz w:val="19"/>
        </w:rPr>
        <w:t xml:space="preserve">      69.3 Leverage</w:t>
      </w:r>
      <w:r>
        <w:rPr>
          <w:rFonts w:ascii="Arial" w:hAnsi="Arial" w:cs="Arial"/>
          <w:b w:val="0"/>
          <w:sz w:val="19"/>
        </w:rPr>
        <w:tab/>
        <w:t>133</w:t>
      </w:r>
    </w:p>
    <w:p>
      <w:pPr>
        <w:tabs>
          <w:tab w:pos="9936" w:val="right" w:leader="dot"/>
        </w:tabs>
        <w:spacing w:after="20"/>
      </w:pPr>
      <w:r>
        <w:rPr>
          <w:rFonts w:ascii="Arial" w:hAnsi="Arial" w:cs="Arial"/>
          <w:b w:val="0"/>
          <w:sz w:val="19"/>
        </w:rPr>
        <w:t xml:space="preserve">      69.4 Asset Quality</w:t>
      </w:r>
      <w:r>
        <w:rPr>
          <w:rFonts w:ascii="Arial" w:hAnsi="Arial" w:cs="Arial"/>
          <w:b w:val="0"/>
          <w:sz w:val="19"/>
        </w:rPr>
        <w:tab/>
        <w:t>133</w:t>
      </w:r>
    </w:p>
    <w:p>
      <w:pPr>
        <w:tabs>
          <w:tab w:pos="9936" w:val="right" w:leader="dot"/>
        </w:tabs>
        <w:spacing w:after="20"/>
      </w:pPr>
      <w:r>
        <w:rPr>
          <w:rFonts w:ascii="Arial" w:hAnsi="Arial" w:cs="Arial"/>
          <w:b w:val="0"/>
          <w:sz w:val="19"/>
        </w:rPr>
        <w:t xml:space="preserve">      69.5 Profitability &amp; Efficiency</w:t>
      </w:r>
      <w:r>
        <w:rPr>
          <w:rFonts w:ascii="Arial" w:hAnsi="Arial" w:cs="Arial"/>
          <w:b w:val="0"/>
          <w:sz w:val="19"/>
        </w:rPr>
        <w:tab/>
        <w:t>134</w:t>
      </w:r>
    </w:p>
    <w:p>
      <w:pPr>
        <w:tabs>
          <w:tab w:pos="9936" w:val="right" w:leader="dot"/>
        </w:tabs>
        <w:spacing w:after="20"/>
      </w:pPr>
      <w:r>
        <w:rPr>
          <w:rFonts w:ascii="Arial" w:hAnsi="Arial" w:cs="Arial"/>
          <w:b w:val="0"/>
          <w:sz w:val="19"/>
        </w:rPr>
        <w:t xml:space="preserve">      69.6 Liquidity &amp; ALM</w:t>
      </w:r>
      <w:r>
        <w:rPr>
          <w:rFonts w:ascii="Arial" w:hAnsi="Arial" w:cs="Arial"/>
          <w:b w:val="0"/>
          <w:sz w:val="19"/>
        </w:rPr>
        <w:tab/>
        <w:t>134</w:t>
      </w:r>
    </w:p>
    <w:p>
      <w:pPr>
        <w:tabs>
          <w:tab w:pos="9936" w:val="right" w:leader="dot"/>
        </w:tabs>
        <w:spacing w:after="20"/>
      </w:pPr>
      <w:r>
        <w:rPr>
          <w:rFonts w:ascii="Arial" w:hAnsi="Arial" w:cs="Arial"/>
          <w:b w:val="0"/>
          <w:sz w:val="19"/>
        </w:rPr>
        <w:t xml:space="preserve">      69.7 Exposure &amp; Concentration Norms</w:t>
      </w:r>
      <w:r>
        <w:rPr>
          <w:rFonts w:ascii="Arial" w:hAnsi="Arial" w:cs="Arial"/>
          <w:b w:val="0"/>
          <w:sz w:val="19"/>
        </w:rPr>
        <w:tab/>
        <w:t>134</w:t>
      </w:r>
    </w:p>
    <w:p>
      <w:pPr>
        <w:tabs>
          <w:tab w:pos="9936" w:val="right" w:leader="dot"/>
        </w:tabs>
        <w:spacing w:after="20"/>
      </w:pPr>
      <w:r>
        <w:rPr>
          <w:rFonts w:ascii="Arial" w:hAnsi="Arial" w:cs="Arial"/>
          <w:b w:val="0"/>
          <w:sz w:val="19"/>
        </w:rPr>
        <w:t xml:space="preserve">      69.8 Entity-Wise Threshold Matrix</w:t>
      </w:r>
      <w:r>
        <w:rPr>
          <w:rFonts w:ascii="Arial" w:hAnsi="Arial" w:cs="Arial"/>
          <w:b w:val="0"/>
          <w:sz w:val="19"/>
        </w:rPr>
        <w:tab/>
        <w:t>134</w:t>
      </w:r>
    </w:p>
    <w:p>
      <w:pPr>
        <w:tabs>
          <w:tab w:pos="9936" w:val="right" w:leader="dot"/>
        </w:tabs>
        <w:spacing w:after="20"/>
      </w:pPr>
      <w:r>
        <w:rPr>
          <w:rFonts w:ascii="Arial" w:hAnsi="Arial" w:cs="Arial"/>
          <w:b w:val="0"/>
          <w:sz w:val="19"/>
        </w:rPr>
        <w:t xml:space="preserve">      69.9 Computation Source &amp; Cadence</w:t>
      </w:r>
      <w:r>
        <w:rPr>
          <w:rFonts w:ascii="Arial" w:hAnsi="Arial" w:cs="Arial"/>
          <w:b w:val="0"/>
          <w:sz w:val="19"/>
        </w:rPr>
        <w:tab/>
        <w:t>134</w:t>
      </w:r>
    </w:p>
    <w:p>
      <w:pPr>
        <w:tabs>
          <w:tab w:pos="9936" w:val="right" w:leader="dot"/>
        </w:tabs>
        <w:spacing w:after="20"/>
      </w:pPr>
      <w:r>
        <w:rPr>
          <w:rFonts w:ascii="Arial" w:hAnsi="Arial" w:cs="Arial"/>
          <w:b/>
          <w:color w:val="1F4E78"/>
          <w:sz w:val="21"/>
        </w:rPr>
        <w:t>70. Accounting Standards Applicability &amp; Enhanced Accounting</w:t>
      </w:r>
      <w:r>
        <w:rPr>
          <w:rFonts w:ascii="Arial" w:hAnsi="Arial" w:cs="Arial"/>
          <w:b w:val="0"/>
          <w:sz w:val="20"/>
        </w:rPr>
        <w:tab/>
        <w:t>135</w:t>
      </w:r>
    </w:p>
    <w:p>
      <w:pPr>
        <w:tabs>
          <w:tab w:pos="9936" w:val="right" w:leader="dot"/>
        </w:tabs>
        <w:spacing w:after="20"/>
      </w:pPr>
      <w:r>
        <w:rPr>
          <w:rFonts w:ascii="Arial" w:hAnsi="Arial" w:cs="Arial"/>
          <w:b w:val="0"/>
          <w:sz w:val="19"/>
        </w:rPr>
        <w:t xml:space="preserve">      70.1 Applicability Matrix</w:t>
      </w:r>
      <w:r>
        <w:rPr>
          <w:rFonts w:ascii="Arial" w:hAnsi="Arial" w:cs="Arial"/>
          <w:b w:val="0"/>
          <w:sz w:val="19"/>
        </w:rPr>
        <w:tab/>
        <w:t>135</w:t>
      </w:r>
    </w:p>
    <w:p>
      <w:pPr>
        <w:tabs>
          <w:tab w:pos="9936" w:val="right" w:leader="dot"/>
        </w:tabs>
        <w:spacing w:after="20"/>
      </w:pPr>
      <w:r>
        <w:rPr>
          <w:rFonts w:ascii="Arial" w:hAnsi="Arial" w:cs="Arial"/>
          <w:b w:val="0"/>
          <w:sz w:val="19"/>
        </w:rPr>
        <w:t xml:space="preserve">      70.2 Ind AS the Platform Must Support</w:t>
      </w:r>
      <w:r>
        <w:rPr>
          <w:rFonts w:ascii="Arial" w:hAnsi="Arial" w:cs="Arial"/>
          <w:b w:val="0"/>
          <w:sz w:val="19"/>
        </w:rPr>
        <w:tab/>
        <w:t>135</w:t>
      </w:r>
    </w:p>
    <w:p>
      <w:pPr>
        <w:tabs>
          <w:tab w:pos="9936" w:val="right" w:leader="dot"/>
        </w:tabs>
        <w:spacing w:after="20"/>
      </w:pPr>
      <w:r>
        <w:rPr>
          <w:rFonts w:ascii="Arial" w:hAnsi="Arial" w:cs="Arial"/>
          <w:b w:val="0"/>
          <w:sz w:val="19"/>
        </w:rPr>
        <w:t xml:space="preserve">      70.3 IRAC vs Ind AS Interplay (Prudential Floor)</w:t>
      </w:r>
      <w:r>
        <w:rPr>
          <w:rFonts w:ascii="Arial" w:hAnsi="Arial" w:cs="Arial"/>
          <w:b w:val="0"/>
          <w:sz w:val="19"/>
        </w:rPr>
        <w:tab/>
        <w:t>135</w:t>
      </w:r>
    </w:p>
    <w:p>
      <w:pPr>
        <w:tabs>
          <w:tab w:pos="9936" w:val="right" w:leader="dot"/>
        </w:tabs>
        <w:spacing w:after="20"/>
      </w:pPr>
      <w:r>
        <w:rPr>
          <w:rFonts w:ascii="Arial" w:hAnsi="Arial" w:cs="Arial"/>
          <w:b w:val="0"/>
          <w:sz w:val="19"/>
        </w:rPr>
        <w:t xml:space="preserve">      70.4 UCB Accounting Specifics</w:t>
      </w:r>
      <w:r>
        <w:rPr>
          <w:rFonts w:ascii="Arial" w:hAnsi="Arial" w:cs="Arial"/>
          <w:b w:val="0"/>
          <w:sz w:val="19"/>
        </w:rPr>
        <w:tab/>
        <w:t>135</w:t>
      </w:r>
    </w:p>
    <w:p>
      <w:pPr>
        <w:tabs>
          <w:tab w:pos="9936" w:val="right" w:leader="dot"/>
        </w:tabs>
        <w:spacing w:after="20"/>
      </w:pPr>
      <w:r>
        <w:rPr>
          <w:rFonts w:ascii="Arial" w:hAnsi="Arial" w:cs="Arial"/>
          <w:b w:val="0"/>
          <w:sz w:val="19"/>
        </w:rPr>
        <w:t xml:space="preserve">      70.5 Additional Accounting Depth</w:t>
      </w:r>
      <w:r>
        <w:rPr>
          <w:rFonts w:ascii="Arial" w:hAnsi="Arial" w:cs="Arial"/>
          <w:b w:val="0"/>
          <w:sz w:val="19"/>
        </w:rPr>
        <w:tab/>
        <w:t>136</w:t>
      </w:r>
    </w:p>
    <w:p>
      <w:pPr>
        <w:tabs>
          <w:tab w:pos="9936" w:val="right" w:leader="dot"/>
        </w:tabs>
        <w:spacing w:after="20"/>
      </w:pPr>
      <w:r>
        <w:rPr>
          <w:rFonts w:ascii="Arial" w:hAnsi="Arial" w:cs="Arial"/>
          <w:b/>
          <w:color w:val="1F4E78"/>
          <w:sz w:val="21"/>
        </w:rPr>
        <w:t>71. Finance &amp; Accounting Primer for Developers</w:t>
      </w:r>
      <w:r>
        <w:rPr>
          <w:rFonts w:ascii="Arial" w:hAnsi="Arial" w:cs="Arial"/>
          <w:b w:val="0"/>
          <w:sz w:val="20"/>
        </w:rPr>
        <w:tab/>
        <w:t>137</w:t>
      </w:r>
    </w:p>
    <w:p>
      <w:pPr>
        <w:tabs>
          <w:tab w:pos="9936" w:val="right" w:leader="dot"/>
        </w:tabs>
        <w:spacing w:after="20"/>
      </w:pPr>
      <w:r>
        <w:rPr>
          <w:rFonts w:ascii="Arial" w:hAnsi="Arial" w:cs="Arial"/>
          <w:b w:val="0"/>
          <w:sz w:val="19"/>
        </w:rPr>
        <w:t xml:space="preserve">      71.1 Core Loan Vocabulary (plain language)</w:t>
      </w:r>
      <w:r>
        <w:rPr>
          <w:rFonts w:ascii="Arial" w:hAnsi="Arial" w:cs="Arial"/>
          <w:b w:val="0"/>
          <w:sz w:val="19"/>
        </w:rPr>
        <w:tab/>
        <w:t>137</w:t>
      </w:r>
    </w:p>
    <w:p>
      <w:pPr>
        <w:tabs>
          <w:tab w:pos="9936" w:val="right" w:leader="dot"/>
        </w:tabs>
        <w:spacing w:after="20"/>
      </w:pPr>
      <w:r>
        <w:rPr>
          <w:rFonts w:ascii="Arial" w:hAnsi="Arial" w:cs="Arial"/>
          <w:b w:val="0"/>
          <w:sz w:val="19"/>
        </w:rPr>
        <w:t xml:space="preserve">      71.2 How Interest Really Works</w:t>
      </w:r>
      <w:r>
        <w:rPr>
          <w:rFonts w:ascii="Arial" w:hAnsi="Arial" w:cs="Arial"/>
          <w:b w:val="0"/>
          <w:sz w:val="19"/>
        </w:rPr>
        <w:tab/>
        <w:t>137</w:t>
      </w:r>
    </w:p>
    <w:p>
      <w:pPr>
        <w:tabs>
          <w:tab w:pos="9936" w:val="right" w:leader="dot"/>
        </w:tabs>
        <w:spacing w:after="20"/>
      </w:pPr>
      <w:r>
        <w:rPr>
          <w:rFonts w:ascii="Arial" w:hAnsi="Arial" w:cs="Arial"/>
          <w:b w:val="0"/>
          <w:sz w:val="19"/>
        </w:rPr>
        <w:t xml:space="preserve">      71.3 Double-Entry Accounting for Programmers</w:t>
      </w:r>
      <w:r>
        <w:rPr>
          <w:rFonts w:ascii="Arial" w:hAnsi="Arial" w:cs="Arial"/>
          <w:b w:val="0"/>
          <w:sz w:val="19"/>
        </w:rPr>
        <w:tab/>
        <w:t>137</w:t>
      </w:r>
    </w:p>
    <w:p>
      <w:pPr>
        <w:tabs>
          <w:tab w:pos="9936" w:val="right" w:leader="dot"/>
        </w:tabs>
        <w:spacing w:after="20"/>
      </w:pPr>
      <w:r>
        <w:rPr>
          <w:rFonts w:ascii="Arial" w:hAnsi="Arial" w:cs="Arial"/>
          <w:b w:val="0"/>
          <w:sz w:val="19"/>
        </w:rPr>
        <w:t xml:space="preserve">      71.4 Ten Rules a Developer Must Never Break</w:t>
      </w:r>
      <w:r>
        <w:rPr>
          <w:rFonts w:ascii="Arial" w:hAnsi="Arial" w:cs="Arial"/>
          <w:b w:val="0"/>
          <w:sz w:val="19"/>
        </w:rPr>
        <w:tab/>
        <w:t>138</w:t>
      </w:r>
    </w:p>
    <w:p>
      <w:pPr>
        <w:tabs>
          <w:tab w:pos="9936" w:val="right" w:leader="dot"/>
        </w:tabs>
        <w:spacing w:after="20"/>
      </w:pPr>
      <w:r>
        <w:rPr>
          <w:rFonts w:ascii="Arial" w:hAnsi="Arial" w:cs="Arial"/>
          <w:b/>
          <w:color w:val="1F4E78"/>
          <w:sz w:val="21"/>
        </w:rPr>
        <w:t>72. Loan Product Build Pack (Developer-Ready)</w:t>
      </w:r>
      <w:r>
        <w:rPr>
          <w:rFonts w:ascii="Arial" w:hAnsi="Arial" w:cs="Arial"/>
          <w:b w:val="0"/>
          <w:sz w:val="20"/>
        </w:rPr>
        <w:tab/>
        <w:t>139</w:t>
      </w:r>
    </w:p>
    <w:p>
      <w:pPr>
        <w:tabs>
          <w:tab w:pos="9936" w:val="right" w:leader="dot"/>
        </w:tabs>
        <w:spacing w:after="20"/>
      </w:pPr>
      <w:r>
        <w:rPr>
          <w:rFonts w:ascii="Arial" w:hAnsi="Arial" w:cs="Arial"/>
          <w:b w:val="0"/>
          <w:sz w:val="19"/>
        </w:rPr>
        <w:t xml:space="preserve">      72.1 Build Philosophy</w:t>
      </w:r>
      <w:r>
        <w:rPr>
          <w:rFonts w:ascii="Arial" w:hAnsi="Arial" w:cs="Arial"/>
          <w:b w:val="0"/>
          <w:sz w:val="19"/>
        </w:rPr>
        <w:tab/>
        <w:t>139</w:t>
      </w:r>
    </w:p>
    <w:p>
      <w:pPr>
        <w:tabs>
          <w:tab w:pos="9936" w:val="right" w:leader="dot"/>
        </w:tabs>
        <w:spacing w:after="20"/>
      </w:pPr>
      <w:r>
        <w:rPr>
          <w:rFonts w:ascii="Arial" w:hAnsi="Arial" w:cs="Arial"/>
          <w:b w:val="0"/>
          <w:sz w:val="19"/>
        </w:rPr>
        <w:t xml:space="preserve">      72.2 Common Field Library (reused by all products)</w:t>
      </w:r>
      <w:r>
        <w:rPr>
          <w:rFonts w:ascii="Arial" w:hAnsi="Arial" w:cs="Arial"/>
          <w:b w:val="0"/>
          <w:sz w:val="19"/>
        </w:rPr>
        <w:tab/>
        <w:t>139</w:t>
      </w:r>
    </w:p>
    <w:p>
      <w:pPr>
        <w:tabs>
          <w:tab w:pos="9936" w:val="right" w:leader="dot"/>
        </w:tabs>
        <w:spacing w:after="20"/>
      </w:pPr>
      <w:r>
        <w:rPr>
          <w:rFonts w:ascii="Arial" w:hAnsi="Arial" w:cs="Arial"/>
          <w:b w:val="0"/>
          <w:sz w:val="19"/>
        </w:rPr>
        <w:t xml:space="preserve">      72.3 Data-Type → UI Control Mapping</w:t>
      </w:r>
      <w:r>
        <w:rPr>
          <w:rFonts w:ascii="Arial" w:hAnsi="Arial" w:cs="Arial"/>
          <w:b w:val="0"/>
          <w:sz w:val="19"/>
        </w:rPr>
        <w:tab/>
        <w:t>139</w:t>
      </w:r>
    </w:p>
    <w:p>
      <w:pPr>
        <w:tabs>
          <w:tab w:pos="9936" w:val="right" w:leader="dot"/>
        </w:tabs>
        <w:spacing w:after="20"/>
      </w:pPr>
      <w:r>
        <w:rPr>
          <w:rFonts w:ascii="Arial" w:hAnsi="Arial" w:cs="Arial"/>
          <w:b w:val="0"/>
          <w:sz w:val="19"/>
        </w:rPr>
        <w:t xml:space="preserve">      72.4 Per-Product Build Checklist</w:t>
      </w:r>
      <w:r>
        <w:rPr>
          <w:rFonts w:ascii="Arial" w:hAnsi="Arial" w:cs="Arial"/>
          <w:b w:val="0"/>
          <w:sz w:val="19"/>
        </w:rPr>
        <w:tab/>
        <w:t>140</w:t>
      </w:r>
    </w:p>
    <w:p>
      <w:pPr>
        <w:tabs>
          <w:tab w:pos="9936" w:val="right" w:leader="dot"/>
        </w:tabs>
        <w:spacing w:after="20"/>
      </w:pPr>
      <w:r>
        <w:rPr>
          <w:rFonts w:ascii="Arial" w:hAnsi="Arial" w:cs="Arial"/>
          <w:b w:val="0"/>
          <w:sz w:val="19"/>
        </w:rPr>
        <w:t xml:space="preserve">      72.5 Validation &amp; Business Rules</w:t>
      </w:r>
      <w:r>
        <w:rPr>
          <w:rFonts w:ascii="Arial" w:hAnsi="Arial" w:cs="Arial"/>
          <w:b w:val="0"/>
          <w:sz w:val="19"/>
        </w:rPr>
        <w:tab/>
        <w:t>140</w:t>
      </w:r>
    </w:p>
    <w:p>
      <w:pPr>
        <w:tabs>
          <w:tab w:pos="9936" w:val="right" w:leader="dot"/>
        </w:tabs>
        <w:spacing w:after="20"/>
      </w:pPr>
      <w:r>
        <w:rPr>
          <w:rFonts w:ascii="Arial" w:hAnsi="Arial" w:cs="Arial"/>
          <w:b w:val="0"/>
          <w:sz w:val="19"/>
        </w:rPr>
        <w:t xml:space="preserve">      72.6 Companion Field-Catalog Spreadsheet</w:t>
      </w:r>
      <w:r>
        <w:rPr>
          <w:rFonts w:ascii="Arial" w:hAnsi="Arial" w:cs="Arial"/>
          <w:b w:val="0"/>
          <w:sz w:val="19"/>
        </w:rPr>
        <w:tab/>
        <w:t>140</w:t>
      </w:r>
    </w:p>
    <w:p>
      <w:pPr>
        <w:tabs>
          <w:tab w:pos="9936" w:val="right" w:leader="dot"/>
        </w:tabs>
        <w:spacing w:after="20"/>
      </w:pPr>
      <w:r>
        <w:rPr>
          <w:rFonts w:ascii="Arial" w:hAnsi="Arial" w:cs="Arial"/>
          <w:b w:val="0"/>
          <w:sz w:val="19"/>
        </w:rPr>
        <w:t xml:space="preserve">      72.7 Definition of Ready (per product)</w:t>
      </w:r>
      <w:r>
        <w:rPr>
          <w:rFonts w:ascii="Arial" w:hAnsi="Arial" w:cs="Arial"/>
          <w:b w:val="0"/>
          <w:sz w:val="19"/>
        </w:rPr>
        <w:tab/>
        <w:t>140</w:t>
      </w:r>
    </w:p>
    <w:p>
      <w:pPr>
        <w:tabs>
          <w:tab w:pos="9936" w:val="right" w:leader="dot"/>
        </w:tabs>
        <w:spacing w:after="20"/>
      </w:pPr>
      <w:r>
        <w:rPr>
          <w:rFonts w:ascii="Arial" w:hAnsi="Arial" w:cs="Arial"/>
          <w:b/>
          <w:color w:val="1F4E78"/>
          <w:sz w:val="21"/>
        </w:rPr>
        <w:t>73. Screen Inventory &amp; Navigation Map</w:t>
      </w:r>
      <w:r>
        <w:rPr>
          <w:rFonts w:ascii="Arial" w:hAnsi="Arial" w:cs="Arial"/>
          <w:b w:val="0"/>
          <w:sz w:val="20"/>
        </w:rPr>
        <w:tab/>
        <w:t>142</w:t>
      </w:r>
    </w:p>
    <w:p>
      <w:pPr>
        <w:tabs>
          <w:tab w:pos="9936" w:val="right" w:leader="dot"/>
        </w:tabs>
        <w:spacing w:after="20"/>
      </w:pPr>
      <w:r>
        <w:rPr>
          <w:rFonts w:ascii="Arial" w:hAnsi="Arial" w:cs="Arial"/>
          <w:b/>
          <w:color w:val="1F4E78"/>
          <w:sz w:val="21"/>
        </w:rPr>
        <w:t>74. Key Wireframes</w:t>
      </w:r>
      <w:r>
        <w:rPr>
          <w:rFonts w:ascii="Arial" w:hAnsi="Arial" w:cs="Arial"/>
          <w:b w:val="0"/>
          <w:sz w:val="20"/>
        </w:rPr>
        <w:tab/>
        <w:t>144</w:t>
      </w:r>
    </w:p>
    <w:p>
      <w:pPr>
        <w:tabs>
          <w:tab w:pos="9936" w:val="right" w:leader="dot"/>
        </w:tabs>
        <w:spacing w:after="20"/>
      </w:pPr>
      <w:r>
        <w:rPr>
          <w:rFonts w:ascii="Arial" w:hAnsi="Arial" w:cs="Arial"/>
          <w:b/>
          <w:color w:val="1F4E78"/>
          <w:sz w:val="21"/>
        </w:rPr>
        <w:t>75. RBAC Permission Matrix</w:t>
      </w:r>
      <w:r>
        <w:rPr>
          <w:rFonts w:ascii="Arial" w:hAnsi="Arial" w:cs="Arial"/>
          <w:b w:val="0"/>
          <w:sz w:val="20"/>
        </w:rPr>
        <w:tab/>
        <w:t>146</w:t>
      </w:r>
    </w:p>
    <w:p>
      <w:pPr>
        <w:tabs>
          <w:tab w:pos="9936" w:val="right" w:leader="dot"/>
        </w:tabs>
        <w:spacing w:after="20"/>
      </w:pPr>
      <w:r>
        <w:rPr>
          <w:rFonts w:ascii="Arial" w:hAnsi="Arial" w:cs="Arial"/>
          <w:b/>
          <w:color w:val="1F4E78"/>
          <w:sz w:val="21"/>
        </w:rPr>
        <w:t>76. Validation &amp; Error-Message Catalog</w:t>
      </w:r>
      <w:r>
        <w:rPr>
          <w:rFonts w:ascii="Arial" w:hAnsi="Arial" w:cs="Arial"/>
          <w:b w:val="0"/>
          <w:sz w:val="20"/>
        </w:rPr>
        <w:tab/>
        <w:t>147</w:t>
      </w:r>
    </w:p>
    <w:p>
      <w:pPr>
        <w:tabs>
          <w:tab w:pos="9936" w:val="right" w:leader="dot"/>
        </w:tabs>
        <w:spacing w:after="20"/>
      </w:pPr>
      <w:r>
        <w:rPr>
          <w:rFonts w:ascii="Arial" w:hAnsi="Arial" w:cs="Arial"/>
          <w:b/>
          <w:color w:val="1F4E78"/>
          <w:sz w:val="21"/>
        </w:rPr>
        <w:t>77. Entity State-Transition Tables</w:t>
      </w:r>
      <w:r>
        <w:rPr>
          <w:rFonts w:ascii="Arial" w:hAnsi="Arial" w:cs="Arial"/>
          <w:b w:val="0"/>
          <w:sz w:val="20"/>
        </w:rPr>
        <w:tab/>
        <w:t>147</w:t>
      </w:r>
    </w:p>
    <w:p>
      <w:pPr>
        <w:tabs>
          <w:tab w:pos="9936" w:val="right" w:leader="dot"/>
        </w:tabs>
        <w:spacing w:after="20"/>
      </w:pPr>
      <w:r>
        <w:rPr>
          <w:rFonts w:ascii="Arial" w:hAnsi="Arial" w:cs="Arial"/>
          <w:b w:val="0"/>
          <w:sz w:val="19"/>
        </w:rPr>
        <w:t xml:space="preserve">      77.1 Application</w:t>
      </w:r>
      <w:r>
        <w:rPr>
          <w:rFonts w:ascii="Arial" w:hAnsi="Arial" w:cs="Arial"/>
          <w:b w:val="0"/>
          <w:sz w:val="19"/>
        </w:rPr>
        <w:tab/>
        <w:t>147</w:t>
      </w:r>
    </w:p>
    <w:p>
      <w:pPr>
        <w:tabs>
          <w:tab w:pos="9936" w:val="right" w:leader="dot"/>
        </w:tabs>
        <w:spacing w:after="20"/>
      </w:pPr>
      <w:r>
        <w:rPr>
          <w:rFonts w:ascii="Arial" w:hAnsi="Arial" w:cs="Arial"/>
          <w:b w:val="0"/>
          <w:sz w:val="19"/>
        </w:rPr>
        <w:t xml:space="preserve">      77.2 Loan Account</w:t>
      </w:r>
      <w:r>
        <w:rPr>
          <w:rFonts w:ascii="Arial" w:hAnsi="Arial" w:cs="Arial"/>
          <w:b w:val="0"/>
          <w:sz w:val="19"/>
        </w:rPr>
        <w:tab/>
        <w:t>148</w:t>
      </w:r>
    </w:p>
    <w:p>
      <w:pPr>
        <w:tabs>
          <w:tab w:pos="9936" w:val="right" w:leader="dot"/>
        </w:tabs>
        <w:spacing w:after="20"/>
      </w:pPr>
      <w:r>
        <w:rPr>
          <w:rFonts w:ascii="Arial" w:hAnsi="Arial" w:cs="Arial"/>
          <w:b/>
          <w:color w:val="1F4E78"/>
          <w:sz w:val="21"/>
        </w:rPr>
        <w:t>78. Business-Rule Catalog</w:t>
      </w:r>
      <w:r>
        <w:rPr>
          <w:rFonts w:ascii="Arial" w:hAnsi="Arial" w:cs="Arial"/>
          <w:b w:val="0"/>
          <w:sz w:val="20"/>
        </w:rPr>
        <w:tab/>
        <w:t>148</w:t>
      </w:r>
    </w:p>
    <w:p>
      <w:pPr>
        <w:tabs>
          <w:tab w:pos="9936" w:val="right" w:leader="dot"/>
        </w:tabs>
        <w:spacing w:after="20"/>
      </w:pPr>
      <w:r>
        <w:rPr>
          <w:rFonts w:ascii="Arial" w:hAnsi="Arial" w:cs="Arial"/>
          <w:b/>
          <w:color w:val="1F4E78"/>
          <w:sz w:val="21"/>
        </w:rPr>
        <w:t>79. Calculation Pseudocode &amp; Reference Snippets</w:t>
      </w:r>
      <w:r>
        <w:rPr>
          <w:rFonts w:ascii="Arial" w:hAnsi="Arial" w:cs="Arial"/>
          <w:b w:val="0"/>
          <w:sz w:val="20"/>
        </w:rPr>
        <w:tab/>
        <w:t>148</w:t>
      </w:r>
    </w:p>
    <w:p>
      <w:pPr>
        <w:tabs>
          <w:tab w:pos="9936" w:val="right" w:leader="dot"/>
        </w:tabs>
        <w:spacing w:after="20"/>
      </w:pPr>
      <w:r>
        <w:rPr>
          <w:rFonts w:ascii="Arial" w:hAnsi="Arial" w:cs="Arial"/>
          <w:b w:val="0"/>
          <w:sz w:val="19"/>
        </w:rPr>
        <w:t xml:space="preserve">      79.1 EMI &amp; Amortisation Schedule</w:t>
      </w:r>
      <w:r>
        <w:rPr>
          <w:rFonts w:ascii="Arial" w:hAnsi="Arial" w:cs="Arial"/>
          <w:b w:val="0"/>
          <w:sz w:val="19"/>
        </w:rPr>
        <w:tab/>
        <w:t>148</w:t>
      </w:r>
    </w:p>
    <w:p>
      <w:pPr>
        <w:tabs>
          <w:tab w:pos="9936" w:val="right" w:leader="dot"/>
        </w:tabs>
        <w:spacing w:after="20"/>
      </w:pPr>
      <w:r>
        <w:rPr>
          <w:rFonts w:ascii="Arial" w:hAnsi="Arial" w:cs="Arial"/>
          <w:b w:val="0"/>
          <w:sz w:val="19"/>
        </w:rPr>
        <w:t xml:space="preserve">      79.2 Daily Interest Accrual (reducing/daily-rest)</w:t>
      </w:r>
      <w:r>
        <w:rPr>
          <w:rFonts w:ascii="Arial" w:hAnsi="Arial" w:cs="Arial"/>
          <w:b w:val="0"/>
          <w:sz w:val="19"/>
        </w:rPr>
        <w:tab/>
        <w:t>149</w:t>
      </w:r>
    </w:p>
    <w:p>
      <w:pPr>
        <w:tabs>
          <w:tab w:pos="9936" w:val="right" w:leader="dot"/>
        </w:tabs>
        <w:spacing w:after="20"/>
      </w:pPr>
      <w:r>
        <w:rPr>
          <w:rFonts w:ascii="Arial" w:hAnsi="Arial" w:cs="Arial"/>
          <w:b w:val="0"/>
          <w:sz w:val="19"/>
        </w:rPr>
        <w:t xml:space="preserve">      79.3 APR / EIR (iterative IRR)</w:t>
      </w:r>
      <w:r>
        <w:rPr>
          <w:rFonts w:ascii="Arial" w:hAnsi="Arial" w:cs="Arial"/>
          <w:b w:val="0"/>
          <w:sz w:val="19"/>
        </w:rPr>
        <w:tab/>
        <w:t>149</w:t>
      </w:r>
    </w:p>
    <w:p>
      <w:pPr>
        <w:tabs>
          <w:tab w:pos="9936" w:val="right" w:leader="dot"/>
        </w:tabs>
        <w:spacing w:after="20"/>
      </w:pPr>
      <w:r>
        <w:rPr>
          <w:rFonts w:ascii="Arial" w:hAnsi="Arial" w:cs="Arial"/>
          <w:b w:val="0"/>
          <w:sz w:val="19"/>
        </w:rPr>
        <w:t xml:space="preserve">      79.4 Provisioning (IRAC) &amp; higher-of-ECL</w:t>
      </w:r>
      <w:r>
        <w:rPr>
          <w:rFonts w:ascii="Arial" w:hAnsi="Arial" w:cs="Arial"/>
          <w:b w:val="0"/>
          <w:sz w:val="19"/>
        </w:rPr>
        <w:tab/>
        <w:t>149</w:t>
      </w:r>
    </w:p>
    <w:p>
      <w:pPr>
        <w:tabs>
          <w:tab w:pos="9936" w:val="right" w:leader="dot"/>
        </w:tabs>
        <w:spacing w:after="20"/>
      </w:pPr>
      <w:r>
        <w:rPr>
          <w:rFonts w:ascii="Arial" w:hAnsi="Arial" w:cs="Arial"/>
          <w:b/>
          <w:color w:val="1F4E78"/>
          <w:sz w:val="21"/>
        </w:rPr>
        <w:t>80. Master Code Lists / Enumerations</w:t>
      </w:r>
      <w:r>
        <w:rPr>
          <w:rFonts w:ascii="Arial" w:hAnsi="Arial" w:cs="Arial"/>
          <w:b w:val="0"/>
          <w:sz w:val="20"/>
        </w:rPr>
        <w:tab/>
        <w:t>149</w:t>
      </w:r>
    </w:p>
    <w:p>
      <w:pPr>
        <w:tabs>
          <w:tab w:pos="9936" w:val="right" w:leader="dot"/>
        </w:tabs>
        <w:spacing w:after="20"/>
      </w:pPr>
      <w:r>
        <w:rPr>
          <w:rFonts w:ascii="Arial" w:hAnsi="Arial" w:cs="Arial"/>
          <w:b/>
          <w:color w:val="1F4E78"/>
          <w:sz w:val="21"/>
        </w:rPr>
        <w:t>81. Domain Event &amp; Webhook Catalog</w:t>
      </w:r>
      <w:r>
        <w:rPr>
          <w:rFonts w:ascii="Arial" w:hAnsi="Arial" w:cs="Arial"/>
          <w:b w:val="0"/>
          <w:sz w:val="20"/>
        </w:rPr>
        <w:tab/>
        <w:t>150</w:t>
      </w:r>
    </w:p>
    <w:p>
      <w:pPr>
        <w:tabs>
          <w:tab w:pos="9936" w:val="right" w:leader="dot"/>
        </w:tabs>
        <w:spacing w:after="20"/>
      </w:pPr>
      <w:r>
        <w:rPr>
          <w:rFonts w:ascii="Arial" w:hAnsi="Arial" w:cs="Arial"/>
          <w:b/>
          <w:color w:val="1F4E78"/>
          <w:sz w:val="21"/>
        </w:rPr>
        <w:t>82. Configuration, Environment, Repo Structure &amp; Batch Jobs</w:t>
      </w:r>
      <w:r>
        <w:rPr>
          <w:rFonts w:ascii="Arial" w:hAnsi="Arial" w:cs="Arial"/>
          <w:b w:val="0"/>
          <w:sz w:val="20"/>
        </w:rPr>
        <w:tab/>
        <w:t>150</w:t>
      </w:r>
    </w:p>
    <w:p>
      <w:pPr>
        <w:tabs>
          <w:tab w:pos="9936" w:val="right" w:leader="dot"/>
        </w:tabs>
        <w:spacing w:after="20"/>
      </w:pPr>
      <w:r>
        <w:rPr>
          <w:rFonts w:ascii="Arial" w:hAnsi="Arial" w:cs="Arial"/>
          <w:b w:val="0"/>
          <w:sz w:val="19"/>
        </w:rPr>
        <w:t xml:space="preserve">      82.1 Configuration / Environment Catalog</w:t>
      </w:r>
      <w:r>
        <w:rPr>
          <w:rFonts w:ascii="Arial" w:hAnsi="Arial" w:cs="Arial"/>
          <w:b w:val="0"/>
          <w:sz w:val="19"/>
        </w:rPr>
        <w:tab/>
        <w:t>150</w:t>
      </w:r>
    </w:p>
    <w:p>
      <w:pPr>
        <w:tabs>
          <w:tab w:pos="9936" w:val="right" w:leader="dot"/>
        </w:tabs>
        <w:spacing w:after="20"/>
      </w:pPr>
      <w:r>
        <w:rPr>
          <w:rFonts w:ascii="Arial" w:hAnsi="Arial" w:cs="Arial"/>
          <w:b w:val="0"/>
          <w:sz w:val="19"/>
        </w:rPr>
        <w:t xml:space="preserve">      82.2 Suggested Repository Structure (bounded contexts)</w:t>
      </w:r>
      <w:r>
        <w:rPr>
          <w:rFonts w:ascii="Arial" w:hAnsi="Arial" w:cs="Arial"/>
          <w:b w:val="0"/>
          <w:sz w:val="19"/>
        </w:rPr>
        <w:tab/>
        <w:t>151</w:t>
      </w:r>
    </w:p>
    <w:p>
      <w:pPr>
        <w:tabs>
          <w:tab w:pos="9936" w:val="right" w:leader="dot"/>
        </w:tabs>
        <w:spacing w:after="20"/>
      </w:pPr>
      <w:r>
        <w:rPr>
          <w:rFonts w:ascii="Arial" w:hAnsi="Arial" w:cs="Arial"/>
          <w:b w:val="0"/>
          <w:sz w:val="19"/>
        </w:rPr>
        <w:t xml:space="preserve">      82.3 Batch-Job Catalog</w:t>
      </w:r>
      <w:r>
        <w:rPr>
          <w:rFonts w:ascii="Arial" w:hAnsi="Arial" w:cs="Arial"/>
          <w:b w:val="0"/>
          <w:sz w:val="19"/>
        </w:rPr>
        <w:tab/>
        <w:t>151</w:t>
      </w:r>
    </w:p>
    <w:p>
      <w:pPr>
        <w:tabs>
          <w:tab w:pos="9936" w:val="right" w:leader="dot"/>
        </w:tabs>
        <w:spacing w:after="20"/>
      </w:pPr>
      <w:r>
        <w:rPr>
          <w:rFonts w:ascii="Arial" w:hAnsi="Arial" w:cs="Arial"/>
          <w:b/>
          <w:color w:val="1F4E78"/>
          <w:sz w:val="21"/>
        </w:rPr>
        <w:t>83. Document / Print Templates (merge fields)</w:t>
      </w:r>
      <w:r>
        <w:rPr>
          <w:rFonts w:ascii="Arial" w:hAnsi="Arial" w:cs="Arial"/>
          <w:b w:val="0"/>
          <w:sz w:val="20"/>
        </w:rPr>
        <w:tab/>
        <w:t>151</w:t>
      </w:r>
    </w:p>
    <w:p>
      <w:pPr>
        <w:tabs>
          <w:tab w:pos="9936" w:val="right" w:leader="dot"/>
        </w:tabs>
        <w:spacing w:after="20"/>
      </w:pPr>
      <w:r>
        <w:rPr>
          <w:rFonts w:ascii="Arial" w:hAnsi="Arial" w:cs="Arial"/>
          <w:b/>
          <w:color w:val="1F4E78"/>
          <w:sz w:val="21"/>
        </w:rPr>
        <w:t>84. Test Scenarios (Given-When-Then) &amp; Seed Data</w:t>
      </w:r>
      <w:r>
        <w:rPr>
          <w:rFonts w:ascii="Arial" w:hAnsi="Arial" w:cs="Arial"/>
          <w:b w:val="0"/>
          <w:sz w:val="20"/>
        </w:rPr>
        <w:tab/>
        <w:t>151</w:t>
      </w:r>
    </w:p>
    <w:p>
      <w:pPr>
        <w:tabs>
          <w:tab w:pos="9936" w:val="right" w:leader="dot"/>
        </w:tabs>
        <w:spacing w:after="20"/>
      </w:pPr>
      <w:r>
        <w:rPr>
          <w:rFonts w:ascii="Arial" w:hAnsi="Arial" w:cs="Arial"/>
          <w:b/>
          <w:color w:val="1F4E78"/>
          <w:sz w:val="21"/>
        </w:rPr>
        <w:t>85. Accessibility (WCAG 2.1 AA) Acceptance Checklist</w:t>
      </w:r>
      <w:r>
        <w:rPr>
          <w:rFonts w:ascii="Arial" w:hAnsi="Arial" w:cs="Arial"/>
          <w:b w:val="0"/>
          <w:sz w:val="20"/>
        </w:rPr>
        <w:tab/>
        <w:t>152</w:t>
      </w:r>
    </w:p>
    <w:p>
      <w:pPr>
        <w:tabs>
          <w:tab w:pos="9936" w:val="right" w:leader="dot"/>
        </w:tabs>
        <w:spacing w:after="20"/>
      </w:pPr>
      <w:r>
        <w:rPr>
          <w:rFonts w:ascii="Arial" w:hAnsi="Arial" w:cs="Arial"/>
          <w:b/>
          <w:color w:val="1F4E78"/>
          <w:sz w:val="21"/>
        </w:rPr>
        <w:t>86. Loan Against Securities (LAS) — Comprehensive Product Blueprint</w:t>
      </w:r>
      <w:r>
        <w:rPr>
          <w:rFonts w:ascii="Arial" w:hAnsi="Arial" w:cs="Arial"/>
          <w:b w:val="0"/>
          <w:sz w:val="20"/>
        </w:rPr>
        <w:tab/>
        <w:t>153</w:t>
      </w:r>
    </w:p>
    <w:p>
      <w:pPr>
        <w:tabs>
          <w:tab w:pos="9936" w:val="right" w:leader="dot"/>
        </w:tabs>
        <w:spacing w:after="20"/>
      </w:pPr>
      <w:r>
        <w:rPr>
          <w:rFonts w:ascii="Arial" w:hAnsi="Arial" w:cs="Arial"/>
          <w:b w:val="0"/>
          <w:sz w:val="19"/>
        </w:rPr>
        <w:t xml:space="preserve">      86.1 Product Overview &amp; Variants</w:t>
      </w:r>
      <w:r>
        <w:rPr>
          <w:rFonts w:ascii="Arial" w:hAnsi="Arial" w:cs="Arial"/>
          <w:b w:val="0"/>
          <w:sz w:val="19"/>
        </w:rPr>
        <w:tab/>
        <w:t>153</w:t>
      </w:r>
    </w:p>
    <w:p>
      <w:pPr>
        <w:tabs>
          <w:tab w:pos="9936" w:val="right" w:leader="dot"/>
        </w:tabs>
        <w:spacing w:after="20"/>
      </w:pPr>
      <w:r>
        <w:rPr>
          <w:rFonts w:ascii="Arial" w:hAnsi="Arial" w:cs="Arial"/>
          <w:b w:val="0"/>
          <w:sz w:val="19"/>
        </w:rPr>
        <w:t xml:space="preserve">      86.2 Regulatory Framework</w:t>
      </w:r>
      <w:r>
        <w:rPr>
          <w:rFonts w:ascii="Arial" w:hAnsi="Arial" w:cs="Arial"/>
          <w:b w:val="0"/>
          <w:sz w:val="19"/>
        </w:rPr>
        <w:tab/>
        <w:t>153</w:t>
      </w:r>
    </w:p>
    <w:p>
      <w:pPr>
        <w:tabs>
          <w:tab w:pos="9936" w:val="right" w:leader="dot"/>
        </w:tabs>
        <w:spacing w:after="20"/>
      </w:pPr>
      <w:r>
        <w:rPr>
          <w:rFonts w:ascii="Arial" w:hAnsi="Arial" w:cs="Arial"/>
          <w:b w:val="0"/>
          <w:sz w:val="19"/>
        </w:rPr>
        <w:t xml:space="preserve">      86.3 Eligible-Securities &amp; Haircut Master</w:t>
      </w:r>
      <w:r>
        <w:rPr>
          <w:rFonts w:ascii="Arial" w:hAnsi="Arial" w:cs="Arial"/>
          <w:b w:val="0"/>
          <w:sz w:val="19"/>
        </w:rPr>
        <w:tab/>
        <w:t>153</w:t>
      </w:r>
    </w:p>
    <w:p>
      <w:pPr>
        <w:tabs>
          <w:tab w:pos="9936" w:val="right" w:leader="dot"/>
        </w:tabs>
        <w:spacing w:after="20"/>
      </w:pPr>
      <w:r>
        <w:rPr>
          <w:rFonts w:ascii="Arial" w:hAnsi="Arial" w:cs="Arial"/>
          <w:b w:val="0"/>
          <w:sz w:val="19"/>
        </w:rPr>
        <w:t xml:space="preserve">      86.4 Borrower Types &amp; Eligibility</w:t>
      </w:r>
      <w:r>
        <w:rPr>
          <w:rFonts w:ascii="Arial" w:hAnsi="Arial" w:cs="Arial"/>
          <w:b w:val="0"/>
          <w:sz w:val="19"/>
        </w:rPr>
        <w:tab/>
        <w:t>154</w:t>
      </w:r>
    </w:p>
    <w:p>
      <w:pPr>
        <w:tabs>
          <w:tab w:pos="9936" w:val="right" w:leader="dot"/>
        </w:tabs>
        <w:spacing w:after="20"/>
      </w:pPr>
      <w:r>
        <w:rPr>
          <w:rFonts w:ascii="Arial" w:hAnsi="Arial" w:cs="Arial"/>
          <w:b w:val="0"/>
          <w:sz w:val="19"/>
        </w:rPr>
        <w:t xml:space="preserve">      86.5 Application Form — Complete Field Set</w:t>
      </w:r>
      <w:r>
        <w:rPr>
          <w:rFonts w:ascii="Arial" w:hAnsi="Arial" w:cs="Arial"/>
          <w:b w:val="0"/>
          <w:sz w:val="19"/>
        </w:rPr>
        <w:tab/>
        <w:t>154</w:t>
      </w:r>
    </w:p>
    <w:p>
      <w:pPr>
        <w:tabs>
          <w:tab w:pos="9936" w:val="right" w:leader="dot"/>
        </w:tabs>
        <w:spacing w:after="20"/>
      </w:pPr>
      <w:r>
        <w:rPr>
          <w:rFonts w:ascii="Arial" w:hAnsi="Arial" w:cs="Arial"/>
          <w:b w:val="0"/>
          <w:sz w:val="19"/>
        </w:rPr>
        <w:t xml:space="preserve">      86.6 Pledge Lifecycle</w:t>
      </w:r>
      <w:r>
        <w:rPr>
          <w:rFonts w:ascii="Arial" w:hAnsi="Arial" w:cs="Arial"/>
          <w:b w:val="0"/>
          <w:sz w:val="19"/>
        </w:rPr>
        <w:tab/>
        <w:t>155</w:t>
      </w:r>
    </w:p>
    <w:p>
      <w:pPr>
        <w:tabs>
          <w:tab w:pos="9936" w:val="right" w:leader="dot"/>
        </w:tabs>
        <w:spacing w:after="20"/>
      </w:pPr>
      <w:r>
        <w:rPr>
          <w:rFonts w:ascii="Arial" w:hAnsi="Arial" w:cs="Arial"/>
          <w:b w:val="0"/>
          <w:sz w:val="19"/>
        </w:rPr>
        <w:t xml:space="preserve">      86.7 Drawing-Power Computation &amp; Daily Revaluation</w:t>
      </w:r>
      <w:r>
        <w:rPr>
          <w:rFonts w:ascii="Arial" w:hAnsi="Arial" w:cs="Arial"/>
          <w:b w:val="0"/>
          <w:sz w:val="19"/>
        </w:rPr>
        <w:tab/>
        <w:t>155</w:t>
      </w:r>
    </w:p>
    <w:p>
      <w:pPr>
        <w:tabs>
          <w:tab w:pos="9936" w:val="right" w:leader="dot"/>
        </w:tabs>
        <w:spacing w:after="20"/>
      </w:pPr>
      <w:r>
        <w:rPr>
          <w:rFonts w:ascii="Arial" w:hAnsi="Arial" w:cs="Arial"/>
          <w:b w:val="0"/>
          <w:sz w:val="19"/>
        </w:rPr>
        <w:t xml:space="preserve">      86.8 Margin-Call Logic &amp; Liquidation</w:t>
      </w:r>
      <w:r>
        <w:rPr>
          <w:rFonts w:ascii="Arial" w:hAnsi="Arial" w:cs="Arial"/>
          <w:b w:val="0"/>
          <w:sz w:val="19"/>
        </w:rPr>
        <w:tab/>
        <w:t>155</w:t>
      </w:r>
    </w:p>
    <w:p>
      <w:pPr>
        <w:tabs>
          <w:tab w:pos="9936" w:val="right" w:leader="dot"/>
        </w:tabs>
        <w:spacing w:after="20"/>
      </w:pPr>
      <w:r>
        <w:rPr>
          <w:rFonts w:ascii="Arial" w:hAnsi="Arial" w:cs="Arial"/>
          <w:b w:val="0"/>
          <w:sz w:val="19"/>
        </w:rPr>
        <w:t xml:space="preserve">      86.9 Corporate Actions on Pledged Securities</w:t>
      </w:r>
      <w:r>
        <w:rPr>
          <w:rFonts w:ascii="Arial" w:hAnsi="Arial" w:cs="Arial"/>
          <w:b w:val="0"/>
          <w:sz w:val="19"/>
        </w:rPr>
        <w:tab/>
        <w:t>156</w:t>
      </w:r>
    </w:p>
    <w:p>
      <w:pPr>
        <w:tabs>
          <w:tab w:pos="9936" w:val="right" w:leader="dot"/>
        </w:tabs>
        <w:spacing w:after="20"/>
      </w:pPr>
      <w:r>
        <w:rPr>
          <w:rFonts w:ascii="Arial" w:hAnsi="Arial" w:cs="Arial"/>
          <w:b w:val="0"/>
          <w:sz w:val="19"/>
        </w:rPr>
        <w:t xml:space="preserve">      86.10 Interest, Charges &amp; Accounting</w:t>
      </w:r>
      <w:r>
        <w:rPr>
          <w:rFonts w:ascii="Arial" w:hAnsi="Arial" w:cs="Arial"/>
          <w:b w:val="0"/>
          <w:sz w:val="19"/>
        </w:rPr>
        <w:tab/>
        <w:t>156</w:t>
      </w:r>
    </w:p>
    <w:p>
      <w:pPr>
        <w:tabs>
          <w:tab w:pos="9936" w:val="right" w:leader="dot"/>
        </w:tabs>
        <w:spacing w:after="20"/>
      </w:pPr>
      <w:r>
        <w:rPr>
          <w:rFonts w:ascii="Arial" w:hAnsi="Arial" w:cs="Arial"/>
          <w:b w:val="0"/>
          <w:sz w:val="19"/>
        </w:rPr>
        <w:t xml:space="preserve">      86.11 Scenarios &amp; Edge Cases</w:t>
      </w:r>
      <w:r>
        <w:rPr>
          <w:rFonts w:ascii="Arial" w:hAnsi="Arial" w:cs="Arial"/>
          <w:b w:val="0"/>
          <w:sz w:val="19"/>
        </w:rPr>
        <w:tab/>
        <w:t>156</w:t>
      </w:r>
    </w:p>
    <w:p>
      <w:pPr>
        <w:tabs>
          <w:tab w:pos="9936" w:val="right" w:leader="dot"/>
        </w:tabs>
        <w:spacing w:after="20"/>
      </w:pPr>
      <w:r>
        <w:rPr>
          <w:rFonts w:ascii="Arial" w:hAnsi="Arial" w:cs="Arial"/>
          <w:b w:val="0"/>
          <w:sz w:val="19"/>
        </w:rPr>
        <w:t xml:space="preserve">      86.12 State Machine</w:t>
      </w:r>
      <w:r>
        <w:rPr>
          <w:rFonts w:ascii="Arial" w:hAnsi="Arial" w:cs="Arial"/>
          <w:b w:val="0"/>
          <w:sz w:val="19"/>
        </w:rPr>
        <w:tab/>
        <w:t>157</w:t>
      </w:r>
    </w:p>
    <w:p>
      <w:pPr>
        <w:tabs>
          <w:tab w:pos="9936" w:val="right" w:leader="dot"/>
        </w:tabs>
        <w:spacing w:after="20"/>
      </w:pPr>
      <w:r>
        <w:rPr>
          <w:rFonts w:ascii="Arial" w:hAnsi="Arial" w:cs="Arial"/>
          <w:b w:val="0"/>
          <w:sz w:val="19"/>
        </w:rPr>
        <w:t xml:space="preserve">      86.13 Integrations</w:t>
      </w:r>
      <w:r>
        <w:rPr>
          <w:rFonts w:ascii="Arial" w:hAnsi="Arial" w:cs="Arial"/>
          <w:b w:val="0"/>
          <w:sz w:val="19"/>
        </w:rPr>
        <w:tab/>
        <w:t>159</w:t>
      </w:r>
    </w:p>
    <w:p>
      <w:pPr>
        <w:tabs>
          <w:tab w:pos="9936" w:val="right" w:leader="dot"/>
        </w:tabs>
        <w:spacing w:after="20"/>
      </w:pPr>
      <w:r>
        <w:rPr>
          <w:rFonts w:ascii="Arial" w:hAnsi="Arial" w:cs="Arial"/>
          <w:b w:val="0"/>
          <w:sz w:val="19"/>
        </w:rPr>
        <w:t xml:space="preserve">      86.14 Risk Controls</w:t>
      </w:r>
      <w:r>
        <w:rPr>
          <w:rFonts w:ascii="Arial" w:hAnsi="Arial" w:cs="Arial"/>
          <w:b w:val="0"/>
          <w:sz w:val="19"/>
        </w:rPr>
        <w:tab/>
        <w:t>159</w:t>
      </w:r>
    </w:p>
    <w:p>
      <w:pPr>
        <w:tabs>
          <w:tab w:pos="9936" w:val="right" w:leader="dot"/>
        </w:tabs>
        <w:spacing w:after="20"/>
      </w:pPr>
      <w:r>
        <w:rPr>
          <w:rFonts w:ascii="Arial" w:hAnsi="Arial" w:cs="Arial"/>
          <w:b w:val="0"/>
          <w:sz w:val="19"/>
        </w:rPr>
        <w:t xml:space="preserve">      86.15 Documents Generated</w:t>
      </w:r>
      <w:r>
        <w:rPr>
          <w:rFonts w:ascii="Arial" w:hAnsi="Arial" w:cs="Arial"/>
          <w:b w:val="0"/>
          <w:sz w:val="19"/>
        </w:rPr>
        <w:tab/>
        <w:t>159</w:t>
      </w:r>
    </w:p>
    <w:p>
      <w:pPr>
        <w:tabs>
          <w:tab w:pos="9936" w:val="right" w:leader="dot"/>
        </w:tabs>
        <w:spacing w:after="20"/>
      </w:pPr>
      <w:r>
        <w:rPr>
          <w:rFonts w:ascii="Arial" w:hAnsi="Arial" w:cs="Arial"/>
          <w:b w:val="0"/>
          <w:sz w:val="19"/>
        </w:rPr>
        <w:t xml:space="preserve">      86.16 Field Catalog</w:t>
      </w:r>
      <w:r>
        <w:rPr>
          <w:rFonts w:ascii="Arial" w:hAnsi="Arial" w:cs="Arial"/>
          <w:b w:val="0"/>
          <w:sz w:val="19"/>
        </w:rPr>
        <w:tab/>
        <w:t>159</w:t>
      </w:r>
    </w:p>
    <w:p>
      <w:pPr>
        <w:tabs>
          <w:tab w:pos="9936" w:val="right" w:leader="dot"/>
        </w:tabs>
        <w:spacing w:after="20"/>
      </w:pPr>
      <w:r>
        <w:rPr>
          <w:rFonts w:ascii="Arial" w:hAnsi="Arial" w:cs="Arial"/>
          <w:b w:val="0"/>
          <w:sz w:val="19"/>
        </w:rPr>
        <w:t xml:space="preserve">      86.17 Applying This Blueprint to Other Products</w:t>
      </w:r>
      <w:r>
        <w:rPr>
          <w:rFonts w:ascii="Arial" w:hAnsi="Arial" w:cs="Arial"/>
          <w:b w:val="0"/>
          <w:sz w:val="19"/>
        </w:rPr>
        <w:tab/>
        <w:t>159</w:t>
      </w:r>
    </w:p>
    <w:p>
      <w:pPr>
        <w:tabs>
          <w:tab w:pos="9936" w:val="right" w:leader="dot"/>
        </w:tabs>
        <w:spacing w:after="20"/>
      </w:pPr>
      <w:r>
        <w:rPr>
          <w:rFonts w:ascii="Arial" w:hAnsi="Arial" w:cs="Arial"/>
          <w:b/>
          <w:color w:val="1F4E78"/>
          <w:sz w:val="21"/>
        </w:rPr>
        <w:t>87. Comprehensive Product Blueprints</w:t>
      </w:r>
      <w:r>
        <w:rPr>
          <w:rFonts w:ascii="Arial" w:hAnsi="Arial" w:cs="Arial"/>
          <w:b w:val="0"/>
          <w:sz w:val="20"/>
        </w:rPr>
        <w:tab/>
        <w:t>160</w:t>
      </w:r>
    </w:p>
    <w:p>
      <w:r>
        <w:rPr>
          <w:rFonts w:ascii="Arial" w:hAnsi="Arial" w:cs="Arial"/>
          <w:sz w:val="20"/>
        </w:rPr>
        <w:t xml:space="preserve">88. Payment Appropriation, Excess Funds &amp; Refunds</w:t>
      </w:r>
    </w:p>
    <w:p>
      <w:r>
        <w:rPr>
          <w:rFonts w:ascii="Arial" w:hAnsi="Arial" w:cs="Arial"/>
          <w:sz w:val="20"/>
        </w:rPr>
        <w:t xml:space="preserve">89. Write-Off, One-Time Settlement (OTS) &amp; Post-Write-Off Recovery</w:t>
      </w:r>
    </w:p>
    <w:p>
      <w:r>
        <w:rPr>
          <w:rFonts w:ascii="Arial" w:hAnsi="Arial" w:cs="Arial"/>
          <w:sz w:val="20"/>
        </w:rPr>
        <w:t xml:space="preserve">90. Field Cash Collections &amp; Receipt Management</w:t>
      </w:r>
    </w:p>
    <w:p>
      <w:r>
        <w:rPr>
          <w:rFonts w:ascii="Arial" w:hAnsi="Arial" w:cs="Arial"/>
          <w:sz w:val="20"/>
        </w:rPr>
        <w:t xml:space="preserve">91. Deceased-Borrower &amp; Claim Settlement Workflow</w:t>
      </w:r>
    </w:p>
    <w:p>
      <w:r>
        <w:rPr>
          <w:rFonts w:ascii="Arial" w:hAnsi="Arial" w:cs="Arial"/>
          <w:sz w:val="20"/>
        </w:rPr>
        <w:t xml:space="preserve">92. Party Master-Data Management — Duplicate Detection, Merge &amp; Survivorship</w:t>
      </w:r>
    </w:p>
    <w:p>
      <w:r>
        <w:rPr>
          <w:rFonts w:ascii="Arial" w:hAnsi="Arial" w:cs="Arial"/>
          <w:sz w:val="20"/>
        </w:rPr>
        <w:t xml:space="preserve">93. Field PWA — Offline Synchronisation &amp; Device Security</w:t>
      </w:r>
    </w:p>
    <w:p>
      <w:r>
        <w:rPr>
          <w:rFonts w:ascii="Arial" w:hAnsi="Arial" w:cs="Arial"/>
          <w:sz w:val="20"/>
        </w:rPr>
        <w:t xml:space="preserve">94. Domain Event Architecture (extends Section 81)</w:t>
      </w:r>
    </w:p>
    <w:p>
      <w:r>
        <w:rPr>
          <w:rFonts w:ascii="Arial" w:hAnsi="Arial" w:cs="Arial"/>
          <w:sz w:val="20"/>
        </w:rPr>
        <w:t xml:space="preserve">95. Configuration Lifecycle Governance</w:t>
      </w:r>
    </w:p>
    <w:p>
      <w:r>
        <w:rPr>
          <w:rFonts w:ascii="Arial" w:hAnsi="Arial" w:cs="Arial"/>
          <w:sz w:val="20"/>
        </w:rPr>
        <w:t xml:space="preserve">96. Scorecard &amp; Rules — Champion–Challenger, Shadow Deployment &amp; Monitoring</w:t>
      </w:r>
    </w:p>
    <w:p>
      <w:r>
        <w:rPr>
          <w:rFonts w:ascii="Arial" w:hAnsi="Arial" w:cs="Arial"/>
          <w:sz w:val="20"/>
        </w:rPr>
        <w:t xml:space="preserve">97. Data Archival, Retrieval &amp; DPDP Purge Certification</w:t>
      </w:r>
    </w:p>
    <w:p>
      <w:r>
        <w:rPr>
          <w:rFonts w:ascii="Arial" w:hAnsi="Arial" w:cs="Arial"/>
          <w:sz w:val="20"/>
        </w:rPr>
        <w:t xml:space="preserve">98. Borrower-Portal Session Security &amp; Account-Takeover Controls</w:t>
      </w:r>
    </w:p>
    <w:p>
      <w:pPr>
        <w:tabs>
          <w:tab w:pos="9936" w:val="right" w:leader="dot"/>
        </w:tabs>
        <w:spacing w:after="20"/>
      </w:pPr>
      <w:r>
        <w:rPr>
          <w:rFonts w:ascii="Arial" w:hAnsi="Arial" w:cs="Arial"/>
          <w:b w:val="0"/>
          <w:sz w:val="19"/>
        </w:rPr>
        <w:t xml:space="preserve">      87.1 Loan Against Property (LAP) [LAP]</w:t>
      </w:r>
      <w:r>
        <w:rPr>
          <w:rFonts w:ascii="Arial" w:hAnsi="Arial" w:cs="Arial"/>
          <w:b w:val="0"/>
          <w:sz w:val="19"/>
        </w:rPr>
        <w:tab/>
        <w:t>160</w:t>
      </w:r>
    </w:p>
    <w:p>
      <w:pPr>
        <w:tabs>
          <w:tab w:pos="9936" w:val="right" w:leader="dot"/>
        </w:tabs>
        <w:spacing w:after="20"/>
      </w:pPr>
      <w:r>
        <w:rPr>
          <w:rFonts w:ascii="Arial" w:hAnsi="Arial" w:cs="Arial"/>
          <w:b w:val="0"/>
          <w:sz w:val="19"/>
        </w:rPr>
        <w:t xml:space="preserve">      87.2 Gold Loan [GL]</w:t>
      </w:r>
      <w:r>
        <w:rPr>
          <w:rFonts w:ascii="Arial" w:hAnsi="Arial" w:cs="Arial"/>
          <w:b w:val="0"/>
          <w:sz w:val="19"/>
        </w:rPr>
        <w:tab/>
        <w:t>161</w:t>
      </w:r>
    </w:p>
    <w:p>
      <w:pPr>
        <w:tabs>
          <w:tab w:pos="9936" w:val="right" w:leader="dot"/>
        </w:tabs>
        <w:spacing w:after="20"/>
      </w:pPr>
      <w:r>
        <w:rPr>
          <w:rFonts w:ascii="Arial" w:hAnsi="Arial" w:cs="Arial"/>
          <w:b w:val="0"/>
          <w:sz w:val="19"/>
        </w:rPr>
        <w:t xml:space="preserve">      87.3 Vehicle / Two-Wheeler Loan [VL / TW]</w:t>
      </w:r>
      <w:r>
        <w:rPr>
          <w:rFonts w:ascii="Arial" w:hAnsi="Arial" w:cs="Arial"/>
          <w:b w:val="0"/>
          <w:sz w:val="19"/>
        </w:rPr>
        <w:tab/>
        <w:t>162</w:t>
      </w:r>
    </w:p>
    <w:p>
      <w:pPr>
        <w:tabs>
          <w:tab w:pos="9936" w:val="right" w:leader="dot"/>
        </w:tabs>
        <w:spacing w:after="20"/>
      </w:pPr>
      <w:r>
        <w:rPr>
          <w:rFonts w:ascii="Arial" w:hAnsi="Arial" w:cs="Arial"/>
          <w:b w:val="0"/>
          <w:sz w:val="19"/>
        </w:rPr>
        <w:t xml:space="preserve">      87.4 Commercial Vehicle &amp; Construction Equipment (CV/CE) [CVCE]</w:t>
      </w:r>
      <w:r>
        <w:rPr>
          <w:rFonts w:ascii="Arial" w:hAnsi="Arial" w:cs="Arial"/>
          <w:b w:val="0"/>
          <w:sz w:val="19"/>
        </w:rPr>
        <w:tab/>
        <w:t>163</w:t>
      </w:r>
    </w:p>
    <w:p>
      <w:pPr>
        <w:tabs>
          <w:tab w:pos="9936" w:val="right" w:leader="dot"/>
        </w:tabs>
        <w:spacing w:after="20"/>
      </w:pPr>
      <w:r>
        <w:rPr>
          <w:rFonts w:ascii="Arial" w:hAnsi="Arial" w:cs="Arial"/>
          <w:b w:val="0"/>
          <w:sz w:val="19"/>
        </w:rPr>
        <w:t xml:space="preserve">      87.5 Tractor &amp; Farm Equipment Loan [TRACTOR]</w:t>
      </w:r>
      <w:r>
        <w:rPr>
          <w:rFonts w:ascii="Arial" w:hAnsi="Arial" w:cs="Arial"/>
          <w:b w:val="0"/>
          <w:sz w:val="19"/>
        </w:rPr>
        <w:tab/>
        <w:t>163</w:t>
      </w:r>
    </w:p>
    <w:p>
      <w:pPr>
        <w:tabs>
          <w:tab w:pos="9936" w:val="right" w:leader="dot"/>
        </w:tabs>
        <w:spacing w:after="20"/>
      </w:pPr>
      <w:r>
        <w:rPr>
          <w:rFonts w:ascii="Arial" w:hAnsi="Arial" w:cs="Arial"/>
          <w:b w:val="0"/>
          <w:sz w:val="19"/>
        </w:rPr>
        <w:t xml:space="preserve">      87.6 Electric Vehicle (EV) Financing [EV]</w:t>
      </w:r>
      <w:r>
        <w:rPr>
          <w:rFonts w:ascii="Arial" w:hAnsi="Arial" w:cs="Arial"/>
          <w:b w:val="0"/>
          <w:sz w:val="19"/>
        </w:rPr>
        <w:tab/>
        <w:t>164</w:t>
      </w:r>
    </w:p>
    <w:p>
      <w:pPr>
        <w:tabs>
          <w:tab w:pos="9936" w:val="right" w:leader="dot"/>
        </w:tabs>
        <w:spacing w:after="20"/>
      </w:pPr>
      <w:r>
        <w:rPr>
          <w:rFonts w:ascii="Arial" w:hAnsi="Arial" w:cs="Arial"/>
          <w:b w:val="0"/>
          <w:sz w:val="19"/>
        </w:rPr>
        <w:t xml:space="preserve">      87.7 Affordable Housing Loan [AHL]</w:t>
      </w:r>
      <w:r>
        <w:rPr>
          <w:rFonts w:ascii="Arial" w:hAnsi="Arial" w:cs="Arial"/>
          <w:b w:val="0"/>
          <w:sz w:val="19"/>
        </w:rPr>
        <w:tab/>
        <w:t>165</w:t>
      </w:r>
    </w:p>
    <w:p>
      <w:pPr>
        <w:tabs>
          <w:tab w:pos="9936" w:val="right" w:leader="dot"/>
        </w:tabs>
        <w:spacing w:after="20"/>
      </w:pPr>
      <w:r>
        <w:rPr>
          <w:rFonts w:ascii="Arial" w:hAnsi="Arial" w:cs="Arial"/>
          <w:b w:val="0"/>
          <w:sz w:val="19"/>
        </w:rPr>
        <w:t xml:space="preserve">      87.8 Reverse Mortgage Loan [RML]</w:t>
      </w:r>
      <w:r>
        <w:rPr>
          <w:rFonts w:ascii="Arial" w:hAnsi="Arial" w:cs="Arial"/>
          <w:b w:val="0"/>
          <w:sz w:val="19"/>
        </w:rPr>
        <w:tab/>
        <w:t>165</w:t>
      </w:r>
    </w:p>
    <w:p>
      <w:pPr>
        <w:tabs>
          <w:tab w:pos="9936" w:val="right" w:leader="dot"/>
        </w:tabs>
        <w:spacing w:after="20"/>
      </w:pPr>
      <w:r>
        <w:rPr>
          <w:rFonts w:ascii="Arial" w:hAnsi="Arial" w:cs="Arial"/>
          <w:b w:val="0"/>
          <w:sz w:val="19"/>
        </w:rPr>
        <w:t xml:space="preserve">      87.9 Lease Rental Discounting (LRD) [LRD]</w:t>
      </w:r>
      <w:r>
        <w:rPr>
          <w:rFonts w:ascii="Arial" w:hAnsi="Arial" w:cs="Arial"/>
          <w:b w:val="0"/>
          <w:sz w:val="19"/>
        </w:rPr>
        <w:tab/>
        <w:t>166</w:t>
      </w:r>
    </w:p>
    <w:p>
      <w:pPr>
        <w:tabs>
          <w:tab w:pos="9936" w:val="right" w:leader="dot"/>
        </w:tabs>
        <w:spacing w:after="20"/>
      </w:pPr>
      <w:r>
        <w:rPr>
          <w:rFonts w:ascii="Arial" w:hAnsi="Arial" w:cs="Arial"/>
          <w:b w:val="0"/>
          <w:sz w:val="19"/>
        </w:rPr>
        <w:t xml:space="preserve">      87.10 Loan Against FD / Insurance Policy / Mutual Funds [LAFD]</w:t>
      </w:r>
      <w:r>
        <w:rPr>
          <w:rFonts w:ascii="Arial" w:hAnsi="Arial" w:cs="Arial"/>
          <w:b w:val="0"/>
          <w:sz w:val="19"/>
        </w:rPr>
        <w:tab/>
        <w:t>167</w:t>
      </w:r>
    </w:p>
    <w:p>
      <w:pPr>
        <w:tabs>
          <w:tab w:pos="9936" w:val="right" w:leader="dot"/>
        </w:tabs>
        <w:spacing w:after="20"/>
      </w:pPr>
      <w:r>
        <w:rPr>
          <w:rFonts w:ascii="Arial" w:hAnsi="Arial" w:cs="Arial"/>
          <w:b w:val="0"/>
          <w:sz w:val="19"/>
        </w:rPr>
        <w:t xml:space="preserve">      87.11 Unsecured Personal / Business Loan [PL / BL-UNSEC]</w:t>
      </w:r>
      <w:r>
        <w:rPr>
          <w:rFonts w:ascii="Arial" w:hAnsi="Arial" w:cs="Arial"/>
          <w:b w:val="0"/>
          <w:sz w:val="19"/>
        </w:rPr>
        <w:tab/>
        <w:t>168</w:t>
      </w:r>
    </w:p>
    <w:p>
      <w:pPr>
        <w:tabs>
          <w:tab w:pos="9936" w:val="right" w:leader="dot"/>
        </w:tabs>
        <w:spacing w:after="20"/>
      </w:pPr>
      <w:r>
        <w:rPr>
          <w:rFonts w:ascii="Arial" w:hAnsi="Arial" w:cs="Arial"/>
          <w:b w:val="0"/>
          <w:sz w:val="19"/>
        </w:rPr>
        <w:t xml:space="preserve">      87.12 Smart Credit Line (SCL) [SCL]</w:t>
      </w:r>
      <w:r>
        <w:rPr>
          <w:rFonts w:ascii="Arial" w:hAnsi="Arial" w:cs="Arial"/>
          <w:b w:val="0"/>
          <w:sz w:val="19"/>
        </w:rPr>
        <w:tab/>
        <w:t>168</w:t>
      </w:r>
    </w:p>
    <w:p>
      <w:pPr>
        <w:tabs>
          <w:tab w:pos="9936" w:val="right" w:leader="dot"/>
        </w:tabs>
        <w:spacing w:after="20"/>
      </w:pPr>
      <w:r>
        <w:rPr>
          <w:rFonts w:ascii="Arial" w:hAnsi="Arial" w:cs="Arial"/>
          <w:b w:val="0"/>
          <w:sz w:val="19"/>
        </w:rPr>
        <w:t xml:space="preserve">      87.13 Buy Now Pay Later (BNPL) — Consumer &amp; B2B [BNPL]</w:t>
      </w:r>
      <w:r>
        <w:rPr>
          <w:rFonts w:ascii="Arial" w:hAnsi="Arial" w:cs="Arial"/>
          <w:b w:val="0"/>
          <w:sz w:val="19"/>
        </w:rPr>
        <w:tab/>
        <w:t>169</w:t>
      </w:r>
    </w:p>
    <w:p>
      <w:pPr>
        <w:tabs>
          <w:tab w:pos="9936" w:val="right" w:leader="dot"/>
        </w:tabs>
        <w:spacing w:after="20"/>
      </w:pPr>
      <w:r>
        <w:rPr>
          <w:rFonts w:ascii="Arial" w:hAnsi="Arial" w:cs="Arial"/>
          <w:b w:val="0"/>
          <w:sz w:val="19"/>
        </w:rPr>
        <w:t xml:space="preserve">      87.14 Consumer Durable / Point-of-Sale (POS) Loan [CDPOS]</w:t>
      </w:r>
      <w:r>
        <w:rPr>
          <w:rFonts w:ascii="Arial" w:hAnsi="Arial" w:cs="Arial"/>
          <w:b w:val="0"/>
          <w:sz w:val="19"/>
        </w:rPr>
        <w:tab/>
        <w:t>170</w:t>
      </w:r>
    </w:p>
    <w:p>
      <w:pPr>
        <w:tabs>
          <w:tab w:pos="9936" w:val="right" w:leader="dot"/>
        </w:tabs>
        <w:spacing w:after="20"/>
      </w:pPr>
      <w:r>
        <w:rPr>
          <w:rFonts w:ascii="Arial" w:hAnsi="Arial" w:cs="Arial"/>
          <w:b w:val="0"/>
          <w:sz w:val="19"/>
        </w:rPr>
        <w:t xml:space="preserve">      87.15 GST-Invoice-Based Unsecured Business Loan [GSTBL]</w:t>
      </w:r>
      <w:r>
        <w:rPr>
          <w:rFonts w:ascii="Arial" w:hAnsi="Arial" w:cs="Arial"/>
          <w:b w:val="0"/>
          <w:sz w:val="19"/>
        </w:rPr>
        <w:tab/>
        <w:t>171</w:t>
      </w:r>
    </w:p>
    <w:p>
      <w:pPr>
        <w:tabs>
          <w:tab w:pos="9936" w:val="right" w:leader="dot"/>
        </w:tabs>
        <w:spacing w:after="20"/>
      </w:pPr>
      <w:r>
        <w:rPr>
          <w:rFonts w:ascii="Arial" w:hAnsi="Arial" w:cs="Arial"/>
          <w:b w:val="0"/>
          <w:sz w:val="19"/>
        </w:rPr>
        <w:t xml:space="preserve">      87.16 Gig-Worker / Platform-Income Loan [GIGL]</w:t>
      </w:r>
      <w:r>
        <w:rPr>
          <w:rFonts w:ascii="Arial" w:hAnsi="Arial" w:cs="Arial"/>
          <w:b w:val="0"/>
          <w:sz w:val="19"/>
        </w:rPr>
        <w:tab/>
        <w:t>171</w:t>
      </w:r>
    </w:p>
    <w:p>
      <w:pPr>
        <w:tabs>
          <w:tab w:pos="9936" w:val="right" w:leader="dot"/>
        </w:tabs>
        <w:spacing w:after="20"/>
      </w:pPr>
      <w:r>
        <w:rPr>
          <w:rFonts w:ascii="Arial" w:hAnsi="Arial" w:cs="Arial"/>
          <w:b w:val="0"/>
          <w:sz w:val="19"/>
        </w:rPr>
        <w:t xml:space="preserve">      87.17 Working Capital Demand Loan / Cash Credit / Overdraft (WCDL/CC/OD) [WCDL_CC]</w:t>
      </w:r>
      <w:r>
        <w:rPr>
          <w:rFonts w:ascii="Arial" w:hAnsi="Arial" w:cs="Arial"/>
          <w:b w:val="0"/>
          <w:sz w:val="19"/>
        </w:rPr>
        <w:tab/>
        <w:t>172</w:t>
      </w:r>
    </w:p>
    <w:p>
      <w:pPr>
        <w:tabs>
          <w:tab w:pos="9936" w:val="right" w:leader="dot"/>
        </w:tabs>
        <w:spacing w:after="20"/>
      </w:pPr>
      <w:r>
        <w:rPr>
          <w:rFonts w:ascii="Arial" w:hAnsi="Arial" w:cs="Arial"/>
          <w:b w:val="0"/>
          <w:sz w:val="19"/>
        </w:rPr>
        <w:t xml:space="preserve">      87.18 Supply Chain Finance / Invoice Discounting [SCF / ID]</w:t>
      </w:r>
      <w:r>
        <w:rPr>
          <w:rFonts w:ascii="Arial" w:hAnsi="Arial" w:cs="Arial"/>
          <w:b w:val="0"/>
          <w:sz w:val="19"/>
        </w:rPr>
        <w:tab/>
        <w:t>173</w:t>
      </w:r>
    </w:p>
    <w:p>
      <w:pPr>
        <w:tabs>
          <w:tab w:pos="9936" w:val="right" w:leader="dot"/>
        </w:tabs>
        <w:spacing w:after="20"/>
      </w:pPr>
      <w:r>
        <w:rPr>
          <w:rFonts w:ascii="Arial" w:hAnsi="Arial" w:cs="Arial"/>
          <w:b w:val="0"/>
          <w:sz w:val="19"/>
        </w:rPr>
        <w:t xml:space="preserve">      87.19 Factoring (Recourse &amp; Non-Recourse) — NBFC-Factor [FACT]</w:t>
      </w:r>
      <w:r>
        <w:rPr>
          <w:rFonts w:ascii="Arial" w:hAnsi="Arial" w:cs="Arial"/>
          <w:b w:val="0"/>
          <w:sz w:val="19"/>
        </w:rPr>
        <w:tab/>
        <w:t>173</w:t>
      </w:r>
    </w:p>
    <w:p>
      <w:pPr>
        <w:tabs>
          <w:tab w:pos="9936" w:val="right" w:leader="dot"/>
        </w:tabs>
        <w:spacing w:after="20"/>
      </w:pPr>
      <w:r>
        <w:rPr>
          <w:rFonts w:ascii="Arial" w:hAnsi="Arial" w:cs="Arial"/>
          <w:b w:val="0"/>
          <w:sz w:val="19"/>
        </w:rPr>
        <w:t xml:space="preserve">      87.20 TReDS-Based Invoice Financing [TREDS]</w:t>
      </w:r>
      <w:r>
        <w:rPr>
          <w:rFonts w:ascii="Arial" w:hAnsi="Arial" w:cs="Arial"/>
          <w:b w:val="0"/>
          <w:sz w:val="19"/>
        </w:rPr>
        <w:tab/>
        <w:t>174</w:t>
      </w:r>
    </w:p>
    <w:p>
      <w:pPr>
        <w:tabs>
          <w:tab w:pos="9936" w:val="right" w:leader="dot"/>
        </w:tabs>
        <w:spacing w:after="20"/>
      </w:pPr>
      <w:r>
        <w:rPr>
          <w:rFonts w:ascii="Arial" w:hAnsi="Arial" w:cs="Arial"/>
          <w:b w:val="0"/>
          <w:sz w:val="19"/>
        </w:rPr>
        <w:t xml:space="preserve">      87.21 Bill / Cheque Discounting [BILLDISC]</w:t>
      </w:r>
      <w:r>
        <w:rPr>
          <w:rFonts w:ascii="Arial" w:hAnsi="Arial" w:cs="Arial"/>
          <w:b w:val="0"/>
          <w:sz w:val="19"/>
        </w:rPr>
        <w:tab/>
        <w:t>175</w:t>
      </w:r>
    </w:p>
    <w:p>
      <w:pPr>
        <w:tabs>
          <w:tab w:pos="9936" w:val="right" w:leader="dot"/>
        </w:tabs>
        <w:spacing w:after="20"/>
      </w:pPr>
      <w:r>
        <w:rPr>
          <w:rFonts w:ascii="Arial" w:hAnsi="Arial" w:cs="Arial"/>
          <w:b w:val="0"/>
          <w:sz w:val="19"/>
        </w:rPr>
        <w:t xml:space="preserve">      87.22 Warehouse Receipt / Commodity Financing [WHR]</w:t>
      </w:r>
      <w:r>
        <w:rPr>
          <w:rFonts w:ascii="Arial" w:hAnsi="Arial" w:cs="Arial"/>
          <w:b w:val="0"/>
          <w:sz w:val="19"/>
        </w:rPr>
        <w:tab/>
        <w:t>176</w:t>
      </w:r>
    </w:p>
    <w:p>
      <w:pPr>
        <w:tabs>
          <w:tab w:pos="9936" w:val="right" w:leader="dot"/>
        </w:tabs>
        <w:spacing w:after="20"/>
      </w:pPr>
      <w:r>
        <w:rPr>
          <w:rFonts w:ascii="Arial" w:hAnsi="Arial" w:cs="Arial"/>
          <w:b w:val="0"/>
          <w:sz w:val="19"/>
        </w:rPr>
        <w:t xml:space="preserve">      87.23 Equipment / Machinery Finance &amp; Leasing [EQUIP]</w:t>
      </w:r>
      <w:r>
        <w:rPr>
          <w:rFonts w:ascii="Arial" w:hAnsi="Arial" w:cs="Arial"/>
          <w:b w:val="0"/>
          <w:sz w:val="19"/>
        </w:rPr>
        <w:tab/>
        <w:t>176</w:t>
      </w:r>
    </w:p>
    <w:p>
      <w:pPr>
        <w:tabs>
          <w:tab w:pos="9936" w:val="right" w:leader="dot"/>
        </w:tabs>
        <w:spacing w:after="20"/>
      </w:pPr>
      <w:r>
        <w:rPr>
          <w:rFonts w:ascii="Arial" w:hAnsi="Arial" w:cs="Arial"/>
          <w:b w:val="0"/>
          <w:sz w:val="19"/>
        </w:rPr>
        <w:t xml:space="preserve">      87.24 Microfinance — JLG / SHG Group Loan [MFI]</w:t>
      </w:r>
      <w:r>
        <w:rPr>
          <w:rFonts w:ascii="Arial" w:hAnsi="Arial" w:cs="Arial"/>
          <w:b w:val="0"/>
          <w:sz w:val="19"/>
        </w:rPr>
        <w:tab/>
        <w:t>177</w:t>
      </w:r>
    </w:p>
    <w:p>
      <w:pPr>
        <w:tabs>
          <w:tab w:pos="9936" w:val="right" w:leader="dot"/>
        </w:tabs>
        <w:spacing w:after="20"/>
      </w:pPr>
      <w:r>
        <w:rPr>
          <w:rFonts w:ascii="Arial" w:hAnsi="Arial" w:cs="Arial"/>
          <w:b w:val="0"/>
          <w:sz w:val="19"/>
        </w:rPr>
        <w:t xml:space="preserve">      87.25 Education Loan (Domestic &amp; Overseas) [EDU]</w:t>
      </w:r>
      <w:r>
        <w:rPr>
          <w:rFonts w:ascii="Arial" w:hAnsi="Arial" w:cs="Arial"/>
          <w:b w:val="0"/>
          <w:sz w:val="19"/>
        </w:rPr>
        <w:tab/>
        <w:t>178</w:t>
      </w:r>
    </w:p>
    <w:p>
      <w:pPr>
        <w:tabs>
          <w:tab w:pos="9936" w:val="right" w:leader="dot"/>
        </w:tabs>
        <w:spacing w:after="20"/>
      </w:pPr>
      <w:r>
        <w:rPr>
          <w:rFonts w:ascii="Arial" w:hAnsi="Arial" w:cs="Arial"/>
          <w:b w:val="0"/>
          <w:sz w:val="19"/>
        </w:rPr>
        <w:t xml:space="preserve">      87.26 Insurance Premium Financing [IPF]</w:t>
      </w:r>
      <w:r>
        <w:rPr>
          <w:rFonts w:ascii="Arial" w:hAnsi="Arial" w:cs="Arial"/>
          <w:b w:val="0"/>
          <w:sz w:val="19"/>
        </w:rPr>
        <w:tab/>
        <w:t>179</w:t>
      </w:r>
    </w:p>
    <w:p>
      <w:pPr>
        <w:tabs>
          <w:tab w:pos="9936" w:val="right" w:leader="dot"/>
        </w:tabs>
        <w:spacing w:after="20"/>
      </w:pPr>
      <w:r>
        <w:rPr>
          <w:rFonts w:ascii="Arial" w:hAnsi="Arial" w:cs="Arial"/>
          <w:b w:val="0"/>
          <w:sz w:val="19"/>
        </w:rPr>
        <w:t xml:space="preserve">      87.27 Merchant Cash Advance / Revenue-Based Financing (MCA/RBF) [MCA_RBF]</w:t>
      </w:r>
      <w:r>
        <w:rPr>
          <w:rFonts w:ascii="Arial" w:hAnsi="Arial" w:cs="Arial"/>
          <w:b w:val="0"/>
          <w:sz w:val="19"/>
        </w:rPr>
        <w:tab/>
        <w:t>179</w:t>
      </w:r>
    </w:p>
    <w:p>
      <w:pPr>
        <w:tabs>
          <w:tab w:pos="9936" w:val="right" w:leader="dot"/>
        </w:tabs>
        <w:spacing w:after="20"/>
      </w:pPr>
      <w:r>
        <w:rPr>
          <w:rFonts w:ascii="Arial" w:hAnsi="Arial" w:cs="Arial"/>
          <w:b w:val="0"/>
          <w:sz w:val="19"/>
        </w:rPr>
        <w:t xml:space="preserve">      87.28 Franchise Financing [FRAN]</w:t>
      </w:r>
      <w:r>
        <w:rPr>
          <w:rFonts w:ascii="Arial" w:hAnsi="Arial" w:cs="Arial"/>
          <w:b w:val="0"/>
          <w:sz w:val="19"/>
        </w:rPr>
        <w:tab/>
        <w:t>180</w:t>
      </w:r>
    </w:p>
    <w:p>
      <w:pPr>
        <w:tabs>
          <w:tab w:pos="9936" w:val="right" w:leader="dot"/>
        </w:tabs>
        <w:spacing w:after="20"/>
      </w:pPr>
      <w:r>
        <w:rPr>
          <w:rFonts w:ascii="Arial" w:hAnsi="Arial" w:cs="Arial"/>
          <w:b w:val="0"/>
          <w:sz w:val="19"/>
        </w:rPr>
        <w:t xml:space="preserve">      87.29 Startup Venture Debt [VDEBT]</w:t>
      </w:r>
      <w:r>
        <w:rPr>
          <w:rFonts w:ascii="Arial" w:hAnsi="Arial" w:cs="Arial"/>
          <w:b w:val="0"/>
          <w:sz w:val="19"/>
        </w:rPr>
        <w:tab/>
        <w:t>181</w:t>
      </w:r>
    </w:p>
    <w:p>
      <w:pPr>
        <w:tabs>
          <w:tab w:pos="9936" w:val="right" w:leader="dot"/>
        </w:tabs>
        <w:spacing w:after="20"/>
      </w:pPr>
      <w:r>
        <w:rPr>
          <w:rFonts w:ascii="Arial" w:hAnsi="Arial" w:cs="Arial"/>
          <w:b w:val="0"/>
          <w:sz w:val="19"/>
        </w:rPr>
        <w:t xml:space="preserve">      87.30 Renewable Energy / Solar Loan [SOLAR]</w:t>
      </w:r>
      <w:r>
        <w:rPr>
          <w:rFonts w:ascii="Arial" w:hAnsi="Arial" w:cs="Arial"/>
          <w:b w:val="0"/>
          <w:sz w:val="19"/>
        </w:rPr>
        <w:tab/>
        <w:t>181</w:t>
      </w:r>
    </w:p>
    <w:p>
      <w:pPr>
        <w:pStyle w:val="Heading1"/>
        <w:pageBreakBefore/>
      </w:pPr>
      <w:r>
        <w:t>Executive Summary</w:t>
      </w:r>
    </w:p>
    <w:p>
      <w:r>
        <w:rPr>
          <w:rFonts w:ascii="Arial" w:hAnsi="Arial" w:cs="Arial"/>
          <w:b w:val="0"/>
          <w:i w:val="0"/>
          <w:sz w:val="22"/>
        </w:rPr>
        <w:t>This document specifies a multi-tenant, cloud-hosted Loan Management System for an NBFC’s end-to-end lending and accounting operations: borrower onboarding, a catalogue of 33 loan products, origination and underwriting, servicing, collections and recovery, an embedded double-entry general ledger, and full RBI regulatory and Credit Information Company reporting — all through a browser, with a field app for on-ground staff.</w:t>
      </w:r>
    </w:p>
    <w:p>
      <w:r>
        <w:rPr>
          <w:rFonts w:ascii="Arial" w:hAnsi="Arial" w:cs="Arial"/>
          <w:b w:val="0"/>
          <w:i w:val="0"/>
          <w:sz w:val="22"/>
        </w:rPr>
        <w:t>The design is deliberately configuration-driven: new products, form fields, workflows, rates, accounting rules and regulatory returns are set up as data rather than code, so the business can evolve without a release. It is technology-agnostic at the functional level, with a recommended reference architecture (Section 27) the IT team can adopt or substitute.</w:t>
      </w:r>
    </w:p>
    <w:p>
      <w:r>
        <w:rPr>
          <w:rFonts w:ascii="Arial" w:hAnsi="Arial" w:cs="Arial"/>
          <w:b w:val="0"/>
          <w:i w:val="0"/>
          <w:sz w:val="22"/>
        </w:rPr>
        <w:t>Beyond the functional core, the specification provides the depth a build team and a regulator expect: a comprehensive calculation engine with worked, numerically-verified examples (Section 45); Ind AS 109 ECL and IRAC provisioning (Sections 30, 70); prudential ratios including CRAR and leverage (Section 69); security and cyber-resilience mapped to the RBI IT framework (Section 34); data privacy under the DPDP Act (Section 35); and a full traceability and regulatory-obligations trail (Sections 48–49).</w:t>
      </w:r>
    </w:p>
    <w:p>
      <w:r>
        <w:rPr>
          <w:rFonts w:ascii="Arial" w:hAnsi="Arial" w:cs="Arial"/>
          <w:b w:val="0"/>
          <w:i w:val="0"/>
          <w:sz w:val="22"/>
        </w:rPr>
        <w:t>It is also delivery-ready: business case, build-vs-buy, target operating model, roadmap, RAID, go-live readiness, and a developer-oriented product build pack (Section 72) with a companion field-catalog. Regulatory thresholds and formats cited are per the extant RBI Master Directions and statutes and must be re-validated by Compliance before go-live (Section 62).</w:t>
      </w:r>
    </w:p>
    <w:p>
      <w:pPr>
        <w:pStyle w:val="Heading1"/>
      </w:pPr>
      <w:r>
        <w:t>How to Read This Document (Single-Source-of-Truth Map)</w:t>
      </w:r>
    </w:p>
    <w:p>
      <w:r>
        <w:rPr>
          <w:rFonts w:ascii="Arial" w:hAnsi="Arial" w:cs="Arial"/>
          <w:b w:val="0"/>
          <w:i w:val="0"/>
          <w:sz w:val="22"/>
        </w:rPr>
        <w:t>The specification is layered — foundational sections state a topic, and later sections deepen it. Where a topic appears in more than one place, the authoritative section is listed below; other mentions cross-reference it.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400"/>
        <w:gridCol w:w="4360"/>
      </w:tblGrid>
      <w:tr>
        <w:tc>
          <w:tcPr>
            <w:tcW w:w="2600" w:type="dxa"/>
            <w:shd w:val="clear" w:color="auto" w:fill="1F4E78"/>
          </w:tcPr>
          <w:p>
            <w:pPr>
              <w:spacing w:after="0" w:before="0"/>
            </w:pPr>
            <w:r/>
            <w:r>
              <w:rPr>
                <w:rFonts w:ascii="Arial" w:hAnsi="Arial" w:cs="Arial"/>
                <w:b/>
                <w:color w:val="FFFFFF"/>
                <w:sz w:val="17"/>
              </w:rPr>
              <w:t>Topic</w:t>
            </w:r>
          </w:p>
        </w:tc>
        <w:tc>
          <w:tcPr>
            <w:tcW w:w="2400" w:type="dxa"/>
            <w:shd w:val="clear" w:color="auto" w:fill="1F4E78"/>
          </w:tcPr>
          <w:p>
            <w:pPr>
              <w:spacing w:after="0" w:before="0"/>
            </w:pPr>
            <w:r/>
            <w:r>
              <w:rPr>
                <w:rFonts w:ascii="Arial" w:hAnsi="Arial" w:cs="Arial"/>
                <w:b/>
                <w:color w:val="FFFFFF"/>
                <w:sz w:val="17"/>
              </w:rPr>
              <w:t>Authoritative section</w:t>
            </w:r>
          </w:p>
        </w:tc>
        <w:tc>
          <w:tcPr>
            <w:tcW w:w="4360" w:type="dxa"/>
            <w:shd w:val="clear" w:color="auto" w:fill="1F4E78"/>
          </w:tcPr>
          <w:p>
            <w:pPr>
              <w:spacing w:after="0" w:before="0"/>
            </w:pPr>
            <w:r/>
            <w:r>
              <w:rPr>
                <w:rFonts w:ascii="Arial" w:hAnsi="Arial" w:cs="Arial"/>
                <w:b/>
                <w:color w:val="FFFFFF"/>
                <w:sz w:val="17"/>
              </w:rPr>
              <w:t>Also referenced in</w:t>
            </w:r>
          </w:p>
        </w:tc>
      </w:tr>
      <w:tr>
        <w:tc>
          <w:tcPr>
            <w:tcW w:w="2600" w:type="dxa"/>
          </w:tcPr>
          <w:p>
            <w:pPr>
              <w:spacing w:after="0" w:before="0"/>
            </w:pPr>
            <w:r/>
            <w:r>
              <w:rPr>
                <w:rFonts w:ascii="Arial" w:hAnsi="Arial" w:cs="Arial"/>
                <w:b w:val="0"/>
                <w:sz w:val="17"/>
              </w:rPr>
              <w:t>Loan products &amp; forms</w:t>
            </w:r>
          </w:p>
        </w:tc>
        <w:tc>
          <w:tcPr>
            <w:tcW w:w="2400" w:type="dxa"/>
          </w:tcPr>
          <w:p>
            <w:pPr>
              <w:spacing w:after="0" w:before="0"/>
            </w:pPr>
            <w:r/>
            <w:r>
              <w:rPr>
                <w:rFonts w:ascii="Arial" w:hAnsi="Arial" w:cs="Arial"/>
                <w:b w:val="0"/>
                <w:sz w:val="17"/>
              </w:rPr>
              <w:t>Section 3</w:t>
            </w:r>
          </w:p>
        </w:tc>
        <w:tc>
          <w:tcPr>
            <w:tcW w:w="4360" w:type="dxa"/>
          </w:tcPr>
          <w:p>
            <w:pPr>
              <w:spacing w:after="0" w:before="0"/>
            </w:pPr>
            <w:r/>
            <w:r>
              <w:rPr>
                <w:rFonts w:ascii="Arial" w:hAnsi="Arial" w:cs="Arial"/>
                <w:b w:val="0"/>
                <w:sz w:val="17"/>
              </w:rPr>
              <w:t>Sections 43, 72; Field-Catalog spreadsheet</w:t>
            </w:r>
          </w:p>
        </w:tc>
      </w:tr>
      <w:tr>
        <w:tc>
          <w:tcPr>
            <w:tcW w:w="2600" w:type="dxa"/>
          </w:tcPr>
          <w:p>
            <w:pPr>
              <w:spacing w:after="0" w:before="0"/>
            </w:pPr>
            <w:r/>
            <w:r>
              <w:rPr>
                <w:rFonts w:ascii="Arial" w:hAnsi="Arial" w:cs="Arial"/>
                <w:b w:val="0"/>
                <w:sz w:val="17"/>
              </w:rPr>
              <w:t>Calculations (interest/charges/penalty)</w:t>
            </w:r>
          </w:p>
        </w:tc>
        <w:tc>
          <w:tcPr>
            <w:tcW w:w="2400" w:type="dxa"/>
          </w:tcPr>
          <w:p>
            <w:pPr>
              <w:spacing w:after="0" w:before="0"/>
            </w:pPr>
            <w:r/>
            <w:r>
              <w:rPr>
                <w:rFonts w:ascii="Arial" w:hAnsi="Arial" w:cs="Arial"/>
                <w:b w:val="0"/>
                <w:sz w:val="17"/>
              </w:rPr>
              <w:t>Section 45</w:t>
            </w:r>
          </w:p>
        </w:tc>
        <w:tc>
          <w:tcPr>
            <w:tcW w:w="4360" w:type="dxa"/>
          </w:tcPr>
          <w:p>
            <w:pPr>
              <w:spacing w:after="0" w:before="0"/>
            </w:pPr>
            <w:r/>
            <w:r>
              <w:rPr>
                <w:rFonts w:ascii="Arial" w:hAnsi="Arial" w:cs="Arial"/>
                <w:b w:val="0"/>
                <w:sz w:val="17"/>
              </w:rPr>
              <w:t>Sections 24, 32</w:t>
            </w:r>
          </w:p>
        </w:tc>
      </w:tr>
      <w:tr>
        <w:tc>
          <w:tcPr>
            <w:tcW w:w="2600" w:type="dxa"/>
          </w:tcPr>
          <w:p>
            <w:pPr>
              <w:spacing w:after="0" w:before="0"/>
            </w:pPr>
            <w:r/>
            <w:r>
              <w:rPr>
                <w:rFonts w:ascii="Arial" w:hAnsi="Arial" w:cs="Arial"/>
                <w:b w:val="0"/>
                <w:sz w:val="17"/>
              </w:rPr>
              <w:t>Accounting &amp; GL</w:t>
            </w:r>
          </w:p>
        </w:tc>
        <w:tc>
          <w:tcPr>
            <w:tcW w:w="2400" w:type="dxa"/>
          </w:tcPr>
          <w:p>
            <w:pPr>
              <w:spacing w:after="0" w:before="0"/>
            </w:pPr>
            <w:r/>
            <w:r>
              <w:rPr>
                <w:rFonts w:ascii="Arial" w:hAnsi="Arial" w:cs="Arial"/>
                <w:b w:val="0"/>
                <w:sz w:val="17"/>
              </w:rPr>
              <w:t>Section 8</w:t>
            </w:r>
          </w:p>
        </w:tc>
        <w:tc>
          <w:tcPr>
            <w:tcW w:w="4360" w:type="dxa"/>
          </w:tcPr>
          <w:p>
            <w:pPr>
              <w:spacing w:after="0" w:before="0"/>
            </w:pPr>
            <w:r/>
            <w:r>
              <w:rPr>
                <w:rFonts w:ascii="Arial" w:hAnsi="Arial" w:cs="Arial"/>
                <w:b w:val="0"/>
                <w:sz w:val="17"/>
              </w:rPr>
              <w:t>Sections 33, 70</w:t>
            </w:r>
          </w:p>
        </w:tc>
      </w:tr>
      <w:tr>
        <w:tc>
          <w:tcPr>
            <w:tcW w:w="2600" w:type="dxa"/>
          </w:tcPr>
          <w:p>
            <w:pPr>
              <w:spacing w:after="0" w:before="0"/>
            </w:pPr>
            <w:r/>
            <w:r>
              <w:rPr>
                <w:rFonts w:ascii="Arial" w:hAnsi="Arial" w:cs="Arial"/>
                <w:b w:val="0"/>
                <w:sz w:val="17"/>
              </w:rPr>
              <w:t>Provisioning / ECL</w:t>
            </w:r>
          </w:p>
        </w:tc>
        <w:tc>
          <w:tcPr>
            <w:tcW w:w="2400" w:type="dxa"/>
          </w:tcPr>
          <w:p>
            <w:pPr>
              <w:spacing w:after="0" w:before="0"/>
            </w:pPr>
            <w:r/>
            <w:r>
              <w:rPr>
                <w:rFonts w:ascii="Arial" w:hAnsi="Arial" w:cs="Arial"/>
                <w:b w:val="0"/>
                <w:sz w:val="17"/>
              </w:rPr>
              <w:t>Section 30</w:t>
            </w:r>
          </w:p>
        </w:tc>
        <w:tc>
          <w:tcPr>
            <w:tcW w:w="4360" w:type="dxa"/>
          </w:tcPr>
          <w:p>
            <w:pPr>
              <w:spacing w:after="0" w:before="0"/>
            </w:pPr>
            <w:r/>
            <w:r>
              <w:rPr>
                <w:rFonts w:ascii="Arial" w:hAnsi="Arial" w:cs="Arial"/>
                <w:b w:val="0"/>
                <w:sz w:val="17"/>
              </w:rPr>
              <w:t>Sections 8.2, 9.4, 24.12</w:t>
            </w:r>
          </w:p>
        </w:tc>
      </w:tr>
      <w:tr>
        <w:tc>
          <w:tcPr>
            <w:tcW w:w="2600" w:type="dxa"/>
          </w:tcPr>
          <w:p>
            <w:pPr>
              <w:spacing w:after="0" w:before="0"/>
            </w:pPr>
            <w:r/>
            <w:r>
              <w:rPr>
                <w:rFonts w:ascii="Arial" w:hAnsi="Arial" w:cs="Arial"/>
                <w:b w:val="0"/>
                <w:sz w:val="17"/>
              </w:rPr>
              <w:t>Prudential ratios</w:t>
            </w:r>
          </w:p>
        </w:tc>
        <w:tc>
          <w:tcPr>
            <w:tcW w:w="2400" w:type="dxa"/>
          </w:tcPr>
          <w:p>
            <w:pPr>
              <w:spacing w:after="0" w:before="0"/>
            </w:pPr>
            <w:r/>
            <w:r>
              <w:rPr>
                <w:rFonts w:ascii="Arial" w:hAnsi="Arial" w:cs="Arial"/>
                <w:b w:val="0"/>
                <w:sz w:val="17"/>
              </w:rPr>
              <w:t>Section 69</w:t>
            </w:r>
          </w:p>
        </w:tc>
        <w:tc>
          <w:tcPr>
            <w:tcW w:w="4360" w:type="dxa"/>
          </w:tcPr>
          <w:p>
            <w:pPr>
              <w:spacing w:after="0" w:before="0"/>
            </w:pPr>
            <w:r/>
            <w:r>
              <w:rPr>
                <w:rFonts w:ascii="Arial" w:hAnsi="Arial" w:cs="Arial"/>
                <w:b w:val="0"/>
                <w:sz w:val="17"/>
              </w:rPr>
              <w:t>Section 9</w:t>
            </w:r>
          </w:p>
        </w:tc>
      </w:tr>
      <w:tr>
        <w:tc>
          <w:tcPr>
            <w:tcW w:w="2600" w:type="dxa"/>
          </w:tcPr>
          <w:p>
            <w:pPr>
              <w:spacing w:after="0" w:before="0"/>
            </w:pPr>
            <w:r/>
            <w:r>
              <w:rPr>
                <w:rFonts w:ascii="Arial" w:hAnsi="Arial" w:cs="Arial"/>
                <w:b w:val="0"/>
                <w:sz w:val="17"/>
              </w:rPr>
              <w:t>Non-functional requirements</w:t>
            </w:r>
          </w:p>
        </w:tc>
        <w:tc>
          <w:tcPr>
            <w:tcW w:w="2400" w:type="dxa"/>
          </w:tcPr>
          <w:p>
            <w:pPr>
              <w:spacing w:after="0" w:before="0"/>
            </w:pPr>
            <w:r/>
            <w:r>
              <w:rPr>
                <w:rFonts w:ascii="Arial" w:hAnsi="Arial" w:cs="Arial"/>
                <w:b w:val="0"/>
                <w:sz w:val="17"/>
              </w:rPr>
              <w:t>Section 29</w:t>
            </w:r>
          </w:p>
        </w:tc>
        <w:tc>
          <w:tcPr>
            <w:tcW w:w="4360" w:type="dxa"/>
          </w:tcPr>
          <w:p>
            <w:pPr>
              <w:spacing w:after="0" w:before="0"/>
            </w:pPr>
            <w:r/>
            <w:r>
              <w:rPr>
                <w:rFonts w:ascii="Arial" w:hAnsi="Arial" w:cs="Arial"/>
                <w:b w:val="0"/>
                <w:sz w:val="17"/>
              </w:rPr>
              <w:t>Sections 15, 50</w:t>
            </w:r>
          </w:p>
        </w:tc>
      </w:tr>
      <w:tr>
        <w:tc>
          <w:tcPr>
            <w:tcW w:w="2600" w:type="dxa"/>
          </w:tcPr>
          <w:p>
            <w:pPr>
              <w:spacing w:after="0" w:before="0"/>
            </w:pPr>
            <w:r/>
            <w:r>
              <w:rPr>
                <w:rFonts w:ascii="Arial" w:hAnsi="Arial" w:cs="Arial"/>
                <w:b w:val="0"/>
                <w:sz w:val="17"/>
              </w:rPr>
              <w:t>Security &amp; cyber</w:t>
            </w:r>
          </w:p>
        </w:tc>
        <w:tc>
          <w:tcPr>
            <w:tcW w:w="2400" w:type="dxa"/>
          </w:tcPr>
          <w:p>
            <w:pPr>
              <w:spacing w:after="0" w:before="0"/>
            </w:pPr>
            <w:r/>
            <w:r>
              <w:rPr>
                <w:rFonts w:ascii="Arial" w:hAnsi="Arial" w:cs="Arial"/>
                <w:b w:val="0"/>
                <w:sz w:val="17"/>
              </w:rPr>
              <w:t>Section 34</w:t>
            </w:r>
          </w:p>
        </w:tc>
        <w:tc>
          <w:tcPr>
            <w:tcW w:w="4360" w:type="dxa"/>
          </w:tcPr>
          <w:p>
            <w:pPr>
              <w:spacing w:after="0" w:before="0"/>
            </w:pPr>
            <w:r/>
            <w:r>
              <w:rPr>
                <w:rFonts w:ascii="Arial" w:hAnsi="Arial" w:cs="Arial"/>
                <w:b w:val="0"/>
                <w:sz w:val="17"/>
              </w:rPr>
              <w:t>Sections 14, 50, 65</w:t>
            </w:r>
          </w:p>
        </w:tc>
      </w:tr>
      <w:tr>
        <w:tc>
          <w:tcPr>
            <w:tcW w:w="2600" w:type="dxa"/>
          </w:tcPr>
          <w:p>
            <w:pPr>
              <w:spacing w:after="0" w:before="0"/>
            </w:pPr>
            <w:r/>
            <w:r>
              <w:rPr>
                <w:rFonts w:ascii="Arial" w:hAnsi="Arial" w:cs="Arial"/>
                <w:b w:val="0"/>
                <w:sz w:val="17"/>
              </w:rPr>
              <w:t>Data model</w:t>
            </w:r>
          </w:p>
        </w:tc>
        <w:tc>
          <w:tcPr>
            <w:tcW w:w="2400" w:type="dxa"/>
          </w:tcPr>
          <w:p>
            <w:pPr>
              <w:spacing w:after="0" w:before="0"/>
            </w:pPr>
            <w:r/>
            <w:r>
              <w:rPr>
                <w:rFonts w:ascii="Arial" w:hAnsi="Arial" w:cs="Arial"/>
                <w:b w:val="0"/>
                <w:sz w:val="17"/>
              </w:rPr>
              <w:t>Sections 11 &amp; 39</w:t>
            </w:r>
          </w:p>
        </w:tc>
        <w:tc>
          <w:tcPr>
            <w:tcW w:w="4360" w:type="dxa"/>
          </w:tcPr>
          <w:p>
            <w:pPr>
              <w:spacing w:after="0" w:before="0"/>
            </w:pPr>
            <w:r/>
            <w:r>
              <w:rPr>
                <w:rFonts w:ascii="Arial" w:hAnsi="Arial" w:cs="Arial"/>
                <w:b w:val="0"/>
                <w:sz w:val="17"/>
              </w:rPr>
              <w:t>Section 64</w:t>
            </w:r>
          </w:p>
        </w:tc>
      </w:tr>
      <w:tr>
        <w:tc>
          <w:tcPr>
            <w:tcW w:w="2600" w:type="dxa"/>
          </w:tcPr>
          <w:p>
            <w:pPr>
              <w:spacing w:after="0" w:before="0"/>
            </w:pPr>
            <w:r/>
            <w:r>
              <w:rPr>
                <w:rFonts w:ascii="Arial" w:hAnsi="Arial" w:cs="Arial"/>
                <w:b w:val="0"/>
                <w:sz w:val="17"/>
              </w:rPr>
              <w:t>Consent &amp; privacy</w:t>
            </w:r>
          </w:p>
        </w:tc>
        <w:tc>
          <w:tcPr>
            <w:tcW w:w="2400" w:type="dxa"/>
          </w:tcPr>
          <w:p>
            <w:pPr>
              <w:spacing w:after="0" w:before="0"/>
            </w:pPr>
            <w:r/>
            <w:r>
              <w:rPr>
                <w:rFonts w:ascii="Arial" w:hAnsi="Arial" w:cs="Arial"/>
                <w:b w:val="0"/>
                <w:sz w:val="17"/>
              </w:rPr>
              <w:t>Section 35</w:t>
            </w:r>
          </w:p>
        </w:tc>
        <w:tc>
          <w:tcPr>
            <w:tcW w:w="4360" w:type="dxa"/>
          </w:tcPr>
          <w:p>
            <w:pPr>
              <w:spacing w:after="0" w:before="0"/>
            </w:pPr>
            <w:r/>
            <w:r>
              <w:rPr>
                <w:rFonts w:ascii="Arial" w:hAnsi="Arial" w:cs="Arial"/>
                <w:b w:val="0"/>
                <w:sz w:val="17"/>
              </w:rPr>
              <w:t>Sections 14, 43.1</w:t>
            </w:r>
          </w:p>
        </w:tc>
      </w:tr>
      <w:tr>
        <w:tc>
          <w:tcPr>
            <w:tcW w:w="2600" w:type="dxa"/>
          </w:tcPr>
          <w:p>
            <w:pPr>
              <w:spacing w:after="0" w:before="0"/>
            </w:pPr>
            <w:r/>
            <w:r>
              <w:rPr>
                <w:rFonts w:ascii="Arial" w:hAnsi="Arial" w:cs="Arial"/>
                <w:b w:val="0"/>
                <w:sz w:val="17"/>
              </w:rPr>
              <w:t>API contract</w:t>
            </w:r>
          </w:p>
        </w:tc>
        <w:tc>
          <w:tcPr>
            <w:tcW w:w="2400" w:type="dxa"/>
          </w:tcPr>
          <w:p>
            <w:pPr>
              <w:spacing w:after="0" w:before="0"/>
            </w:pPr>
            <w:r/>
            <w:r>
              <w:rPr>
                <w:rFonts w:ascii="Arial" w:hAnsi="Arial" w:cs="Arial"/>
                <w:b w:val="0"/>
                <w:sz w:val="17"/>
              </w:rPr>
              <w:t>Sections 40 &amp; 63</w:t>
            </w:r>
          </w:p>
        </w:tc>
        <w:tc>
          <w:tcPr>
            <w:tcW w:w="4360" w:type="dxa"/>
          </w:tcPr>
          <w:p>
            <w:pPr>
              <w:spacing w:after="0" w:before="0"/>
            </w:pPr>
            <w:r/>
            <w:r>
              <w:rPr>
                <w:rFonts w:ascii="Arial" w:hAnsi="Arial" w:cs="Arial"/>
                <w:b w:val="0"/>
                <w:sz w:val="17"/>
              </w:rPr>
              <w:t>Sections 22, 26</w:t>
            </w:r>
          </w:p>
        </w:tc>
      </w:tr>
      <w:tr>
        <w:tc>
          <w:tcPr>
            <w:tcW w:w="2600" w:type="dxa"/>
          </w:tcPr>
          <w:p>
            <w:pPr>
              <w:spacing w:after="0" w:before="0"/>
            </w:pPr>
            <w:r>
              <w:t>Payment appropriation, excess &amp; refunds</w:t>
            </w:r>
            <w:r>
              <w:rPr>
                <w:rFonts w:ascii="Arial" w:hAnsi="Arial" w:cs="Arial"/>
                <w:b w:val="0"/>
                <w:sz w:val="17"/>
              </w:rPr>
            </w:r>
          </w:p>
        </w:tc>
        <w:tc>
          <w:tcPr>
            <w:tcW w:w="2400" w:type="dxa"/>
          </w:tcPr>
          <w:p>
            <w:pPr>
              <w:spacing w:after="0" w:before="0"/>
            </w:pPr>
            <w:r>
              <w:t>Section 88</w:t>
            </w:r>
            <w:r>
              <w:rPr>
                <w:rFonts w:ascii="Arial" w:hAnsi="Arial" w:cs="Arial"/>
                <w:b w:val="0"/>
                <w:sz w:val="17"/>
              </w:rPr>
            </w:r>
          </w:p>
        </w:tc>
        <w:tc>
          <w:tcPr>
            <w:tcW w:w="4360" w:type="dxa"/>
          </w:tcPr>
          <w:p>
            <w:pPr>
              <w:spacing w:after="0" w:before="0"/>
            </w:pPr>
            <w:r>
              <w:t>Sections 6, 33, 45</w:t>
            </w:r>
            <w:r>
              <w:rPr>
                <w:rFonts w:ascii="Arial" w:hAnsi="Arial" w:cs="Arial"/>
                <w:b w:val="0"/>
                <w:sz w:val="17"/>
              </w:rPr>
            </w:r>
          </w:p>
        </w:tc>
      </w:tr>
      <w:tr>
        <w:tc>
          <w:tcPr>
            <w:tcW w:w="2600" w:type="dxa"/>
          </w:tcPr>
          <w:p>
            <w:pPr>
              <w:spacing w:after="0" w:before="0"/>
            </w:pPr>
            <w:r>
              <w:t>Write-off &amp; OTS</w:t>
            </w:r>
            <w:r>
              <w:rPr>
                <w:rFonts w:ascii="Arial" w:hAnsi="Arial" w:cs="Arial"/>
                <w:b w:val="0"/>
                <w:sz w:val="17"/>
              </w:rPr>
            </w:r>
          </w:p>
        </w:tc>
        <w:tc>
          <w:tcPr>
            <w:tcW w:w="2400" w:type="dxa"/>
          </w:tcPr>
          <w:p>
            <w:pPr>
              <w:spacing w:after="0" w:before="0"/>
            </w:pPr>
            <w:r>
              <w:t>Section 89</w:t>
            </w:r>
            <w:r>
              <w:rPr>
                <w:rFonts w:ascii="Arial" w:hAnsi="Arial" w:cs="Arial"/>
                <w:b w:val="0"/>
                <w:sz w:val="17"/>
              </w:rPr>
            </w:r>
          </w:p>
        </w:tc>
        <w:tc>
          <w:tcPr>
            <w:tcW w:w="4360" w:type="dxa"/>
          </w:tcPr>
          <w:p>
            <w:pPr>
              <w:spacing w:after="0" w:before="0"/>
            </w:pPr>
            <w:r>
              <w:t>Sections 7, 8.2, 10</w:t>
            </w:r>
            <w:r>
              <w:rPr>
                <w:rFonts w:ascii="Arial" w:hAnsi="Arial" w:cs="Arial"/>
                <w:b w:val="0"/>
                <w:sz w:val="17"/>
              </w:rPr>
            </w:r>
          </w:p>
        </w:tc>
      </w:tr>
      <w:tr>
        <w:tc>
          <w:tcPr>
            <w:tcW w:w="2600" w:type="dxa"/>
          </w:tcPr>
          <w:p>
            <w:pPr>
              <w:spacing w:after="0" w:before="0"/>
            </w:pPr>
            <w:r>
              <w:t>Field cash collections &amp; receipts</w:t>
            </w:r>
            <w:r>
              <w:rPr>
                <w:rFonts w:ascii="Arial" w:hAnsi="Arial" w:cs="Arial"/>
                <w:b w:val="0"/>
                <w:sz w:val="17"/>
              </w:rPr>
            </w:r>
          </w:p>
        </w:tc>
        <w:tc>
          <w:tcPr>
            <w:tcW w:w="2400" w:type="dxa"/>
          </w:tcPr>
          <w:p>
            <w:pPr>
              <w:spacing w:after="0" w:before="0"/>
            </w:pPr>
            <w:r>
              <w:t>Section 90</w:t>
            </w:r>
            <w:r>
              <w:rPr>
                <w:rFonts w:ascii="Arial" w:hAnsi="Arial" w:cs="Arial"/>
                <w:b w:val="0"/>
                <w:sz w:val="17"/>
              </w:rPr>
            </w:r>
          </w:p>
        </w:tc>
        <w:tc>
          <w:tcPr>
            <w:tcW w:w="4360" w:type="dxa"/>
          </w:tcPr>
          <w:p>
            <w:pPr>
              <w:spacing w:after="0" w:before="0"/>
            </w:pPr>
            <w:r>
              <w:t>Sections 7, 16, 36</w:t>
            </w:r>
            <w:r>
              <w:rPr>
                <w:rFonts w:ascii="Arial" w:hAnsi="Arial" w:cs="Arial"/>
                <w:b w:val="0"/>
                <w:sz w:val="17"/>
              </w:rPr>
            </w:r>
          </w:p>
        </w:tc>
      </w:tr>
      <w:tr>
        <w:tc>
          <w:tcPr>
            <w:tcW w:w="2600" w:type="dxa"/>
          </w:tcPr>
          <w:p>
            <w:pPr>
              <w:spacing w:after="0" w:before="0"/>
            </w:pPr>
            <w:r>
              <w:t>Deceased borrower &amp; claims</w:t>
            </w:r>
            <w:r>
              <w:rPr>
                <w:rFonts w:ascii="Arial" w:hAnsi="Arial" w:cs="Arial"/>
                <w:b w:val="0"/>
                <w:sz w:val="17"/>
              </w:rPr>
            </w:r>
          </w:p>
        </w:tc>
        <w:tc>
          <w:tcPr>
            <w:tcW w:w="2400" w:type="dxa"/>
          </w:tcPr>
          <w:p>
            <w:pPr>
              <w:spacing w:after="0" w:before="0"/>
            </w:pPr>
            <w:r>
              <w:t>Section 91</w:t>
            </w:r>
            <w:r>
              <w:rPr>
                <w:rFonts w:ascii="Arial" w:hAnsi="Arial" w:cs="Arial"/>
                <w:b w:val="0"/>
                <w:sz w:val="17"/>
              </w:rPr>
            </w:r>
          </w:p>
        </w:tc>
        <w:tc>
          <w:tcPr>
            <w:tcW w:w="4360" w:type="dxa"/>
          </w:tcPr>
          <w:p>
            <w:pPr>
              <w:spacing w:after="0" w:before="0"/>
            </w:pPr>
            <w:r>
              <w:t>Sections 19, 36</w:t>
            </w:r>
            <w:r>
              <w:rPr>
                <w:rFonts w:ascii="Arial" w:hAnsi="Arial" w:cs="Arial"/>
                <w:b w:val="0"/>
                <w:sz w:val="17"/>
              </w:rPr>
            </w:r>
          </w:p>
        </w:tc>
      </w:tr>
      <w:tr>
        <w:tc>
          <w:tcPr>
            <w:tcW w:w="2600" w:type="dxa"/>
          </w:tcPr>
          <w:p>
            <w:pPr>
              <w:spacing w:after="0" w:before="0"/>
            </w:pPr>
            <w:r>
              <w:t>Party de-duplication &amp; merge (MDM)</w:t>
            </w:r>
            <w:r>
              <w:rPr>
                <w:rFonts w:ascii="Arial" w:hAnsi="Arial" w:cs="Arial"/>
                <w:b w:val="0"/>
                <w:sz w:val="17"/>
              </w:rPr>
            </w:r>
          </w:p>
        </w:tc>
        <w:tc>
          <w:tcPr>
            <w:tcW w:w="2400" w:type="dxa"/>
          </w:tcPr>
          <w:p>
            <w:pPr>
              <w:spacing w:after="0" w:before="0"/>
            </w:pPr>
            <w:r>
              <w:t>Section 92</w:t>
            </w:r>
            <w:r>
              <w:rPr>
                <w:rFonts w:ascii="Arial" w:hAnsi="Arial" w:cs="Arial"/>
                <w:b w:val="0"/>
                <w:sz w:val="17"/>
              </w:rPr>
            </w:r>
          </w:p>
        </w:tc>
        <w:tc>
          <w:tcPr>
            <w:tcW w:w="4360" w:type="dxa"/>
          </w:tcPr>
          <w:p>
            <w:pPr>
              <w:spacing w:after="0" w:before="0"/>
            </w:pPr>
            <w:r>
              <w:t>Sections 5.2, 11, 69.7</w:t>
            </w:r>
            <w:r>
              <w:rPr>
                <w:rFonts w:ascii="Arial" w:hAnsi="Arial" w:cs="Arial"/>
                <w:b w:val="0"/>
                <w:sz w:val="17"/>
              </w:rPr>
            </w:r>
          </w:p>
        </w:tc>
      </w:tr>
      <w:tr>
        <w:tc>
          <w:tcPr>
            <w:tcW w:w="2600" w:type="dxa"/>
          </w:tcPr>
          <w:p>
            <w:pPr>
              <w:spacing w:after="0" w:before="0"/>
            </w:pPr>
            <w:r>
              <w:t>Offline field app &amp; device security</w:t>
            </w:r>
            <w:r>
              <w:rPr>
                <w:rFonts w:ascii="Arial" w:hAnsi="Arial" w:cs="Arial"/>
                <w:b w:val="0"/>
                <w:sz w:val="17"/>
              </w:rPr>
            </w:r>
          </w:p>
        </w:tc>
        <w:tc>
          <w:tcPr>
            <w:tcW w:w="2400" w:type="dxa"/>
          </w:tcPr>
          <w:p>
            <w:pPr>
              <w:spacing w:after="0" w:before="0"/>
            </w:pPr>
            <w:r>
              <w:t>Section 93</w:t>
            </w:r>
            <w:r>
              <w:rPr>
                <w:rFonts w:ascii="Arial" w:hAnsi="Arial" w:cs="Arial"/>
                <w:b w:val="0"/>
                <w:sz w:val="17"/>
              </w:rPr>
            </w:r>
          </w:p>
        </w:tc>
        <w:tc>
          <w:tcPr>
            <w:tcW w:w="4360" w:type="dxa"/>
          </w:tcPr>
          <w:p>
            <w:pPr>
              <w:spacing w:after="0" w:before="0"/>
            </w:pPr>
            <w:r>
              <w:t>Sections 1.1, 90</w:t>
            </w:r>
            <w:r>
              <w:rPr>
                <w:rFonts w:ascii="Arial" w:hAnsi="Arial" w:cs="Arial"/>
                <w:b w:val="0"/>
                <w:sz w:val="17"/>
              </w:rPr>
            </w:r>
          </w:p>
        </w:tc>
      </w:tr>
      <w:tr>
        <w:tc>
          <w:tcPr>
            <w:tcW w:w="2600" w:type="dxa"/>
          </w:tcPr>
          <w:p>
            <w:pPr>
              <w:spacing w:after="0" w:before="0"/>
            </w:pPr>
            <w:r>
              <w:t>Domain events (envelope, ordering, replay)</w:t>
            </w:r>
            <w:r>
              <w:rPr>
                <w:rFonts w:ascii="Arial" w:hAnsi="Arial" w:cs="Arial"/>
                <w:b w:val="0"/>
                <w:sz w:val="17"/>
              </w:rPr>
            </w:r>
          </w:p>
        </w:tc>
        <w:tc>
          <w:tcPr>
            <w:tcW w:w="2400" w:type="dxa"/>
          </w:tcPr>
          <w:p>
            <w:pPr>
              <w:spacing w:after="0" w:before="0"/>
            </w:pPr>
            <w:r>
              <w:t>Section 94</w:t>
            </w:r>
            <w:r>
              <w:rPr>
                <w:rFonts w:ascii="Arial" w:hAnsi="Arial" w:cs="Arial"/>
                <w:b w:val="0"/>
                <w:sz w:val="17"/>
              </w:rPr>
            </w:r>
          </w:p>
        </w:tc>
        <w:tc>
          <w:tcPr>
            <w:tcW w:w="4360" w:type="dxa"/>
          </w:tcPr>
          <w:p>
            <w:pPr>
              <w:spacing w:after="0" w:before="0"/>
            </w:pPr>
            <w:r>
              <w:t>Sections 81, 38</w:t>
            </w:r>
            <w:r>
              <w:rPr>
                <w:rFonts w:ascii="Arial" w:hAnsi="Arial" w:cs="Arial"/>
                <w:b w:val="0"/>
                <w:sz w:val="17"/>
              </w:rPr>
            </w:r>
          </w:p>
        </w:tc>
      </w:tr>
      <w:tr>
        <w:tc>
          <w:tcPr>
            <w:tcW w:w="2600" w:type="dxa"/>
          </w:tcPr>
          <w:p>
            <w:pPr>
              <w:spacing w:after="0" w:before="0"/>
            </w:pPr>
            <w:r>
              <w:t>Configuration governance &amp; promotion</w:t>
            </w:r>
            <w:r>
              <w:rPr>
                <w:rFonts w:ascii="Arial" w:hAnsi="Arial" w:cs="Arial"/>
                <w:b w:val="0"/>
                <w:sz w:val="17"/>
              </w:rPr>
            </w:r>
          </w:p>
        </w:tc>
        <w:tc>
          <w:tcPr>
            <w:tcW w:w="2400" w:type="dxa"/>
          </w:tcPr>
          <w:p>
            <w:pPr>
              <w:spacing w:after="0" w:before="0"/>
            </w:pPr>
            <w:r>
              <w:t>Section 95</w:t>
            </w:r>
            <w:r>
              <w:rPr>
                <w:rFonts w:ascii="Arial" w:hAnsi="Arial" w:cs="Arial"/>
                <w:b w:val="0"/>
                <w:sz w:val="17"/>
              </w:rPr>
            </w:r>
          </w:p>
        </w:tc>
        <w:tc>
          <w:tcPr>
            <w:tcW w:w="4360" w:type="dxa"/>
          </w:tcPr>
          <w:p>
            <w:pPr>
              <w:spacing w:after="0" w:before="0"/>
            </w:pPr>
            <w:r>
              <w:t>Sections 82, 39.2</w:t>
            </w:r>
            <w:r>
              <w:rPr>
                <w:rFonts w:ascii="Arial" w:hAnsi="Arial" w:cs="Arial"/>
                <w:b w:val="0"/>
                <w:sz w:val="17"/>
              </w:rPr>
            </w:r>
          </w:p>
        </w:tc>
      </w:tr>
      <w:tr>
        <w:tc>
          <w:tcPr>
            <w:tcW w:w="2600" w:type="dxa"/>
          </w:tcPr>
          <w:p>
            <w:pPr>
              <w:spacing w:after="0" w:before="0"/>
            </w:pPr>
            <w:r>
              <w:t>Scorecard champion–challenger</w:t>
            </w:r>
            <w:r>
              <w:rPr>
                <w:rFonts w:ascii="Arial" w:hAnsi="Arial" w:cs="Arial"/>
                <w:b w:val="0"/>
                <w:sz w:val="17"/>
              </w:rPr>
            </w:r>
          </w:p>
        </w:tc>
        <w:tc>
          <w:tcPr>
            <w:tcW w:w="2400" w:type="dxa"/>
          </w:tcPr>
          <w:p>
            <w:pPr>
              <w:spacing w:after="0" w:before="0"/>
            </w:pPr>
            <w:r>
              <w:t>Section 96</w:t>
            </w:r>
            <w:r>
              <w:rPr>
                <w:rFonts w:ascii="Arial" w:hAnsi="Arial" w:cs="Arial"/>
                <w:b w:val="0"/>
                <w:sz w:val="17"/>
              </w:rPr>
            </w:r>
          </w:p>
        </w:tc>
        <w:tc>
          <w:tcPr>
            <w:tcW w:w="4360" w:type="dxa"/>
          </w:tcPr>
          <w:p>
            <w:pPr>
              <w:spacing w:after="0" w:before="0"/>
            </w:pPr>
            <w:r>
              <w:t>Sections 5.2, 66, 17.3</w:t>
            </w:r>
            <w:r>
              <w:rPr>
                <w:rFonts w:ascii="Arial" w:hAnsi="Arial" w:cs="Arial"/>
                <w:b w:val="0"/>
                <w:sz w:val="17"/>
              </w:rPr>
            </w:r>
          </w:p>
        </w:tc>
      </w:tr>
      <w:tr>
        <w:tc>
          <w:tcPr>
            <w:tcW w:w="2600" w:type="dxa"/>
          </w:tcPr>
          <w:p>
            <w:pPr>
              <w:spacing w:after="0" w:before="0"/>
            </w:pPr>
            <w:r>
              <w:t>Archival, retrieval &amp; DPDP purge</w:t>
            </w:r>
            <w:r>
              <w:rPr>
                <w:rFonts w:ascii="Arial" w:hAnsi="Arial" w:cs="Arial"/>
                <w:b w:val="0"/>
                <w:sz w:val="17"/>
              </w:rPr>
            </w:r>
          </w:p>
        </w:tc>
        <w:tc>
          <w:tcPr>
            <w:tcW w:w="2400" w:type="dxa"/>
          </w:tcPr>
          <w:p>
            <w:pPr>
              <w:spacing w:after="0" w:before="0"/>
            </w:pPr>
            <w:r>
              <w:t>Section 97</w:t>
            </w:r>
            <w:r>
              <w:rPr>
                <w:rFonts w:ascii="Arial" w:hAnsi="Arial" w:cs="Arial"/>
                <w:b w:val="0"/>
                <w:sz w:val="17"/>
              </w:rPr>
            </w:r>
          </w:p>
        </w:tc>
        <w:tc>
          <w:tcPr>
            <w:tcW w:w="4360" w:type="dxa"/>
          </w:tcPr>
          <w:p>
            <w:pPr>
              <w:spacing w:after="0" w:before="0"/>
            </w:pPr>
            <w:r>
              <w:t>Sections 35.2, 39.4</w:t>
            </w:r>
            <w:r>
              <w:rPr>
                <w:rFonts w:ascii="Arial" w:hAnsi="Arial" w:cs="Arial"/>
                <w:b w:val="0"/>
                <w:sz w:val="17"/>
              </w:rPr>
            </w:r>
          </w:p>
        </w:tc>
      </w:tr>
      <w:tr>
        <w:tc>
          <w:tcPr>
            <w:tcW w:w="2600" w:type="dxa"/>
          </w:tcPr>
          <w:p>
            <w:pPr>
              <w:spacing w:after="0" w:before="0"/>
            </w:pPr>
            <w:r>
              <w:t>Borrower-portal session &amp; ATO</w:t>
            </w:r>
            <w:r>
              <w:rPr>
                <w:rFonts w:ascii="Arial" w:hAnsi="Arial" w:cs="Arial"/>
                <w:b w:val="0"/>
                <w:sz w:val="17"/>
              </w:rPr>
            </w:r>
          </w:p>
        </w:tc>
        <w:tc>
          <w:tcPr>
            <w:tcW w:w="2400" w:type="dxa"/>
          </w:tcPr>
          <w:p>
            <w:pPr>
              <w:spacing w:after="0" w:before="0"/>
            </w:pPr>
            <w:r>
              <w:t>Section 98</w:t>
            </w:r>
            <w:r>
              <w:rPr>
                <w:rFonts w:ascii="Arial" w:hAnsi="Arial" w:cs="Arial"/>
                <w:b w:val="0"/>
                <w:sz w:val="17"/>
              </w:rPr>
            </w:r>
          </w:p>
        </w:tc>
        <w:tc>
          <w:tcPr>
            <w:tcW w:w="4360" w:type="dxa"/>
          </w:tcPr>
          <w:p>
            <w:pPr>
              <w:spacing w:after="0" w:before="0"/>
            </w:pPr>
            <w:r>
              <w:t>Sections 34, 37</w:t>
            </w:r>
            <w:r>
              <w:rPr>
                <w:rFonts w:ascii="Arial" w:hAnsi="Arial" w:cs="Arial"/>
                <w:b w:val="0"/>
                <w:sz w:val="17"/>
              </w:rPr>
            </w:r>
          </w:p>
        </w:tc>
      </w:tr>
    </w:tbl>
    <w:p/>
    <w:p>
      <w:pPr>
        <w:pStyle w:val="Heading1"/>
      </w:pPr>
      <w:r>
        <w:t>Glossary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7660"/>
      </w:tblGrid>
      <w:tr>
        <w:tc>
          <w:tcPr>
            <w:tcW w:w="1700" w:type="dxa"/>
            <w:shd w:val="clear" w:color="auto" w:fill="1F4E78"/>
          </w:tcPr>
          <w:p>
            <w:pPr>
              <w:spacing w:after="0" w:before="0"/>
            </w:pPr>
            <w:r/>
            <w:r>
              <w:rPr>
                <w:rFonts w:ascii="Arial" w:hAnsi="Arial" w:cs="Arial"/>
                <w:b/>
                <w:color w:val="FFFFFF"/>
                <w:sz w:val="17"/>
              </w:rPr>
              <w:t>Term</w:t>
            </w:r>
          </w:p>
        </w:tc>
        <w:tc>
          <w:tcPr>
            <w:tcW w:w="7660" w:type="dxa"/>
            <w:shd w:val="clear" w:color="auto" w:fill="1F4E78"/>
          </w:tcPr>
          <w:p>
            <w:pPr>
              <w:spacing w:after="0" w:before="0"/>
            </w:pPr>
            <w:r/>
            <w:r>
              <w:rPr>
                <w:rFonts w:ascii="Arial" w:hAnsi="Arial" w:cs="Arial"/>
                <w:b/>
                <w:color w:val="FFFFFF"/>
                <w:sz w:val="17"/>
              </w:rPr>
              <w:t>Meaning</w:t>
            </w:r>
          </w:p>
        </w:tc>
      </w:tr>
      <w:tr>
        <w:tc>
          <w:tcPr>
            <w:tcW w:w="1700" w:type="dxa"/>
          </w:tcPr>
          <w:p>
            <w:pPr>
              <w:spacing w:after="0" w:before="0"/>
            </w:pPr>
            <w:r/>
            <w:r>
              <w:rPr>
                <w:rFonts w:ascii="Arial" w:hAnsi="Arial" w:cs="Arial"/>
                <w:b w:val="0"/>
                <w:sz w:val="17"/>
              </w:rPr>
              <w:t>APR</w:t>
            </w:r>
          </w:p>
        </w:tc>
        <w:tc>
          <w:tcPr>
            <w:tcW w:w="7660" w:type="dxa"/>
          </w:tcPr>
          <w:p>
            <w:pPr>
              <w:spacing w:after="0" w:before="0"/>
            </w:pPr>
            <w:r/>
            <w:r>
              <w:rPr>
                <w:rFonts w:ascii="Arial" w:hAnsi="Arial" w:cs="Arial"/>
                <w:b w:val="0"/>
                <w:sz w:val="17"/>
              </w:rPr>
              <w:t>Annual Percentage Rate — the all-in cost of credit disclosed in the KFS (Section 45.9).</w:t>
            </w:r>
          </w:p>
        </w:tc>
      </w:tr>
      <w:tr>
        <w:tc>
          <w:tcPr>
            <w:tcW w:w="1700" w:type="dxa"/>
          </w:tcPr>
          <w:p>
            <w:pPr>
              <w:spacing w:after="0" w:before="0"/>
            </w:pPr>
            <w:r/>
            <w:r>
              <w:rPr>
                <w:rFonts w:ascii="Arial" w:hAnsi="Arial" w:cs="Arial"/>
                <w:b w:val="0"/>
                <w:sz w:val="17"/>
              </w:rPr>
              <w:t>EIR</w:t>
            </w:r>
          </w:p>
        </w:tc>
        <w:tc>
          <w:tcPr>
            <w:tcW w:w="7660" w:type="dxa"/>
          </w:tcPr>
          <w:p>
            <w:pPr>
              <w:spacing w:after="0" w:before="0"/>
            </w:pPr>
            <w:r/>
            <w:r>
              <w:rPr>
                <w:rFonts w:ascii="Arial" w:hAnsi="Arial" w:cs="Arial"/>
                <w:b w:val="0"/>
                <w:sz w:val="17"/>
              </w:rPr>
              <w:t>Effective Interest Rate — rate used for Ind AS 109 amortised-cost accounting (Section 24.10).</w:t>
            </w:r>
          </w:p>
        </w:tc>
      </w:tr>
      <w:tr>
        <w:tc>
          <w:tcPr>
            <w:tcW w:w="1700" w:type="dxa"/>
          </w:tcPr>
          <w:p>
            <w:pPr>
              <w:spacing w:after="0" w:before="0"/>
            </w:pPr>
            <w:r/>
            <w:r>
              <w:rPr>
                <w:rFonts w:ascii="Arial" w:hAnsi="Arial" w:cs="Arial"/>
                <w:b w:val="0"/>
                <w:sz w:val="17"/>
              </w:rPr>
              <w:t>EMI</w:t>
            </w:r>
          </w:p>
        </w:tc>
        <w:tc>
          <w:tcPr>
            <w:tcW w:w="7660" w:type="dxa"/>
          </w:tcPr>
          <w:p>
            <w:pPr>
              <w:spacing w:after="0" w:before="0"/>
            </w:pPr>
            <w:r/>
            <w:r>
              <w:rPr>
                <w:rFonts w:ascii="Arial" w:hAnsi="Arial" w:cs="Arial"/>
                <w:b w:val="0"/>
                <w:sz w:val="17"/>
              </w:rPr>
              <w:t>Equated Monthly Instalment (Section 45.3.5).</w:t>
            </w:r>
          </w:p>
        </w:tc>
      </w:tr>
      <w:tr>
        <w:tc>
          <w:tcPr>
            <w:tcW w:w="1700" w:type="dxa"/>
          </w:tcPr>
          <w:p>
            <w:pPr>
              <w:spacing w:after="0" w:before="0"/>
            </w:pPr>
            <w:r/>
            <w:r>
              <w:rPr>
                <w:rFonts w:ascii="Arial" w:hAnsi="Arial" w:cs="Arial"/>
                <w:b w:val="0"/>
                <w:sz w:val="17"/>
              </w:rPr>
              <w:t>DPD</w:t>
            </w:r>
          </w:p>
        </w:tc>
        <w:tc>
          <w:tcPr>
            <w:tcW w:w="7660" w:type="dxa"/>
          </w:tcPr>
          <w:p>
            <w:pPr>
              <w:spacing w:after="0" w:before="0"/>
            </w:pPr>
            <w:r/>
            <w:r>
              <w:rPr>
                <w:rFonts w:ascii="Arial" w:hAnsi="Arial" w:cs="Arial"/>
                <w:b w:val="0"/>
                <w:sz w:val="17"/>
              </w:rPr>
              <w:t>Days Past Due — days a payment is overdue.</w:t>
            </w:r>
          </w:p>
        </w:tc>
      </w:tr>
      <w:tr>
        <w:tc>
          <w:tcPr>
            <w:tcW w:w="1700" w:type="dxa"/>
          </w:tcPr>
          <w:p>
            <w:pPr>
              <w:spacing w:after="0" w:before="0"/>
            </w:pPr>
            <w:r/>
            <w:r>
              <w:rPr>
                <w:rFonts w:ascii="Arial" w:hAnsi="Arial" w:cs="Arial"/>
                <w:b w:val="0"/>
                <w:sz w:val="17"/>
              </w:rPr>
              <w:t>NPA</w:t>
            </w:r>
          </w:p>
        </w:tc>
        <w:tc>
          <w:tcPr>
            <w:tcW w:w="7660" w:type="dxa"/>
          </w:tcPr>
          <w:p>
            <w:pPr>
              <w:spacing w:after="0" w:before="0"/>
            </w:pPr>
            <w:r/>
            <w:r>
              <w:rPr>
                <w:rFonts w:ascii="Arial" w:hAnsi="Arial" w:cs="Arial"/>
                <w:b w:val="0"/>
                <w:sz w:val="17"/>
              </w:rPr>
              <w:t>Non-Performing Asset — a loan overdue beyond the prescribed threshold (Section 9.4).</w:t>
            </w:r>
          </w:p>
        </w:tc>
      </w:tr>
      <w:tr>
        <w:tc>
          <w:tcPr>
            <w:tcW w:w="1700" w:type="dxa"/>
          </w:tcPr>
          <w:p>
            <w:pPr>
              <w:spacing w:after="0" w:before="0"/>
            </w:pPr>
            <w:r/>
            <w:r>
              <w:rPr>
                <w:rFonts w:ascii="Arial" w:hAnsi="Arial" w:cs="Arial"/>
                <w:b w:val="0"/>
                <w:sz w:val="17"/>
              </w:rPr>
              <w:t>IRAC</w:t>
            </w:r>
          </w:p>
        </w:tc>
        <w:tc>
          <w:tcPr>
            <w:tcW w:w="7660" w:type="dxa"/>
          </w:tcPr>
          <w:p>
            <w:pPr>
              <w:spacing w:after="0" w:before="0"/>
            </w:pPr>
            <w:r/>
            <w:r>
              <w:rPr>
                <w:rFonts w:ascii="Arial" w:hAnsi="Arial" w:cs="Arial"/>
                <w:b w:val="0"/>
                <w:sz w:val="17"/>
              </w:rPr>
              <w:t>Income Recognition &amp; Asset Classification — RBI prudential norms.</w:t>
            </w:r>
          </w:p>
        </w:tc>
      </w:tr>
      <w:tr>
        <w:tc>
          <w:tcPr>
            <w:tcW w:w="1700" w:type="dxa"/>
          </w:tcPr>
          <w:p>
            <w:pPr>
              <w:spacing w:after="0" w:before="0"/>
            </w:pPr>
            <w:r/>
            <w:r>
              <w:rPr>
                <w:rFonts w:ascii="Arial" w:hAnsi="Arial" w:cs="Arial"/>
                <w:b w:val="0"/>
                <w:sz w:val="17"/>
              </w:rPr>
              <w:t>ECL</w:t>
            </w:r>
          </w:p>
        </w:tc>
        <w:tc>
          <w:tcPr>
            <w:tcW w:w="7660" w:type="dxa"/>
          </w:tcPr>
          <w:p>
            <w:pPr>
              <w:spacing w:after="0" w:before="0"/>
            </w:pPr>
            <w:r/>
            <w:r>
              <w:rPr>
                <w:rFonts w:ascii="Arial" w:hAnsi="Arial" w:cs="Arial"/>
                <w:b w:val="0"/>
                <w:sz w:val="17"/>
              </w:rPr>
              <w:t>Expected Credit Loss — Ind AS 109 impairment (Section 30).</w:t>
            </w:r>
          </w:p>
        </w:tc>
      </w:tr>
      <w:tr>
        <w:tc>
          <w:tcPr>
            <w:tcW w:w="1700" w:type="dxa"/>
          </w:tcPr>
          <w:p>
            <w:pPr>
              <w:spacing w:after="0" w:before="0"/>
            </w:pPr>
            <w:r/>
            <w:r>
              <w:rPr>
                <w:rFonts w:ascii="Arial" w:hAnsi="Arial" w:cs="Arial"/>
                <w:b w:val="0"/>
                <w:sz w:val="17"/>
              </w:rPr>
              <w:t>CRAR</w:t>
            </w:r>
          </w:p>
        </w:tc>
        <w:tc>
          <w:tcPr>
            <w:tcW w:w="7660" w:type="dxa"/>
          </w:tcPr>
          <w:p>
            <w:pPr>
              <w:spacing w:after="0" w:before="0"/>
            </w:pPr>
            <w:r/>
            <w:r>
              <w:rPr>
                <w:rFonts w:ascii="Arial" w:hAnsi="Arial" w:cs="Arial"/>
                <w:b w:val="0"/>
                <w:sz w:val="17"/>
              </w:rPr>
              <w:t>Capital to Risk-weighted Assets Ratio (Section 69.1).</w:t>
            </w:r>
          </w:p>
        </w:tc>
      </w:tr>
      <w:tr>
        <w:tc>
          <w:tcPr>
            <w:tcW w:w="1700" w:type="dxa"/>
          </w:tcPr>
          <w:p>
            <w:pPr>
              <w:spacing w:after="0" w:before="0"/>
            </w:pPr>
            <w:r/>
            <w:r>
              <w:rPr>
                <w:rFonts w:ascii="Arial" w:hAnsi="Arial" w:cs="Arial"/>
                <w:b w:val="0"/>
                <w:sz w:val="17"/>
              </w:rPr>
              <w:t>RWA</w:t>
            </w:r>
          </w:p>
        </w:tc>
        <w:tc>
          <w:tcPr>
            <w:tcW w:w="7660" w:type="dxa"/>
          </w:tcPr>
          <w:p>
            <w:pPr>
              <w:spacing w:after="0" w:before="0"/>
            </w:pPr>
            <w:r/>
            <w:r>
              <w:rPr>
                <w:rFonts w:ascii="Arial" w:hAnsi="Arial" w:cs="Arial"/>
                <w:b w:val="0"/>
                <w:sz w:val="17"/>
              </w:rPr>
              <w:t>Risk-Weighted Assets (Section 69.2).</w:t>
            </w:r>
          </w:p>
        </w:tc>
      </w:tr>
      <w:tr>
        <w:tc>
          <w:tcPr>
            <w:tcW w:w="1700" w:type="dxa"/>
          </w:tcPr>
          <w:p>
            <w:pPr>
              <w:spacing w:after="0" w:before="0"/>
            </w:pPr>
            <w:r/>
            <w:r>
              <w:rPr>
                <w:rFonts w:ascii="Arial" w:hAnsi="Arial" w:cs="Arial"/>
                <w:b w:val="0"/>
                <w:sz w:val="17"/>
              </w:rPr>
              <w:t>NOF</w:t>
            </w:r>
          </w:p>
        </w:tc>
        <w:tc>
          <w:tcPr>
            <w:tcW w:w="7660" w:type="dxa"/>
          </w:tcPr>
          <w:p>
            <w:pPr>
              <w:spacing w:after="0" w:before="0"/>
            </w:pPr>
            <w:r/>
            <w:r>
              <w:rPr>
                <w:rFonts w:ascii="Arial" w:hAnsi="Arial" w:cs="Arial"/>
                <w:b w:val="0"/>
                <w:sz w:val="17"/>
              </w:rPr>
              <w:t>Net Owned Fund.</w:t>
            </w:r>
          </w:p>
        </w:tc>
      </w:tr>
      <w:tr>
        <w:tc>
          <w:tcPr>
            <w:tcW w:w="1700" w:type="dxa"/>
          </w:tcPr>
          <w:p>
            <w:pPr>
              <w:spacing w:after="0" w:before="0"/>
            </w:pPr>
            <w:r/>
            <w:r>
              <w:rPr>
                <w:rFonts w:ascii="Arial" w:hAnsi="Arial" w:cs="Arial"/>
                <w:b w:val="0"/>
                <w:sz w:val="17"/>
              </w:rPr>
              <w:t>LTV</w:t>
            </w:r>
          </w:p>
        </w:tc>
        <w:tc>
          <w:tcPr>
            <w:tcW w:w="7660" w:type="dxa"/>
          </w:tcPr>
          <w:p>
            <w:pPr>
              <w:spacing w:after="0" w:before="0"/>
            </w:pPr>
            <w:r/>
            <w:r>
              <w:rPr>
                <w:rFonts w:ascii="Arial" w:hAnsi="Arial" w:cs="Arial"/>
                <w:b w:val="0"/>
                <w:sz w:val="17"/>
              </w:rPr>
              <w:t>Loan-to-Value ratio.</w:t>
            </w:r>
          </w:p>
        </w:tc>
      </w:tr>
      <w:tr>
        <w:tc>
          <w:tcPr>
            <w:tcW w:w="1700" w:type="dxa"/>
          </w:tcPr>
          <w:p>
            <w:pPr>
              <w:spacing w:after="0" w:before="0"/>
            </w:pPr>
            <w:r/>
            <w:r>
              <w:rPr>
                <w:rFonts w:ascii="Arial" w:hAnsi="Arial" w:cs="Arial"/>
                <w:b w:val="0"/>
                <w:sz w:val="17"/>
              </w:rPr>
              <w:t>FOIR</w:t>
            </w:r>
          </w:p>
        </w:tc>
        <w:tc>
          <w:tcPr>
            <w:tcW w:w="7660" w:type="dxa"/>
          </w:tcPr>
          <w:p>
            <w:pPr>
              <w:spacing w:after="0" w:before="0"/>
            </w:pPr>
            <w:r/>
            <w:r>
              <w:rPr>
                <w:rFonts w:ascii="Arial" w:hAnsi="Arial" w:cs="Arial"/>
                <w:b w:val="0"/>
                <w:sz w:val="17"/>
              </w:rPr>
              <w:t>Fixed Obligation to Income Ratio.</w:t>
            </w:r>
          </w:p>
        </w:tc>
      </w:tr>
      <w:tr>
        <w:tc>
          <w:tcPr>
            <w:tcW w:w="1700" w:type="dxa"/>
          </w:tcPr>
          <w:p>
            <w:pPr>
              <w:spacing w:after="0" w:before="0"/>
            </w:pPr>
            <w:r/>
            <w:r>
              <w:rPr>
                <w:rFonts w:ascii="Arial" w:hAnsi="Arial" w:cs="Arial"/>
                <w:b w:val="0"/>
                <w:sz w:val="17"/>
              </w:rPr>
              <w:t>CKYC</w:t>
            </w:r>
          </w:p>
        </w:tc>
        <w:tc>
          <w:tcPr>
            <w:tcW w:w="7660" w:type="dxa"/>
          </w:tcPr>
          <w:p>
            <w:pPr>
              <w:spacing w:after="0" w:before="0"/>
            </w:pPr>
            <w:r/>
            <w:r>
              <w:rPr>
                <w:rFonts w:ascii="Arial" w:hAnsi="Arial" w:cs="Arial"/>
                <w:b w:val="0"/>
                <w:sz w:val="17"/>
              </w:rPr>
              <w:t>Central KYC Registry identifier.</w:t>
            </w:r>
          </w:p>
        </w:tc>
      </w:tr>
      <w:tr>
        <w:tc>
          <w:tcPr>
            <w:tcW w:w="1700" w:type="dxa"/>
          </w:tcPr>
          <w:p>
            <w:pPr>
              <w:spacing w:after="0" w:before="0"/>
            </w:pPr>
            <w:r/>
            <w:r>
              <w:rPr>
                <w:rFonts w:ascii="Arial" w:hAnsi="Arial" w:cs="Arial"/>
                <w:b w:val="0"/>
                <w:sz w:val="17"/>
              </w:rPr>
              <w:t>KFS</w:t>
            </w:r>
          </w:p>
        </w:tc>
        <w:tc>
          <w:tcPr>
            <w:tcW w:w="7660" w:type="dxa"/>
          </w:tcPr>
          <w:p>
            <w:pPr>
              <w:spacing w:after="0" w:before="0"/>
            </w:pPr>
            <w:r/>
            <w:r>
              <w:rPr>
                <w:rFonts w:ascii="Arial" w:hAnsi="Arial" w:cs="Arial"/>
                <w:b w:val="0"/>
                <w:sz w:val="17"/>
              </w:rPr>
              <w:t>Key Fact Statement (Section 17.1).</w:t>
            </w:r>
          </w:p>
        </w:tc>
      </w:tr>
      <w:tr>
        <w:tc>
          <w:tcPr>
            <w:tcW w:w="1700" w:type="dxa"/>
          </w:tcPr>
          <w:p>
            <w:pPr>
              <w:spacing w:after="0" w:before="0"/>
            </w:pPr>
            <w:r/>
            <w:r>
              <w:rPr>
                <w:rFonts w:ascii="Arial" w:hAnsi="Arial" w:cs="Arial"/>
                <w:b w:val="0"/>
                <w:sz w:val="17"/>
              </w:rPr>
              <w:t>LSP / FLDG</w:t>
            </w:r>
          </w:p>
        </w:tc>
        <w:tc>
          <w:tcPr>
            <w:tcW w:w="7660" w:type="dxa"/>
          </w:tcPr>
          <w:p>
            <w:pPr>
              <w:spacing w:after="0" w:before="0"/>
            </w:pPr>
            <w:r/>
            <w:r>
              <w:rPr>
                <w:rFonts w:ascii="Arial" w:hAnsi="Arial" w:cs="Arial"/>
                <w:b w:val="0"/>
                <w:sz w:val="17"/>
              </w:rPr>
              <w:t>Lending Service Provider / First Loss Default Guarantee (Section 17.2).</w:t>
            </w:r>
          </w:p>
        </w:tc>
      </w:tr>
      <w:tr>
        <w:tc>
          <w:tcPr>
            <w:tcW w:w="1700" w:type="dxa"/>
          </w:tcPr>
          <w:p>
            <w:pPr>
              <w:spacing w:after="0" w:before="0"/>
            </w:pPr>
            <w:r/>
            <w:r>
              <w:rPr>
                <w:rFonts w:ascii="Arial" w:hAnsi="Arial" w:cs="Arial"/>
                <w:b w:val="0"/>
                <w:sz w:val="17"/>
              </w:rPr>
              <w:t>SARFAESI</w:t>
            </w:r>
          </w:p>
        </w:tc>
        <w:tc>
          <w:tcPr>
            <w:tcW w:w="7660" w:type="dxa"/>
          </w:tcPr>
          <w:p>
            <w:pPr>
              <w:spacing w:after="0" w:before="0"/>
            </w:pPr>
            <w:r/>
            <w:r>
              <w:rPr>
                <w:rFonts w:ascii="Arial" w:hAnsi="Arial" w:cs="Arial"/>
                <w:b w:val="0"/>
                <w:sz w:val="17"/>
              </w:rPr>
              <w:t>Act enabling secured-asset enforcement (Section 7).</w:t>
            </w:r>
          </w:p>
        </w:tc>
      </w:tr>
      <w:tr>
        <w:tc>
          <w:tcPr>
            <w:tcW w:w="1700" w:type="dxa"/>
          </w:tcPr>
          <w:p>
            <w:pPr>
              <w:spacing w:after="0" w:before="0"/>
            </w:pPr>
            <w:r/>
            <w:r>
              <w:rPr>
                <w:rFonts w:ascii="Arial" w:hAnsi="Arial" w:cs="Arial"/>
                <w:b w:val="0"/>
                <w:sz w:val="17"/>
              </w:rPr>
              <w:t>CERSAI</w:t>
            </w:r>
          </w:p>
        </w:tc>
        <w:tc>
          <w:tcPr>
            <w:tcW w:w="7660" w:type="dxa"/>
          </w:tcPr>
          <w:p>
            <w:pPr>
              <w:spacing w:after="0" w:before="0"/>
            </w:pPr>
            <w:r/>
            <w:r>
              <w:rPr>
                <w:rFonts w:ascii="Arial" w:hAnsi="Arial" w:cs="Arial"/>
                <w:b w:val="0"/>
                <w:sz w:val="17"/>
              </w:rPr>
              <w:t>Central Registry of Securitisation Asset Reconstruction &amp; Security Interest.</w:t>
            </w:r>
          </w:p>
        </w:tc>
      </w:tr>
      <w:tr>
        <w:tc>
          <w:tcPr>
            <w:tcW w:w="1700" w:type="dxa"/>
          </w:tcPr>
          <w:p>
            <w:pPr>
              <w:spacing w:after="0" w:before="0"/>
            </w:pPr>
            <w:r/>
            <w:r>
              <w:rPr>
                <w:rFonts w:ascii="Arial" w:hAnsi="Arial" w:cs="Arial"/>
                <w:b w:val="0"/>
                <w:sz w:val="17"/>
              </w:rPr>
              <w:t>AA</w:t>
            </w:r>
          </w:p>
        </w:tc>
        <w:tc>
          <w:tcPr>
            <w:tcW w:w="7660" w:type="dxa"/>
          </w:tcPr>
          <w:p>
            <w:pPr>
              <w:spacing w:after="0" w:before="0"/>
            </w:pPr>
            <w:r/>
            <w:r>
              <w:rPr>
                <w:rFonts w:ascii="Arial" w:hAnsi="Arial" w:cs="Arial"/>
                <w:b w:val="0"/>
                <w:sz w:val="17"/>
              </w:rPr>
              <w:t>Account Aggregator (consent-based data sharing).</w:t>
            </w:r>
          </w:p>
        </w:tc>
      </w:tr>
      <w:tr>
        <w:tc>
          <w:tcPr>
            <w:tcW w:w="1700" w:type="dxa"/>
          </w:tcPr>
          <w:p>
            <w:pPr>
              <w:spacing w:after="0" w:before="0"/>
            </w:pPr>
            <w:r/>
            <w:r>
              <w:rPr>
                <w:rFonts w:ascii="Arial" w:hAnsi="Arial" w:cs="Arial"/>
                <w:b w:val="0"/>
                <w:sz w:val="17"/>
              </w:rPr>
              <w:t>SBR</w:t>
            </w:r>
          </w:p>
        </w:tc>
        <w:tc>
          <w:tcPr>
            <w:tcW w:w="7660" w:type="dxa"/>
          </w:tcPr>
          <w:p>
            <w:pPr>
              <w:spacing w:after="0" w:before="0"/>
            </w:pPr>
            <w:r/>
            <w:r>
              <w:rPr>
                <w:rFonts w:ascii="Arial" w:hAnsi="Arial" w:cs="Arial"/>
                <w:b w:val="0"/>
                <w:sz w:val="17"/>
              </w:rPr>
              <w:t>Scale-Based Regulation for NBFCs (Section 9.1).</w:t>
            </w:r>
          </w:p>
        </w:tc>
      </w:tr>
      <w:tr>
        <w:tc>
          <w:tcPr>
            <w:tcW w:w="1700" w:type="dxa"/>
          </w:tcPr>
          <w:p>
            <w:pPr>
              <w:spacing w:after="0" w:before="0"/>
            </w:pPr>
            <w:r/>
            <w:r>
              <w:rPr>
                <w:rFonts w:ascii="Arial" w:hAnsi="Arial" w:cs="Arial"/>
                <w:b w:val="0"/>
                <w:sz w:val="17"/>
              </w:rPr>
              <w:t>DPDP</w:t>
            </w:r>
          </w:p>
        </w:tc>
        <w:tc>
          <w:tcPr>
            <w:tcW w:w="7660" w:type="dxa"/>
          </w:tcPr>
          <w:p>
            <w:pPr>
              <w:spacing w:after="0" w:before="0"/>
            </w:pPr>
            <w:r/>
            <w:r>
              <w:rPr>
                <w:rFonts w:ascii="Arial" w:hAnsi="Arial" w:cs="Arial"/>
                <w:b w:val="0"/>
                <w:sz w:val="17"/>
              </w:rPr>
              <w:t>Digital Personal Data Protection Act, 2023 (Section 35).</w:t>
            </w:r>
          </w:p>
        </w:tc>
      </w:tr>
      <w:tr>
        <w:tc>
          <w:tcPr>
            <w:tcW w:w="1700" w:type="dxa"/>
          </w:tcPr>
          <w:p>
            <w:pPr>
              <w:spacing w:after="0" w:before="0"/>
            </w:pPr>
            <w:r/>
            <w:r>
              <w:rPr>
                <w:rFonts w:ascii="Arial" w:hAnsi="Arial" w:cs="Arial"/>
                <w:b w:val="0"/>
                <w:sz w:val="17"/>
              </w:rPr>
              <w:t>LEI</w:t>
            </w:r>
          </w:p>
        </w:tc>
        <w:tc>
          <w:tcPr>
            <w:tcW w:w="7660" w:type="dxa"/>
          </w:tcPr>
          <w:p>
            <w:pPr>
              <w:spacing w:after="0" w:before="0"/>
            </w:pPr>
            <w:r/>
            <w:r>
              <w:rPr>
                <w:rFonts w:ascii="Arial" w:hAnsi="Arial" w:cs="Arial"/>
                <w:b w:val="0"/>
                <w:sz w:val="17"/>
              </w:rPr>
              <w:t>Legal Entity Identifier (Section 43.2).</w:t>
            </w:r>
          </w:p>
        </w:tc>
      </w:tr>
      <w:tr>
        <w:tc>
          <w:tcPr>
            <w:tcW w:w="1700" w:type="dxa"/>
          </w:tcPr>
          <w:p>
            <w:pPr>
              <w:spacing w:after="0" w:before="0"/>
            </w:pPr>
            <w:r/>
            <w:r>
              <w:rPr>
                <w:rFonts w:ascii="Arial" w:hAnsi="Arial" w:cs="Arial"/>
                <w:b w:val="0"/>
                <w:sz w:val="17"/>
              </w:rPr>
              <w:t>PCR / NIM</w:t>
            </w:r>
          </w:p>
        </w:tc>
        <w:tc>
          <w:tcPr>
            <w:tcW w:w="7660" w:type="dxa"/>
          </w:tcPr>
          <w:p>
            <w:pPr>
              <w:spacing w:after="0" w:before="0"/>
            </w:pPr>
            <w:r/>
            <w:r>
              <w:rPr>
                <w:rFonts w:ascii="Arial" w:hAnsi="Arial" w:cs="Arial"/>
                <w:b w:val="0"/>
                <w:sz w:val="17"/>
              </w:rPr>
              <w:t>Provision Coverage Ratio / Net Interest Margin (Section 69).</w:t>
            </w:r>
          </w:p>
        </w:tc>
      </w:tr>
    </w:tbl>
    <w:p/>
    <w:p>
      <w:pPr>
        <w:pStyle w:val="Heading1"/>
      </w:pPr>
      <w:r>
        <w:t>Abbreviations</w:t>
      </w:r>
    </w:p>
    <w:p>
      <w:r>
        <w:rPr>
          <w:rFonts w:ascii="Arial" w:hAnsi="Arial" w:cs="Arial"/>
          <w:b w:val="0"/>
          <w:i w:val="0"/>
          <w:sz w:val="22"/>
        </w:rPr>
        <w:t>AA — Account Aggregator; ALM — Asset-Liability Management; AML/CFT — Anti-Money Laundering/Combating Financing of Terrorism; APR — Annual Percentage Rate; BNPL — Buy Now Pay Later; CET1 — Common Equity Tier 1; CIC — Credit Information Company; COA — Chart of Accounts; CRAR — Capital to Risk-weighted Assets Ratio; CRILC — Central Repository of Information on Large Credits; DOA — Delegation of Authority; DPD — Days Past Due; DPDP — Digital Personal Data Protection Act; DQ — Data Quality; ECL — Expected Credit Loss; EIR — Effective Interest Rate; EMI — Equated Monthly Instalment; EWS — Early Warning Signals; FIU-IND — Financial Intelligence Unit India; FLDG — First Loss Default Guarantee; FOIR — Fixed Obligation to Income Ratio; GL — General Ledger; GNPA/NNPA — Gross/Net Non-Performing Assets; HQLA — High-Quality Liquid Assets; IRAC — Income Recognition &amp; Asset Classification; KFS — Key Fact Statement; KYC/CKYC — (Central) Know Your Customer; LAP/LAS — Loan Against Property/Securities; LCR — Liquidity Coverage Ratio; LEI — Legal Entity Identifier; LOS — Loan Origination System; LSP — Lending Service Provider; MFI/JLG/SHG — Microfinance/Joint Liability Group/Self-Help Group; NBFC — Non-Banking Financial Company; NIM — Net Interest Margin; NOF — Net Owned Fund; NPA — Non-Performing Asset; OCEN — Open Credit Enablement Network; PCR — Provision Coverage Ratio; PEP — Politically Exposed Person; PMLA — Prevention of Money Laundering Act; RBAC — Role-Based Access Control; RoA/RoE — Return on Assets/Equity; RWA — Risk-Weighted Assets; SARFAESI — Securitisation and Reconstruction of Financial Assets and Enforcement of Security Interest Act; SBR — Scale-Based Regulation; TReDS — Trade Receivables Discounting System; UCB — Urban Cooperative Bank; VAPT — Vulnerability Assessment &amp; Penetration Testing.</w:t>
      </w:r>
    </w:p>
    <w:p>
      <w:pPr>
        <w:pStyle w:val="Heading1"/>
      </w:pPr>
      <w:r>
        <w:t>List of Figures</w:t>
      </w:r>
    </w:p>
    <w:p>
      <w:r>
        <w:rPr>
          <w:rFonts w:ascii="Arial" w:hAnsi="Arial" w:cs="Arial"/>
          <w:b w:val="0"/>
          <w:i w:val="0"/>
          <w:sz w:val="22"/>
        </w:rPr>
        <w:t>Figure 44.1 System context · 44.2 Deployment &amp; DR · 44.3 Core data model (ER) · 44.4 Disbursement→GL sequence · 44.5 EMI/NACH collection sequence · 44.6 Monthly CIC reporting sequence · 44.7 LAS margin-call sequence · 44.8 Loan-account state machine · 44.9 Application state machine · 46.1 India Stack alignment · 47.1 Capability maturity heatmap · 54.1 Implementation roadmap · 59.1 Benefits dependency network · 68.1 Sample MIS dashboard.</w:t>
      </w:r>
    </w:p>
    <w:p>
      <w:pPr>
        <w:pStyle w:val="Heading1"/>
      </w:pPr>
      <w:r>
        <w:t>Index of Key Reference Tables</w:t>
      </w:r>
    </w:p>
    <w:p>
      <w:r>
        <w:rPr>
          <w:rFonts w:ascii="Arial" w:hAnsi="Arial" w:cs="Arial"/>
          <w:b w:val="0"/>
          <w:i w:val="0"/>
          <w:sz w:val="22"/>
        </w:rPr>
        <w:t>Core module inventory (§1.3) · User roles &amp; access (§1.4) · Product configuration tables (§3) · Lifecycle stages (§4) · Auto journal-posting rules (§8.2) · Regulatory returns catalogue (§9.2) · CIC consumer file segments (§10.2) · Core entities &amp; keys (§11) · External integrations (§12) · Day-count &amp; interest methods (§45.2–45.3) · Product↔method matrix (§45.4) · RTM (§48) · Regulatory obligations register (§49) · NFR catalogue &amp; control matrix (§50) · Entity-wise capital thresholds (§69.8) · Accounting-standards applicability (§70.1) · Common field library (§72.2).</w:t>
      </w:r>
    </w:p>
    <w:p>
      <w:pPr>
        <w:pStyle w:val="Heading1"/>
        <w:pageBreakBefore/>
      </w:pPr>
      <w:r>
        <w:t xml:space="preserve">1. System Architecture Overview</w:t>
      </w:r>
    </w:p>
    <w:p>
      <w:pPr>
        <w:pStyle w:val="Heading2"/>
      </w:pPr>
      <w:r>
        <w:t xml:space="preserve">1.1 Deployment Model</w:t>
      </w:r>
    </w:p>
    <w:p>
      <w:pPr>
        <w:spacing w:after="140"/>
      </w:pPr>
      <w:r>
        <w:t xml:space="preserve">The LMS is built as a multi-tenant, cloud-hosted SaaS web application. A single codebase and infrastructure stack serves the NBFC (and, if required in future, multiple group entities/branches of the same NBFC) through logically isolated tenant partitions. Access is entirely through a web browser (desktop and responsive mobile view); no client-side installation is required. A companion Progressive Web App (PWA) view is recommended for field staff (collections agents, gold appraisers, valuers) who need offline-capable data capture.</w:t>
      </w:r>
    </w:p>
    <w:p>
      <w:pPr>
        <w:spacing w:after="60" w:before="160"/>
      </w:pPr>
      <w:r>
        <w:rPr>
          <w:b/>
          <w:bCs/>
          <w:color w:val="1F4E78"/>
          <w:sz w:val="19"/>
          <w:szCs w:val="19"/>
        </w:rPr>
        <w:t xml:space="preserve">Table 1.1 — Deployment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Hosting Model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Multi-tenant SaaS, single application instance, tenant-partitioned data (schema-per-tenant or row-level tenant_id partitioning)</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Access Channel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Web application (browser-based), responsive design; optional PWA for field agents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Environments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Dev → QA/UAT → Staging → Production, with a separate DR (Disaster Recovery) environment</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Release Model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Independently deployable modules behind an API gateway; blue-green or canary releases to avoid downtime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Data Residency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All borrower and financial data hosted within India, per RBI data localisation norms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Availability Target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99.9% uptime for production; scheduled maintenance windows communicated in advance</w:t>
            </w:r>
          </w:p>
        </w:tc>
      </w:tr>
    </w:tbl>
    <w:p>
      <w:pPr>
        <w:pStyle w:val="Heading2"/>
      </w:pPr>
      <w:r>
        <w:t xml:space="preserve">1.2 Layered Architecture</w:t>
      </w:r>
    </w:p>
    <w:p>
      <w:pPr>
        <w:spacing w:after="140"/>
      </w:pPr>
      <w:r>
        <w:t xml:space="preserve">The system is organised into five logical layers. Each layer communicates with the one below it only through well-defined APIs, so that any layer's internal technology can be changed without breaking the others.</w:t>
      </w:r>
    </w:p>
    <w:p>
      <w:pPr>
        <w:spacing w:after="60" w:before="160"/>
      </w:pPr>
      <w:r>
        <w:rPr>
          <w:b/>
          <w:bCs/>
          <w:color w:val="1F4E78"/>
          <w:sz w:val="19"/>
          <w:szCs w:val="19"/>
        </w:rPr>
        <w:t xml:space="preserve">Table 1.2 —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1 — Presentation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Web portal for internal users (Admin, Credit, Ops, Collections, Finance, Compliance) and a separate Borrower Self-Service Portal/App (view statements, pay EMI, download documents, raise service requests)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2 — API Gateway &amp; Security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Single entry point for all requests; authentication (SSO/OTP/MFA), authorisation (RBAC), rate limiting, request logging, tenant routing</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3 — Application/Domain Services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Core business modules (see Section 1.3) — each module exposes REST/GraphQL APIs and owns its data</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4 — Data Layer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Transactional database (relational, e.g. product-agnostic RDBMS), document/object storage for scanned files, a reporting data mart/warehouse for MIS and regulatory extracts, and a search index for fast lookups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5 — Integration Layer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Adapters to external systems — credit bureaus, payment rails, KYC utilities, e-sign/e-stamp, GST network, RBI submission portal, SMS/Email/WhatsApp gateways (see Section 12)</w:t>
            </w:r>
          </w:p>
        </w:tc>
      </w:tr>
    </w:tbl>
    <w:p>
      <w:pPr>
        <w:spacing w:after="160"/>
      </w:pPr>
      <w:r>
        <w:rPr>
          <w:i/>
          <w:iCs/>
          <w:color w:val="555555"/>
          <w:sz w:val="19"/>
          <w:szCs w:val="19"/>
        </w:rPr>
        <w:t xml:space="preserve">The stack is intentionally described at the module/API/data-model level rather than tied to a specific programming language or framework, so the IT team can select technology (microservices or modular monolith, any modern RDBMS, any cloud provider) that fits their in-house skills, subject to the data-residency and security requirements in Sections 14–15.</w:t>
      </w:r>
    </w:p>
    <w:p>
      <w:pPr>
        <w:pStyle w:val="Heading2"/>
      </w:pPr>
      <w:r>
        <w:t xml:space="preserve">1.3 Core Module Inventory</w:t>
      </w:r>
    </w:p>
    <w:p>
      <w:pPr>
        <w:spacing w:after="60" w:before="160"/>
      </w:pPr>
      <w:r>
        <w:rPr>
          <w:b/>
          <w:bCs/>
          <w:color w:val="1F4E78"/>
          <w:sz w:val="19"/>
          <w:szCs w:val="19"/>
        </w:rPr>
        <w:t xml:space="preserve">Table 1.3 —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Module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Customer/Borrower Management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360° customer master, onboarding, KYC, relationship hierarchy (co-borrowers, guarantors, groups)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Product Configuration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Parameter-driven setup of new loan products without code changes — interest method, fee schedule, eligibility rules, document checklist, form fields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Origination System (LOS)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 → application → credit appraisal → sanction → agreement → disbursement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Underwriting &amp; Bureau</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 engine, scorecards, bureau pull, deviation/exception approvals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Management/Servicing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schedules, interest accrual, part-payment, foreclosure, restructuring, top-up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 &amp; Recovery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queues, PTP tracking, field collection app, legal/SARFAESI workflow, repossession/auction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Accounting &amp; General Ledger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Chart of accounts, auto journal posting, sub-ledgers, bank reconciliation, fixed assets, payables, financial statements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Regulatory Reporting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by SBR layer; generates statutory returns and CRILC/CIMS submissions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CIC / Bureau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data submission to CIBIL/Equifax/Experian/CRIF High Mark in Uniform Credit Reporting Format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Management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Central repository, e-sign/e-stamp integration, version control, retention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Communication/Notification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SMS, email, WhatsApp, in-app notices, statutory notice templates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MIS/Dashboards &amp; Reports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Portfolio, delinquency, collection efficiency, statutory, ad-hoc report builder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Admin, Security &amp; Audit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Role/branch/user management, audit trail, workflow/approval matrix configuration</w:t>
            </w:r>
          </w:p>
        </w:tc>
      </w:tr>
    </w:tbl>
    <w:p>
      <w:pPr>
        <w:pStyle w:val="Heading2"/>
      </w:pPr>
      <w:r>
        <w:t xml:space="preserve">1.4 User Roles &amp; Access Matrix</w:t>
      </w:r>
    </w:p>
    <w:p>
      <w:pPr>
        <w:spacing w:after="140"/>
      </w:pPr>
      <w:r>
        <w:t xml:space="preserve">Roles are configurable, but the platform should ship with the following baseline roles, each restricted by branch/region and by the modules in Table 1.3 they can access (read/write/approve).</w:t>
      </w:r>
    </w:p>
    <w:p>
      <w:pPr>
        <w:spacing w:after="60" w:before="160"/>
      </w:pPr>
      <w:r>
        <w:rPr>
          <w:b/>
          <w:bCs/>
          <w:color w:val="1F4E78"/>
          <w:sz w:val="19"/>
          <w:szCs w:val="19"/>
        </w:rPr>
        <w:t xml:space="preserve">Table 1.4 — Baseline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Role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 / Access Scope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Super Admin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Full system configuration, tenant settings, user/role management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Branch/Ops Manager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Branch-level operations, staff allocation, escalation handling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Sales/Relationship Officer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 application data entry, document collection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Credit/Underwriting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appraisal, bureau review, sanction recommendation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Approver (tiered)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 approval within delegated authority (DOA matrix by amount/product)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Operations/Disbursement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Post-sanction documentation, disbursement processing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Collections Officer/Agent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Bucket-wise collection follow-up, field visit logging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Recovery/Legal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Legal notices, SARFAESI action, auction/repossession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Finance/Accounts Officer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entries, reconciliation, financial statement generation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Compliance/Regulatory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returns, CIC submissions, audit trail review</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Statutory/Internal Auditor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Read-only access across modules with export rights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(self-service)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View own loan(s), download statements/NOC, pay EMI, raise requests</w:t>
            </w:r>
          </w:p>
        </w:tc>
      </w:tr>
    </w:tbl>
    <w:p>
      <w:pPr>
        <w:pStyle w:val="Heading1"/>
        <w:pageBreakBefore/>
      </w:pPr>
      <w:r>
        <w:t xml:space="preserve">2. Borrower Onboarding — Types &amp; Forms</w:t>
      </w:r>
    </w:p>
    <w:p>
      <w:pPr>
        <w:spacing w:after="140"/>
      </w:pPr>
      <w:r>
        <w:t xml:space="preserve">The onboarding form set is driven by “Applicant Type” selected at lead-creation. Selecting a type dynamically renders the correct field set below via the Product/Applicant Configuration Engine (Section 1.3) — fields are not hard-coded per screen so new entity types can be added by configuration.</w:t>
      </w:r>
    </w:p>
    <w:p>
      <w:pPr>
        <w:pStyle w:val="Heading3"/>
      </w:pPr>
      <w:r>
        <w:t xml:space="preserve">2.1 Individual — Salaried</w:t>
      </w:r>
    </w:p>
    <w:p>
      <w:pPr>
        <w:spacing w:after="160"/>
      </w:pPr>
      <w:r>
        <w:rPr>
          <w:i/>
          <w:iCs/>
          <w:color w:val="555555"/>
          <w:sz w:val="19"/>
          <w:szCs w:val="19"/>
        </w:rPr>
        <w:t xml:space="preserve">Applicant Type = INDIVIDUAL_SALARIED</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Title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Mr/Mrs/Ms/Dr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First / Middle / Last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per PAN &amp; Aadhaar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Gender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Male/Female/Third Gender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Birth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Age check per product policy (typically 21–60/65 yrs)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Father's / Spouse's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Marital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Format AAAAA9999A; NSDL verification API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Numeric(12), masked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eKYC/XML offline verification or Aadhaar-based e-Sign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Mobile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OTP verified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if digital statements opted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Current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 block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Line1, Line2, Landmark, City, District, State, Pincode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Permanent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block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Skip if same as current (checkbox)</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Residence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Owned/Rented/Parental/Company-provided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Years at Current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Category (optional govt scheme)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General/OBC/SC/ST/EWS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Politically Exposed Person (PEP)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PMLA/RBI KYC Master Direction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Photograph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Live capture recommended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Signature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 / 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Customer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Auto-links to existing 360° customer profile if matched</w:t>
            </w:r>
          </w:p>
        </w:tc>
      </w:tr>
    </w:tbl>
    <w:p>
      <w:pPr>
        <w:spacing w:after="60" w:before="160"/>
      </w:pPr>
      <w:r>
        <w:rPr>
          <w:b/>
          <w:bCs/>
          <w:color w:val="1F4E78"/>
          <w:sz w:val="19"/>
          <w:szCs w:val="19"/>
        </w:rPr>
        <w:t xml:space="preserve">Employment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Employer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Employer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Government/PSU/Private/MNC/Partnership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Designation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Employee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of Joining (current employer)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Work Experience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Gross Monthly Salary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Monthly Salary (in-hand)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Used for FOIR/eligibility calculation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Salary Credit Mode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 transfer/Cash</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Salary Account Bank &amp; Branch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Office Address &amp; Phone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Latest 3 Payslips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 16 / Last 2 years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 per product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 Statement (6–12 months, salary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2.2 Individual — Self-Employed Professional</w:t>
      </w:r>
    </w:p>
    <w:p>
      <w:pPr>
        <w:spacing w:after="160"/>
      </w:pPr>
      <w:r>
        <w:rPr>
          <w:i/>
          <w:iCs/>
          <w:color w:val="555555"/>
          <w:sz w:val="19"/>
          <w:szCs w:val="19"/>
        </w:rPr>
        <w:t xml:space="preserve">Applicant Type = INDIVIDUAL_SELF_EMPLOYED_PROFESSIONAL</w:t>
      </w:r>
    </w:p>
    <w:p>
      <w:pPr>
        <w:spacing w:after="140"/>
      </w:pPr>
      <w:r>
        <w:t xml:space="preserve">Doctors, Chartered Accountants, Architects, Lawyers, Company Secretaries, Consultants etc.</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base KYC fields as 2.1)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DOB, PAN, Aadhaar, Address, Mobile, Email, Photo, Signature</w:t>
            </w:r>
          </w:p>
        </w:tc>
      </w:tr>
    </w:tbl>
    <w:p>
      <w:pPr>
        <w:spacing w:after="60" w:before="160"/>
      </w:pPr>
      <w:r>
        <w:rPr>
          <w:b/>
          <w:bCs/>
          <w:color w:val="1F4E78"/>
          <w:sz w:val="19"/>
          <w:szCs w:val="19"/>
        </w:rPr>
        <w:t xml:space="preserve">Profession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Profession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Doctor/CA/CS/Architect/Lawyer/Consultant/Other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Highest Qualification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Professional Registration/License No.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MCI/ICAI/COA/Bar Council number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Authority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Years in Practice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Practice/Clinic/Firm Name &amp;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Professional Income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 per latest ITR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ITR — Last 3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 computation of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Registration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professionals above GST threshold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 Statement (12 months, practice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2.3 Individual — Self-Employed Non-Professional / Business Owner</w:t>
      </w:r>
    </w:p>
    <w:p>
      <w:pPr>
        <w:spacing w:after="160"/>
      </w:pPr>
      <w:r>
        <w:rPr>
          <w:i/>
          <w:iCs/>
          <w:color w:val="555555"/>
          <w:sz w:val="19"/>
          <w:szCs w:val="19"/>
        </w:rPr>
        <w:t xml:space="preserve">Applicant Type = INDIVIDUAL_BUSINESS_OWNER</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base KYC fields as 2.1)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DOB, PAN, Aadhaar, Address, Mobile, Email, Photo, Signature</w:t>
            </w:r>
          </w:p>
        </w:tc>
      </w:tr>
    </w:tbl>
    <w:p>
      <w:pPr>
        <w:spacing w:after="60" w:before="160"/>
      </w:pPr>
      <w:r>
        <w:rPr>
          <w:b/>
          <w:bCs/>
          <w:color w:val="1F4E78"/>
          <w:sz w:val="19"/>
          <w:szCs w:val="19"/>
        </w:rPr>
        <w:t xml:space="preserve">Business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Business/Trade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Constitution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Links to entity forms 2.4–2.8 if not proprietorship-in-own-name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Nature of Business / Industry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NIC code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Business Vintage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vintage per product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GSTN verification API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Udyam/MSME Registration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 portal verification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Turnover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Last audited/filed year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Profit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ITR — Last 3 Years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 Returns (GSTR-1/3B, 12 months)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 of Employees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 Bank Statement (12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2.4 Sole Proprietorship</w:t>
      </w:r>
    </w:p>
    <w:p>
      <w:pPr>
        <w:spacing w:after="160"/>
      </w:pPr>
      <w:r>
        <w:rPr>
          <w:i/>
          <w:iCs/>
          <w:color w:val="555555"/>
          <w:sz w:val="19"/>
          <w:szCs w:val="19"/>
        </w:rPr>
        <w:t xml:space="preserve">Applicant Type = ENTITY_SOLE_PROPRIETORSHIP</w:t>
      </w:r>
    </w:p>
    <w:p>
      <w:pPr>
        <w:spacing w:after="140"/>
      </w:pPr>
      <w:r>
        <w:t xml:space="preserve">Captured in addition to the Proprietor's individual KYC (2.1–2.3).</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Firm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 PAN (or Proprietor PAN)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 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of Commencement of Business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Registered/Trading Office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Trade License / Shop &amp; Establishment Certificate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Firm's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Penny-drop verified</w:t>
            </w:r>
          </w:p>
        </w:tc>
      </w:tr>
    </w:tbl>
    <w:p>
      <w:pPr>
        <w:spacing w:after="100"/>
      </w:pPr>
    </w:p>
    <w:p>
      <w:pPr>
        <w:pStyle w:val="Heading3"/>
      </w:pPr>
      <w:r>
        <w:t xml:space="preserve">2.5 Partnership Firm / LLP</w:t>
      </w:r>
    </w:p>
    <w:p>
      <w:pPr>
        <w:spacing w:after="160"/>
      </w:pPr>
      <w:r>
        <w:rPr>
          <w:i/>
          <w:iCs/>
          <w:color w:val="555555"/>
          <w:sz w:val="19"/>
          <w:szCs w:val="19"/>
        </w:rPr>
        <w:t xml:space="preserve">Applicant Type = ENTITY_PARTNERSHIP_LLP</w:t>
      </w:r>
    </w:p>
    <w:p>
      <w:pPr>
        <w:spacing w:after="140"/>
      </w:pPr>
      <w:r>
        <w:t xml:space="preserve">Each partner/designated partner additionally completes the Individual KYC form (2.1–2.3).</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Firm / LLP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PAN of Firm/LLP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LLPIN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Mandatory if LLP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Partnership Deed / Incorporation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Nature of Business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Partners/Designated Partners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PAN, DIN (if LLP), Address, Profit-Share %, Designation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Partnership Deed / LLP Agreement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Authorised Signatory &amp; Specimen Signature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Partner Resolution/Consent to Borrow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Firm's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Financial Statements — Last 3 Years (audited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2.6 Private / Public Limited Company</w:t>
      </w:r>
    </w:p>
    <w:p>
      <w:pPr>
        <w:spacing w:after="160"/>
      </w:pPr>
      <w:r>
        <w:rPr>
          <w:i/>
          <w:iCs/>
          <w:color w:val="555555"/>
          <w:sz w:val="19"/>
          <w:szCs w:val="19"/>
        </w:rPr>
        <w:t xml:space="preserve">Applicant Type = ENTITY_COMPANY</w:t>
      </w:r>
    </w:p>
    <w:p>
      <w:pPr>
        <w:spacing w:after="140"/>
      </w:pPr>
      <w:r>
        <w:t xml:space="preserve">Each director/authorised signatory additionally completes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Company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Alphanumeric(21)</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MCA verification API</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of Company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Incorporation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Office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Corporate/Operating Office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Industry / NIC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Authorised &amp; Paid-up Share Capital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Directors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DIN, PAN, Address, Shareholding %</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Shareholders holding ≥ 10% (UBO)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Beneficial ownership per PMLA Rules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Certificate of Incorporation, MOA &amp; AOA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Board Resolution authorising the borrowing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Authorised Signatories &amp; Specimen Signatures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Company's Bank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Audited Financial Statements — Last 3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Balance Sheet, P&amp;L, Notes, Auditor's Report</w:t>
            </w:r>
          </w:p>
        </w:tc>
      </w:tr>
    </w:tbl>
    <w:p>
      <w:pPr>
        <w:spacing w:after="100"/>
      </w:pPr>
    </w:p>
    <w:p>
      <w:pPr>
        <w:pStyle w:val="Heading3"/>
      </w:pPr>
      <w:r>
        <w:t xml:space="preserve">2.7 Hindu Undivided Family (HUF)</w:t>
      </w:r>
    </w:p>
    <w:p>
      <w:pPr>
        <w:spacing w:after="160"/>
      </w:pPr>
      <w:r>
        <w:rPr>
          <w:i/>
          <w:iCs/>
          <w:color w:val="555555"/>
          <w:sz w:val="19"/>
          <w:szCs w:val="19"/>
        </w:rPr>
        <w:t xml:space="preserve">Applicant Type = ENTITY_HUF</w:t>
      </w:r>
    </w:p>
    <w:p>
      <w:pPr>
        <w:spacing w:after="140"/>
      </w:pPr>
      <w:r>
        <w:t xml:space="preserve">Karta additionally completes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HUF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PAN of HUF</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Karta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Karta's individual KYC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Coparceners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PAN, Relationship, Share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HUF Deed / Declaration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HUF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2.8 Trust / Society / Section 8 Company</w:t>
      </w:r>
    </w:p>
    <w:p>
      <w:pPr>
        <w:spacing w:after="160"/>
      </w:pPr>
      <w:r>
        <w:rPr>
          <w:i/>
          <w:iCs/>
          <w:color w:val="555555"/>
          <w:sz w:val="19"/>
          <w:szCs w:val="19"/>
        </w:rPr>
        <w:t xml:space="preserve">Applicant Type = ENTITY_TRUST_SOCIETY</w:t>
      </w:r>
    </w:p>
    <w:p>
      <w:pPr>
        <w:spacing w:after="140"/>
      </w:pPr>
      <w:r>
        <w:t xml:space="preserve">Trustees/Managing Committee members additionally complete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Number &amp; Act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Indian Trusts Act / Societies Registration Act / Companies Act (Sec. 8)</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Trust Deed / MOA / Bye-laws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Trustees / Managing Committee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PAN, Address, Designation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12A / 80G Registration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applicable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FCRA Registration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Mandatory if receiving foreign contributions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2.9 Co-Borrower / Guarantor</w:t>
      </w:r>
    </w:p>
    <w:p>
      <w:pPr>
        <w:spacing w:after="160"/>
      </w:pPr>
      <w:r>
        <w:rPr>
          <w:i/>
          <w:iCs/>
          <w:color w:val="555555"/>
          <w:sz w:val="19"/>
          <w:szCs w:val="19"/>
        </w:rPr>
        <w:t xml:space="preserve">Applicant Type = CO_BORROWER / GUARANTOR</w:t>
      </w:r>
    </w:p>
    <w:p>
      <w:pPr>
        <w:spacing w:after="140"/>
      </w:pPr>
      <w:r>
        <w:t xml:space="preserve">Completed for every co-applicant and guarantor linked to a loan account, in addition to their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Relationship to Primary Applicant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Spouse/Parent/Sibling/Business Partner/Third-party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Co-Borrower (jointly liable) / Guarantor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Guarantee Amount /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role = Guarantor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Same as 2.1/2.2/2.3</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per applicant type of the co-borrower/guarantor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Consent &amp; e-Sign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Digital signature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Aadhaar e-Sign or DSC</w:t>
            </w:r>
          </w:p>
        </w:tc>
      </w:tr>
    </w:tbl>
    <w:p>
      <w:pPr>
        <w:spacing w:after="100"/>
      </w:pPr>
    </w:p>
    <w:p>
      <w:pPr>
        <w:pStyle w:val="Heading3"/>
      </w:pPr>
      <w:r>
        <w:t xml:space="preserve">2.10 JLG / SHG Group Borrower (Microfinance)</w:t>
      </w:r>
    </w:p>
    <w:p>
      <w:pPr>
        <w:spacing w:after="160"/>
      </w:pPr>
      <w:r>
        <w:rPr>
          <w:i/>
          <w:iCs/>
          <w:color w:val="555555"/>
          <w:sz w:val="19"/>
          <w:szCs w:val="19"/>
        </w:rPr>
        <w:t xml:space="preserve">Applicant Type = GROUP_JLG_SHG</w:t>
      </w:r>
    </w:p>
    <w:p>
      <w:pPr>
        <w:spacing w:after="140"/>
      </w:pPr>
      <w:r>
        <w:t xml:space="preserve">Used for the Microfinance product (Section 3.8). Each member additionally completes the Individual KYC form (2.1–2.3, simplified).</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Name &amp;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Village / Center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Center Meeting Day &amp;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Weekly/Fortnightly/Monthly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Formation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Leader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member ID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Members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KYC ID, Aadhaar, Individual Loan Amount, Guarantee Acceptance flag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Recognition Test (GRT) Result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Compulsory Group Training (CGT) Completion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SHG Bank-Linkage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SHG is bank-linked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NGO/Facilitator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2.11 KYC Risk Categorization &amp; Periodic Re-KYC</w:t>
      </w:r>
    </w:p>
    <w:p>
      <w:pPr>
        <w:spacing w:after="160"/>
      </w:pPr>
      <w:r>
        <w:rPr>
          <w:i/>
          <w:iCs/>
          <w:color w:val="555555"/>
          <w:sz w:val="19"/>
          <w:szCs w:val="19"/>
        </w:rPr>
        <w:t xml:space="preserve">Applies as an overlay on every borrower type in 2.1–2.10, per the RBI Master Direction on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Risk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 (system + manual override)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Low / Medium / High — auto-scored from occupation, income source, PEP status, geography, product type, and transaction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Risk Scoring Rationale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log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Captures the factors that drove the score, for audit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Re-KYC Due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(auto-computed)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Low risk: 10 years; Medium risk: 8 years; High risk: 2 years from last KYC update, per regulatory cycle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Re-KYC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Pending/Due/Overdue/Completed — drives an automated reminder workflow</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Simplified/Small Account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small-value accounts eligible for simplified KYC norms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Enhanced Due Diligence (EDD) Trigger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 + 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Auto-triggered for High-risk/PEP customers; routes to Compliance for additional documentation</w:t>
            </w:r>
          </w:p>
        </w:tc>
      </w:tr>
    </w:tbl>
    <w:p>
      <w:pPr>
        <w:spacing w:after="200"/>
      </w:pPr>
    </w:p>
    <w:p>
      <w:pPr>
        <w:pStyle w:val="Heading1"/>
        <w:pageBreakBefore/>
      </w:pPr>
      <w:r>
        <w:t xml:space="preserve">3. Loan Product Catalog &amp; Product-Specific Forms</w:t>
      </w:r>
    </w:p>
    <w:p>
      <w:pPr>
        <w:spacing w:after="140"/>
      </w:pPr>
      <w:r>
        <w:t xml:space="preserve">Every product below is configured through the Product Configuration Engine (Section 1.3), which stores product parameters and dynamically renders the correct application-form field set, collateral fields, document checklist, and approval workflow. This lets Operations add a new loan product/variant without a code release — the IT team only needs to build the engine once.</w:t>
      </w:r>
    </w:p>
    <w:p>
      <w:pPr>
        <w:pStyle w:val="Heading2"/>
      </w:pPr>
      <w:r>
        <w:t xml:space="preserve">3.1 Loan Against Securities (LAS)</w:t>
      </w:r>
    </w:p>
    <w:p>
      <w:pPr>
        <w:spacing w:after="160"/>
      </w:pPr>
      <w:r>
        <w:rPr>
          <w:i/>
          <w:iCs/>
          <w:color w:val="555555"/>
          <w:sz w:val="19"/>
          <w:szCs w:val="19"/>
        </w:rPr>
        <w:t xml:space="preserve">Product Code: LAS</w:t>
      </w:r>
    </w:p>
    <w:p>
      <w:pPr>
        <w:spacing w:after="140"/>
      </w:pPr>
      <w:r>
        <w:t xml:space="preserve">An overdraft/term facility secured by a pledge/lien over the borrower's demat holdings (equity shares, mutual fund units, bonds, ETFs, insurance policies).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Security Categories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Equity/Mutual Funds/Bonds/ETFs/Insurance Policies/Sovereign Gold Bonds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Approved Securities Master (ISIN list)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Maintained centrally with per-ISIN LTV/haircut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 by Security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Equity 50%, Debt MF 80–90%, per RBI/internal risk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Facility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Overdraft (revolving) / Term Loan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reducing balance on utilised amount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Min/Max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range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 Renewal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annual renewal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Margin Call Trigger %</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shortfall notice when drawing power falls below 5–10% cushion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Processing Fee / Renewal Fee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Section 2 onboarding record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Demat Account Number &amp; DP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NSDL/CDSL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Securities to be Pledged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ISIN, Security Name, Quantity, Last Traded Price,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Purpose of Loan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Investment/Business/Personal (end-use monitored)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Lien on These Securities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Cross-checked with depository lien records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Disbursement/Interest-Debit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Penny-drop verified</w:t>
            </w:r>
          </w:p>
        </w:tc>
      </w:tr>
    </w:tbl>
    <w:p>
      <w:pPr>
        <w:pStyle w:val="Heading4"/>
      </w:pPr>
      <w:r>
        <w:rPr>
          <w:i/>
          <w:iCs/>
        </w:rPr>
        <w:t xml:space="preserve">Security Pledge &amp; Margin Monitoring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Pledge Request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System-generated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Raised with depository (NSDL SPEED-e / CDSL Easiest)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Pledge Confirmation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Pending/Confirmed/Rejected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Haircut / LTV Applied per ISIN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From Approved Securities Master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NAV/Price Feed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daily drawing-power revaluation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Margin Shortfall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Shortfall Amount, Notice Date, Cure Period, Invocation Status</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&amp; Review/Renewal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of Interest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Benchmark + spread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Drawing Power (auto-computed daily)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Sum of (Security Value × LTV) across pledged ISINs</w:t>
            </w:r>
          </w:p>
        </w:tc>
      </w:tr>
    </w:tbl>
    <w:p>
      <w:pPr>
        <w:spacing w:after="200"/>
      </w:pPr>
    </w:p>
    <w:p>
      <w:pPr>
        <w:pStyle w:val="Heading2"/>
      </w:pPr>
      <w:r>
        <w:t xml:space="preserve">3.2 Smart Credit Line (Digital Revolving Credit Line)</w:t>
      </w:r>
    </w:p>
    <w:p>
      <w:pPr>
        <w:spacing w:after="160"/>
      </w:pPr>
      <w:r>
        <w:rPr>
          <w:i/>
          <w:iCs/>
          <w:color w:val="555555"/>
          <w:sz w:val="19"/>
          <w:szCs w:val="19"/>
        </w:rPr>
        <w:t xml:space="preserve">Product Code: SCL</w:t>
      </w:r>
    </w:p>
    <w:p>
      <w:pPr>
        <w:spacing w:after="140"/>
      </w:pPr>
      <w:r>
        <w:t xml:space="preserve">A pre-approved or bureau/API-underwritten revolving credit line with instant digital drawdown; interest charged only on the utilised amount.</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Line Limit Slabs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By customer segment/risk grade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Basis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reducing, on utilised amount only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Billing Cycle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(days)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monthly statement cycle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Amount Due %</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Auto-Renewal Terms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review trigger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Withdrawal Channels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 App/UPI/Virtual Card/Net-Banking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Convert-to-EMI Option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Allows converting a drawdown to fixed-tenure EMI</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Eligibility Inputs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score, income/turnover, existing obligations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e-Mandate for Auto-Debit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e-NACH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repayment bank account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Preferred Withdrawal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Utilisation &amp; Statement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Approved Limit / Available Limit / Utilised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Real-time computed fields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Draw-down Record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Amount, Purpose, EMI-conversion Tenure (if chosen)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Statement Generation Cycle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Date/Recurring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Amount Due &amp; Due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3.3 Loan Against Property (LAP)</w:t>
      </w:r>
    </w:p>
    <w:p>
      <w:pPr>
        <w:spacing w:after="160"/>
      </w:pPr>
      <w:r>
        <w:rPr>
          <w:i/>
          <w:iCs/>
          <w:color w:val="555555"/>
          <w:sz w:val="19"/>
          <w:szCs w:val="19"/>
        </w:rPr>
        <w:t xml:space="preserve">Product Code: LAP</w:t>
      </w:r>
    </w:p>
    <w:p>
      <w:pPr>
        <w:spacing w:after="140"/>
      </w:pPr>
      <w:r>
        <w:t xml:space="preserve">A secured term loan against mortgage of residential, commercial, or industrial property.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Property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Residential/Commercial/Industrial/Land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 by Property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up to 15 years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End-Uses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Business Expansion/Working Capital/Personal/Debt Consolidation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Type Permitted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 Equitable Mortgage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Address &amp; Survey/Plot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Ownership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Freehold/Leasehold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Built-up / Carpet Area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(sq.ft.)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Encumbrance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Details of any existing charge/mortgage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Owner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Applicant/Co-applicant/Third-party Mortgagor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 of Loan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Preferred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Title Deed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Chain of title documents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Title Search &amp; Legal Opinion 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From empanelled advocate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Valuer Name, Valuation Date, Fair Market Value, Realisable Value, Distress Value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Photographs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Encumbrance Certificate (EC)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 covered (13/30 years)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CERSAI 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registration of security interest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Type Executed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Registered/Equitable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Insurance Policy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Site Inspection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Sanctioned Amount vs. Property Value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Full / Staged (for under-construction/renovation)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 Schedule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 %, Amount, Trigger Condition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Registration/Stamp Duty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EMI Start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3.4 Gold Loan</w:t>
      </w:r>
    </w:p>
    <w:p>
      <w:pPr>
        <w:spacing w:after="160"/>
      </w:pPr>
      <w:r>
        <w:rPr>
          <w:i/>
          <w:iCs/>
          <w:color w:val="555555"/>
          <w:sz w:val="19"/>
          <w:szCs w:val="19"/>
        </w:rPr>
        <w:t xml:space="preserve">Product Code: GL</w:t>
      </w:r>
    </w:p>
    <w:p>
      <w:pPr>
        <w:spacing w:after="140"/>
      </w:pPr>
      <w:r>
        <w:t xml:space="preserve">A short-tenure loan secured by pledge of gold ornaments/coins, appraised in-branch.</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Per-Gram Rate Table by Purity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18K/20K/22K/24K, updated per prevailing gold price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Cap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RBI-prescribed ceiling on loan value per gram of gold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Options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up to 12 months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Scheme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 interest-servicing / Bullet repayment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Policy Parameters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Notice period, reserve price basis, auction frequency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Optional for gold loans</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Ornament Details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 Description, Gross Weight, Net Weight (ex-stones/wax), Purity/Karat, No. of Pieces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Appraiser Name &amp; Certification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in-house/external appraiser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Appraised Value per Item / Total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 from purity rate table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Photograph of Ornaments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Pledge/Packet Card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System-generated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Unique per pledge packet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Vault/Strong-room Location &amp; Rack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Physical custody tracking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CCTV Recording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Timestamp/camera ID at appraisal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 of Pledged Ornaments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covering vault holdings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Clause Acknowledgement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e-sign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consent at loan agreement stage</w:t>
            </w:r>
          </w:p>
        </w:tc>
      </w:tr>
    </w:tbl>
    <w:p>
      <w:pPr>
        <w:pStyle w:val="Heading4"/>
      </w:pPr>
      <w:r>
        <w:rPr>
          <w:i/>
          <w:iCs/>
        </w:rPr>
        <w:t xml:space="preserve">Redemption &amp; Auction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Redemption Date &amp; Amount Paid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Item Return Receipt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acknowledgement on release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Notice Date / Auction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 default beyond policy period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Reserve Price / Sale Price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Surplus/Shortfall 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Refund of surplus or shortfall recovery notice to borrower</w:t>
            </w:r>
          </w:p>
        </w:tc>
      </w:tr>
    </w:tbl>
    <w:p>
      <w:pPr>
        <w:spacing w:after="200"/>
      </w:pPr>
    </w:p>
    <w:p>
      <w:pPr>
        <w:pStyle w:val="Heading2"/>
      </w:pPr>
      <w:r>
        <w:t xml:space="preserve">3.5 Unsecured Personal / Business Loan</w:t>
      </w:r>
    </w:p>
    <w:p>
      <w:pPr>
        <w:spacing w:after="160"/>
      </w:pPr>
      <w:r>
        <w:rPr>
          <w:i/>
          <w:iCs/>
          <w:color w:val="555555"/>
          <w:sz w:val="19"/>
          <w:szCs w:val="19"/>
        </w:rPr>
        <w:t xml:space="preserve">Product Code: PL / BL-UNSEC</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Risk-Based Pricing Slabs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of interest by bureau score/risk grade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Max Ticket Size (unsecured cap)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internal risk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Foreclosure/Prepayment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Amount Requested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Personal: Medical/Travel/Wedding/Education/Debt-consolidation; Business: Working Capital/Expansion/Equipment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Employment/Business Details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Linked to Section 2 form used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Loan Obligations (other EMIs)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FOIR calculation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 (2)</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Relationship, Contact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e-NACH Mandate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e-Mandate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Underwriting Computation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FOIR (Fixed Obligation to Income Ratio)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Score &amp; Risk Grade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at underwriting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Approved Rate (basis Risk Grade)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3.6 Vehicle / Two-Wheeler Loan</w:t>
      </w:r>
    </w:p>
    <w:p>
      <w:pPr>
        <w:spacing w:after="160"/>
      </w:pPr>
      <w:r>
        <w:rPr>
          <w:i/>
          <w:iCs/>
          <w:color w:val="555555"/>
          <w:sz w:val="19"/>
          <w:szCs w:val="19"/>
        </w:rPr>
        <w:t xml:space="preserve">Product Code: VL / TW</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Vehicle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New Car/Used Car/Two-Wheeler/Commercial Vehicle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 by Vehicle Age (new/used)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by Vehicle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Tie-up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dealer codes and commission terms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Type/Make/Model/Variant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Ex-showroom / On-road Price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Name &amp; Code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Number &amp;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Down Payment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Amount Requested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Chassis Number / Engine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Captured post-RTO registration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RC Copy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 Policy Number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Comprehensive cover with lender as loss payee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Endorsement Status (RTO)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Pending/Confirmed via Vahan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Vahan Verification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API check against MoRTH Vahan database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Used-Vehicle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pre-owned vehicles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Previous Owner Details / Prior Loan Closure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pre-owned, previously financed vehicles</w:t>
            </w:r>
          </w:p>
        </w:tc>
      </w:tr>
    </w:tbl>
    <w:p>
      <w:pPr>
        <w:spacing w:after="200"/>
      </w:pPr>
    </w:p>
    <w:p>
      <w:pPr>
        <w:pStyle w:val="Heading2"/>
      </w:pPr>
      <w:r>
        <w:t xml:space="preserve">3.7 Supply Chain Finance / Invoice Discounting</w:t>
      </w:r>
    </w:p>
    <w:p>
      <w:pPr>
        <w:spacing w:after="160"/>
      </w:pPr>
      <w:r>
        <w:rPr>
          <w:i/>
          <w:iCs/>
          <w:color w:val="555555"/>
          <w:sz w:val="19"/>
          <w:szCs w:val="19"/>
        </w:rPr>
        <w:t xml:space="preserve">Product Code: SCF / ID</w:t>
      </w:r>
    </w:p>
    <w:p>
      <w:pPr>
        <w:spacing w:after="140"/>
      </w:pPr>
      <w:r>
        <w:t xml:space="preserve">Working-capital financing to vendors/dealers of an anchor corporate, against confirmed invoices/purchase orders.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Anchor Corporate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Buyer/Seller onboarded with program limit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Program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Financing/Vendor Financing/Invoice Discounting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Discounting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Recourse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 Recourse/Without Recourse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Program Limit (Anchor-wide)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(Vendor/Dealer)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Uses relevant entity form from Section 2</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Anchor Corporate Name &amp; 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Relationship with Anchor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Vendor/Dealer/Distributor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Trade History with Anchor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Years of relationship, average monthly trade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Invoice/PO Details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 No., Date, Amount, Due Date, Buyer Confirmation Status, GST e-invoice IRN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Financing Bank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Invoice Servicing &amp; Reconciliation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Invoice-wise Advance Given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Discounting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from Anchor/Buyer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Overdue Invoice Tracking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Anchor Confirmation/Acceptance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 must digitally confirm invoice before disbursal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 e-Invoice IRN Validation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Cross-check against GSTN Invoice Registration Portal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TReDS Reference (if routed via TReDS)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3.8 Microfinance — JLG / SHG Group Loan</w:t>
      </w:r>
    </w:p>
    <w:p>
      <w:pPr>
        <w:spacing w:after="160"/>
      </w:pPr>
      <w:r>
        <w:rPr>
          <w:i/>
          <w:iCs/>
          <w:color w:val="555555"/>
          <w:sz w:val="19"/>
          <w:szCs w:val="19"/>
        </w:rPr>
        <w:t xml:space="preserve">Product Code: MFI</w:t>
      </w:r>
    </w:p>
    <w:p>
      <w:pPr>
        <w:spacing w:after="140"/>
      </w:pPr>
      <w:r>
        <w:t xml:space="preserve">Collateral-free group-guaranteed loans to low-income households, disbursed to individual members within a Joint Liability Group (JLG) or Self-Help Group (SHG), per RBI's microfinance loan regulations.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Qualifying Asset Criteria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Household annual income cap and per-borrower total indebtedness cap, per RBI Master Direction on Microfinance Loans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Limit per Member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indebtedness cap, aggregated across all lenders via bureau check</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Board-approved pricing policy filed with RBI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Weekly/Fortnightly/Monthly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Size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Section 2.10 group onboarding record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Member Individual KYC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Household Income Declaration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income sources of the household, used for indebtedness check</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Existing Microfinance Loans (Other Lenders)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via bureau microfinance segment to verify indebtedness cap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 (Income-Generating Activity)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Guarantee Acceptance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Group Servicing &amp; Field-Monitoring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Center Meeting Attendance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Insurance (Credit Life)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Post-Disbursement Utilisation Check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Field visit confirming loan used for stated purpose</w:t>
            </w:r>
          </w:p>
        </w:tc>
      </w:tr>
    </w:tbl>
    <w:p>
      <w:pPr>
        <w:spacing w:after="200"/>
      </w:pPr>
    </w:p>
    <w:p>
      <w:pPr>
        <w:pStyle w:val="Heading2"/>
      </w:pPr>
      <w:r>
        <w:t xml:space="preserve">3.9 Government Scheme-Linked Loans (Cross-Product Overlay)</w:t>
      </w:r>
    </w:p>
    <w:p>
      <w:pPr>
        <w:spacing w:after="140"/>
      </w:pPr>
      <w:r>
        <w:t xml:space="preserve">Several products in Sections 3.1–3.8 may be originated under a government credit-guarantee or subsidy scheme. Rather than a separate product, this is an overlay flag-set applied to the relevant application form, so any product can be tagged as scheme-linked without a new product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Mudra (Shishu/Kishor/Tarun), CGTMSE, PMEGP, Stand-Up India, PM Vishwakarma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Scheme Reference/Application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Portal-issued reference number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Guarantee Cover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Where a credit-guarantee trust (e.g., CGTMSE) covers part of the exposure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Subsidy/Interest Subvention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Tracked separately for claim filing with the nodal agency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 Eligibility Checklist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Checklist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Scheme-specific eligibility criteria (borrower category, loan size cap, end-use)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Nodal Agency Claim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Tracks subsidy/guarantee claim lodged with the scheme's nodal agency/trust</w:t>
            </w:r>
          </w:p>
        </w:tc>
      </w:tr>
    </w:tbl>
    <w:p>
      <w:pPr>
        <w:spacing w:after="200"/>
      </w:pPr>
    </w:p>
    <w:p>
      <w:pPr>
        <w:pStyle w:val="Heading2"/>
      </w:pPr>
      <w:r>
        <w:t xml:space="preserve">3.10 Factoring (Recourse &amp; Non-Recourse) — NBFC-Factor</w:t>
      </w:r>
    </w:p>
    <w:p>
      <w:pPr>
        <w:spacing w:after="160"/>
      </w:pPr>
      <w:r>
        <w:rPr>
          <w:i/>
          <w:iCs/>
          <w:color w:val="555555"/>
          <w:sz w:val="19"/>
          <w:szCs w:val="19"/>
        </w:rPr>
        <w:t xml:space="preserve">Product Code: FACT</w:t>
      </w:r>
    </w:p>
    <w:p>
      <w:pPr>
        <w:spacing w:after="140"/>
      </w:pPr>
      <w:r>
        <w:t xml:space="preserve">Purchase of a seller's trade receivables at a discount, governed by the Factoring Regulation Act, 2011 (as amended in 2021). Requires the NBFC to be registered as an NBFC-Factor (or to hold a factoring licence bundled with its NBFC-ICC registration) and every assignment to be filed with the Central Registry (CERSAI) within the prescribed timeline.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Recourse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Recourse (seller repays on buyer default) / Non-Recourse (financier bears default risk, priced higher)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Typically 75–90% of invoice value paid upfront; balance on collection, less discount charges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Discount/Factoring Charge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 p.a.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Charged on the advance for the period until collection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Buyer/Debtor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Whitelisted buyers whose receivables are eligible, with buyer-wise credit limits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Notification Requirement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Whether the buyer/debtor must be notified of the assignment (disclosed factoring) or not (undisclosed)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Seller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 form from Section 2.4–2.8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Buyer/Debtor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GSTIN, credit limit requested against this buyer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Invoice(s) to be Factored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No., Date, Amount, Due Date, GST e-invoice IRN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Trade History with Buyer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Vintage of relationship, average monthly billing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Facility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Assignment, Collection &amp; Recourse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Filing Reference (Central Registry)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Filed within statutory timeline per the Factoring Regulation Act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 Acceptance/Confirmation (if disclosed)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Amount collected from buyer vs. advance recovered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Recourse Invocation (if applicable)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Triggers repayment demand to the seller on buyer default</w:t>
            </w:r>
          </w:p>
        </w:tc>
      </w:tr>
    </w:tbl>
    <w:p>
      <w:pPr>
        <w:spacing w:after="200"/>
      </w:pPr>
    </w:p>
    <w:p>
      <w:pPr>
        <w:pStyle w:val="Heading2"/>
      </w:pPr>
      <w:r>
        <w:t xml:space="preserve">3.11 TReDS-Based Invoice Financing</w:t>
      </w:r>
    </w:p>
    <w:p>
      <w:pPr>
        <w:spacing w:after="160"/>
      </w:pPr>
      <w:r>
        <w:rPr>
          <w:i/>
          <w:iCs/>
          <w:color w:val="555555"/>
          <w:sz w:val="19"/>
          <w:szCs w:val="19"/>
        </w:rPr>
        <w:t xml:space="preserve">Product Code: TREDS</w:t>
      </w:r>
    </w:p>
    <w:p>
      <w:pPr>
        <w:spacing w:after="140"/>
      </w:pPr>
      <w:r>
        <w:t xml:space="preserve">The NBFC participates as a 'Financier' bidding on an RBI-licensed TReDS platform (RXIL, M1xchange, Invoicemart, or other licensed entrants) to discount MSME sellers' invoices via a reverse-auction mechanism. Always without recourse to the seller; the TReDS platform itself files the assignment with the Central Registry on the financier's behalf.</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TReDS Platform(s) Onboarded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RXIL / M1xchange / Invoicemart / other licensed platform</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Bidding Strategy Parameters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Auto-bid discount-rate bands by buyer credit rating/exposure limit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 Concentration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 on exposure to a single large corporate buyer across all TReDS invoices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Financier Onboarding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NBFC's own registration/credential on the TReDS platform (not a per-borrower field)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 Batch Reference (from platform)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via platform API — Invoice No., Seller, Buyer, Amount, Tenor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Winning Bid Discount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Determined by the reverse auction</w:t>
            </w:r>
          </w:p>
        </w:tc>
      </w:tr>
    </w:tbl>
    <w:p>
      <w:pPr>
        <w:pStyle w:val="Heading4"/>
      </w:pPr>
      <w:r>
        <w:rPr>
          <w:i/>
          <w:iCs/>
        </w:rPr>
        <w:t xml:space="preserve">Auction Settlement &amp;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Disbursal to Seller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Net of discount, paid on auction settlement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 from Buyer on Maturity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Platform Settlement Reconciliation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reconciliation against each platform's settlement file</w:t>
            </w:r>
          </w:p>
        </w:tc>
      </w:tr>
    </w:tbl>
    <w:p>
      <w:pPr>
        <w:spacing w:after="200"/>
      </w:pPr>
    </w:p>
    <w:p>
      <w:pPr>
        <w:pStyle w:val="Heading2"/>
      </w:pPr>
      <w:r>
        <w:t xml:space="preserve">3.12 Bill / Cheque Discounting</w:t>
      </w:r>
    </w:p>
    <w:p>
      <w:pPr>
        <w:spacing w:after="160"/>
      </w:pPr>
      <w:r>
        <w:rPr>
          <w:i/>
          <w:iCs/>
          <w:color w:val="555555"/>
          <w:sz w:val="19"/>
          <w:szCs w:val="19"/>
        </w:rPr>
        <w:t xml:space="preserve">Product Code: BILLDISC</w:t>
      </w:r>
    </w:p>
    <w:p>
      <w:pPr>
        <w:spacing w:after="140"/>
      </w:pPr>
      <w:r>
        <w:t xml:space="preserve">Short-tenure discounting of usance bills of exchange or post-dated cheques, distinct from invoice-level TReDS/Factoring in that the underlying instrument itself (bill/cheque) is negotiated.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Instrument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Usance Bill of Exchange / Post-Dated Cheque / Demand Promissory Note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Discount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 p.a.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Maximum Usance Period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(days)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30–120 days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Drawer/Payee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Instrument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Instrument No., Amount, Due Date, Drawee Bank/Party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Discounting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Realisation &amp; Dishonour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Instrument Presentation &amp; Realisation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Presented/Realised/Dishonoured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Dishonour Handling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Triggers Section 138 Negotiable Instruments Act legal workflow (Section 7.2) on cheque dishonour</w:t>
            </w:r>
          </w:p>
        </w:tc>
      </w:tr>
    </w:tbl>
    <w:p>
      <w:pPr>
        <w:spacing w:after="200"/>
      </w:pPr>
    </w:p>
    <w:p>
      <w:pPr>
        <w:pStyle w:val="Heading2"/>
      </w:pPr>
      <w:r>
        <w:t xml:space="preserve">3.13 Lease Rental Discounting (LRD)</w:t>
      </w:r>
    </w:p>
    <w:p>
      <w:pPr>
        <w:spacing w:after="160"/>
      </w:pPr>
      <w:r>
        <w:rPr>
          <w:i/>
          <w:iCs/>
          <w:color w:val="555555"/>
          <w:sz w:val="19"/>
          <w:szCs w:val="19"/>
        </w:rPr>
        <w:t xml:space="preserve">Product Code: LRD</w:t>
      </w:r>
    </w:p>
    <w:p>
      <w:pPr>
        <w:spacing w:after="140"/>
      </w:pPr>
      <w:r>
        <w:t xml:space="preserve">A term loan to a commercial property owner, secured by an assignment/escrow of future rentals from a leased property (office, retail, warehouse, industrial) rather than the property's sale value alone.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Property/Tenant Categories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Office/Retail/Warehouse/Industrial; tenant credit-rating thresholds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Loan-to-Rental-Value Ratio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capped as a multiple of discounted future rentals over the lease/loan tenure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 Relative to Lease Term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tenure typically capped within the residual lease period (with renewal assumptions per policy)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Owner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Lease Agreement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Tenant name, lease start/end date, rental amount, escalation clause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Tenant Credit Profile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Bureau/financial check on the tenant, since rentals service the loan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Rental Escrow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Tenant pays rent directly into an escrow account controlled per the lender's mandate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Assignment of Lease Rentals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Registered/notarised as applicable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Mortgage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LAP collateral fields (title, valuation, CERSAI)</w:t>
            </w:r>
          </w:p>
        </w:tc>
      </w:tr>
    </w:tbl>
    <w:p>
      <w:pPr>
        <w:spacing w:after="200"/>
      </w:pPr>
    </w:p>
    <w:p>
      <w:pPr>
        <w:pStyle w:val="Heading2"/>
      </w:pPr>
      <w:r>
        <w:t xml:space="preserve">3.14 Equipment / Machinery Finance &amp; Leasing</w:t>
      </w:r>
    </w:p>
    <w:p>
      <w:pPr>
        <w:spacing w:after="160"/>
      </w:pPr>
      <w:r>
        <w:rPr>
          <w:i/>
          <w:iCs/>
          <w:color w:val="555555"/>
          <w:sz w:val="19"/>
          <w:szCs w:val="19"/>
        </w:rPr>
        <w:t xml:space="preserve">Product Code: EQUIP</w:t>
      </w:r>
    </w:p>
    <w:p>
      <w:pPr>
        <w:spacing w:after="140"/>
      </w:pPr>
      <w:r>
        <w:t xml:space="preserve">Financing for industrial machinery, medical equipment, IT/office equipment, either as a loan (equipment as collateral) or as a finance/operating lease (NBFC retains ownership).</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Facility Structure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(Hypothecation) / Finance Lease / Operating Lease / Sale-and-Leaseback</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Equipment Categories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Industrial Machinery/Medical/IT &amp; Office/Construction (cross-refs Section 3.16 for CE)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 Lease Residual Value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Vendor/OEM Tie-Up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equipment vendors and commission terms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Equipment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 Model, Serial/Asset No., Invoice Value, Vendor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New/Used Equipment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Hypothecation/Ownership Marking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facility structure — hypothecated to lender or lender-owned under lease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Equipment 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Sale-and-Leaseback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sale-and-leaseback structures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Lease Residual Value Buy-Back Option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finance leases, at end of term</w:t>
            </w:r>
          </w:p>
        </w:tc>
      </w:tr>
    </w:tbl>
    <w:p>
      <w:pPr>
        <w:spacing w:after="200"/>
      </w:pPr>
    </w:p>
    <w:p>
      <w:pPr>
        <w:pStyle w:val="Heading2"/>
      </w:pPr>
      <w:r>
        <w:t xml:space="preserve">3.15 Warehouse Receipt / Commodity Financing</w:t>
      </w:r>
    </w:p>
    <w:p>
      <w:pPr>
        <w:spacing w:after="160"/>
      </w:pPr>
      <w:r>
        <w:rPr>
          <w:i/>
          <w:iCs/>
          <w:color w:val="555555"/>
          <w:sz w:val="19"/>
          <w:szCs w:val="19"/>
        </w:rPr>
        <w:t xml:space="preserve">Product Code: WHR</w:t>
      </w:r>
    </w:p>
    <w:p>
      <w:pPr>
        <w:spacing w:after="140"/>
      </w:pPr>
      <w:r>
        <w:t xml:space="preserve">Loans against Negotiable Warehouse Receipts (NWRs) issued by WDRA (Warehousing Development and Regulatory Authority)-accredited warehouses, primarily for agri-commodities and MSME inventory.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Commodities &amp; Haircuts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Commodity-wise LTV/haircut reflecting price volatility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Accredited Warehouse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WDRA-registered warehouses/collateral managers empanelled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6–12 months, tied to the commodity's storage/marketing cycle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Depositor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Farmer/Trader/Processor/MSME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Negotiable Warehouse Receipt (NWR)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e-NWR from WDRA's repository, where issued electronically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Commodity, Quantity &amp; Quality Grade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commodity-wise LTV cap</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NWR Lien Marking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Electronic lien marked on the e-NWR via the depository/registry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Periodic Stock/Quality Revaluation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Price-linked margin call mechanism similar to Section 3.1 LAS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Warehouse/Collateral Manager Certification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Release on Redemption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NWR lien released on full repayment, enabling commodity withdrawal/sale</w:t>
            </w:r>
          </w:p>
        </w:tc>
      </w:tr>
    </w:tbl>
    <w:p>
      <w:pPr>
        <w:spacing w:after="200"/>
      </w:pPr>
    </w:p>
    <w:p>
      <w:pPr>
        <w:pStyle w:val="Heading2"/>
      </w:pPr>
      <w:r>
        <w:t xml:space="preserve">3.16 Commercial Vehicle &amp; Construction Equipment (CV/CE) Finance</w:t>
      </w:r>
    </w:p>
    <w:p>
      <w:pPr>
        <w:spacing w:after="160"/>
      </w:pPr>
      <w:r>
        <w:rPr>
          <w:i/>
          <w:iCs/>
          <w:color w:val="555555"/>
          <w:sz w:val="19"/>
          <w:szCs w:val="19"/>
        </w:rPr>
        <w:t xml:space="preserve">Product Code: CVCE</w:t>
      </w:r>
    </w:p>
    <w:p>
      <w:pPr>
        <w:spacing w:after="140"/>
      </w:pPr>
      <w:r>
        <w:t xml:space="preserve">Financing for trucks, buses, and construction/earth-moving equipment — distinct from the passenger Vehicle Loan (Section 3.6) in ticket size, fleet financing structures, and permit/route documentation.</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Vehicle/Equipment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Truck/Bus/Tipper/Excavator/Loader/Crane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New/Used LTV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Fleet Financing Terms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Multi-unit facility limits for fleet operators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a Sole Proprietorship/Partnership operating a fleet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Vehicle/Equipment Make, Model &amp; Chassis/Serial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Permit/Route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passenger/goods transport permits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Fleet Size (if multi-unit application)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Endorsement (RTO/Registry)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3.6 pattern, extended to commercial registries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Comprehensive Insurance incl. Third-Party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Used-Equipment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3.17 Tractor &amp; Farm Equipment Loan</w:t>
      </w:r>
    </w:p>
    <w:p>
      <w:pPr>
        <w:spacing w:after="160"/>
      </w:pPr>
      <w:r>
        <w:rPr>
          <w:i/>
          <w:iCs/>
          <w:color w:val="555555"/>
          <w:sz w:val="19"/>
          <w:szCs w:val="19"/>
        </w:rPr>
        <w:t xml:space="preserve">Product Code: TRACTOR</w:t>
      </w:r>
    </w:p>
    <w:p>
      <w:pPr>
        <w:spacing w:after="140"/>
      </w:pPr>
      <w:r>
        <w:t xml:space="preserve">Rural/agri-focused financing for tractors, harvesters, and farm implements, with repayment aligned to crop/harvest cash-flow cycles.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Equipment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Tractor/Harvester/Rotavator/Irrigation Equipment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Table by Equipment 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Half-yearly/Seasonal (aligned to Rabi/Kharif harvest), in addition to standard monthly EMI option</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Individual (Farmer) — Section 2.1/2.3 profile with land-holding details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Land Holding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Survey/Khasra number, area owned/leased, crop pattern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Equipment Make/Model &amp; Dealer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Equipment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3.18 Affordable Housing Loan</w:t>
      </w:r>
    </w:p>
    <w:p>
      <w:pPr>
        <w:spacing w:after="160"/>
      </w:pPr>
      <w:r>
        <w:rPr>
          <w:i/>
          <w:iCs/>
          <w:color w:val="555555"/>
          <w:sz w:val="19"/>
          <w:szCs w:val="19"/>
        </w:rPr>
        <w:t xml:space="preserve">Product Code: AHL</w:t>
      </w:r>
    </w:p>
    <w:p>
      <w:pPr>
        <w:spacing w:after="140"/>
      </w:pPr>
      <w:r>
        <w:t xml:space="preserve">Home purchase/construction/extension loans targeted at EWS/LIG/MIG borrowers, typically linked to the Pradhan Mantri Awas Yojana (PMAY) Credit-Linked Subsidy Scheme (CLSS) where still applicable, and usually written by an NBFC's Housing Finance Company (HFC) arm.</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Income Segment Bands (EWS/LIG/MIG)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scheme/internal policy income caps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Table by Property Value Slab</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National Housing Bank/RBI norms for housing loans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PMAY-CLSS Linkage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Determines subsidy claim eligibility (see Section 3.9 overlay)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Purpose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Purchase/Self-Construction/Extension/Improvement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Income Segment Declared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EWS/LIG/MIG-I/MIG-II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 &amp; Cost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of Property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LAP collateral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PMAY-CLSS Subsidy Claim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Tracked with the nodal agency, per Section 3.9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 (Under-Construction)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servicing pattern</w:t>
            </w:r>
          </w:p>
        </w:tc>
      </w:tr>
    </w:tbl>
    <w:p>
      <w:pPr>
        <w:spacing w:after="200"/>
      </w:pPr>
    </w:p>
    <w:p>
      <w:pPr>
        <w:pStyle w:val="Heading2"/>
      </w:pPr>
      <w:r>
        <w:t xml:space="preserve">3.19 Reverse Mortgage Loan</w:t>
      </w:r>
    </w:p>
    <w:p>
      <w:pPr>
        <w:spacing w:after="160"/>
      </w:pPr>
      <w:r>
        <w:rPr>
          <w:i/>
          <w:iCs/>
          <w:color w:val="555555"/>
          <w:sz w:val="19"/>
          <w:szCs w:val="19"/>
        </w:rPr>
        <w:t xml:space="preserve">Product Code: RML</w:t>
      </w:r>
    </w:p>
    <w:p>
      <w:pPr>
        <w:spacing w:after="140"/>
      </w:pPr>
      <w:r>
        <w:t xml:space="preserve">RBI's Reverse Mortgage scheme for senior citizens (typically 60+) who own residential property: the lender pays the borrower a lump sum/periodic annuity against the home's equity, with no EMI obligation; the loan (plus accrued interest) is recovered from the sale of the property after the borrower's death or permanent vacation of the property.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Borrower 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60 years (58 for co-borrower spouse)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Payout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Lump Sum / Monthly Annuity / Line of Credit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Cap by Age Band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Higher LTV permitted for older borrowers per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Maximum Loan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Typically capped (e.g., 15–20 years) or tied to life expectancy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(and Spouse, if joint)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Age-verified via Section 2.1 DOB field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 &amp; 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Self-occupied residential property, clear title required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Payout Mode Selected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Legal Heirs Acknowledgement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Disclosure to legal heirs of the reverse mortgage terms, per RBI guidelines</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of Property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 transfer of ownership during the borrower's lifetime/occupation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Periodic Property Revaluation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Recovery on Death/Vacation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sale process, settlement with heirs for any residual value after loan recovery</w:t>
            </w:r>
          </w:p>
        </w:tc>
      </w:tr>
    </w:tbl>
    <w:p>
      <w:pPr>
        <w:spacing w:after="200"/>
      </w:pPr>
    </w:p>
    <w:p>
      <w:pPr>
        <w:pStyle w:val="Heading2"/>
      </w:pPr>
      <w:r>
        <w:t xml:space="preserve">3.20 Loan Against Fixed Deposit / Insurance Policy / Mutual Funds</w:t>
      </w:r>
    </w:p>
    <w:p>
      <w:pPr>
        <w:spacing w:after="160"/>
      </w:pPr>
      <w:r>
        <w:rPr>
          <w:i/>
          <w:iCs/>
          <w:color w:val="555555"/>
          <w:sz w:val="19"/>
          <w:szCs w:val="19"/>
        </w:rPr>
        <w:t xml:space="preserve">Product Code: LAFD</w:t>
      </w:r>
    </w:p>
    <w:p>
      <w:pPr>
        <w:spacing w:after="140"/>
      </w:pPr>
      <w:r>
        <w:t xml:space="preserve">An overdraft/term loan against lien-marked bank Fixed Deposits, insurance policy surrender value, or mutual fund units — a lower-risk cousin of the LAS product in Section 3.1, often processed with minimal underwriting since the collateral itself is highly liquid.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Collateral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 FD / Life Insurance Policy (traditional/ULIP) / Mutual Fund Units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by Collateral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FD 90–95%, Insurance surrender-value-based, MF per Section 3.1 table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Basis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1–2% above the FD rate for FD-backed loans; daily reducing for others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FD Receipt No./Policy No./Folio No., Issuer,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Lien Marking with Issuer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Bank/Insurer/AMC confirmation of lien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Surrender Value Certificate (Insurance)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Auto-Foreclosure on Maturity Mismatch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FD matures before loan closure, handling rule (renew lien/close loan)</w:t>
            </w:r>
          </w:p>
        </w:tc>
      </w:tr>
    </w:tbl>
    <w:p>
      <w:pPr>
        <w:spacing w:after="200"/>
      </w:pPr>
    </w:p>
    <w:p>
      <w:pPr>
        <w:pStyle w:val="Heading2"/>
      </w:pPr>
      <w:r>
        <w:t xml:space="preserve">3.21 Education Loan (Domestic &amp; Overseas)</w:t>
      </w:r>
    </w:p>
    <w:p>
      <w:pPr>
        <w:spacing w:after="160"/>
      </w:pPr>
      <w:r>
        <w:rPr>
          <w:i/>
          <w:iCs/>
          <w:color w:val="555555"/>
          <w:sz w:val="19"/>
          <w:szCs w:val="19"/>
        </w:rPr>
        <w:t xml:space="preserve">Product Code: EDU</w:t>
      </w:r>
    </w:p>
    <w:p>
      <w:pPr>
        <w:spacing w:after="140"/>
      </w:pPr>
      <w:r>
        <w:t xml:space="preserve">Secured or unsecured financing for tuition, living, and ancillary costs, with a moratorium during the study period and repayment starting post-course (or after a fixed grace period).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Course/Geography Eligibility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Domestic/Overseas; Technical/Medical/Management/Other, per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Security Requirement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Above a ticket-size threshold, collateral (property/FD) or a third-party guarantee typically required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Moratorium Period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 duration + grace period (e.g., 6–12 months) before EMI starts; simple interest may accrue/be serviced during moratorium</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Student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Co-Borrower (Parent/Guardian) KYC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co-borrower per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Institution &amp; Course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Institution name, accreditation, course, admission/offer letter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 Structure &amp; Cost of Attendance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breakup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Tuition, hostel, travel, books, other costs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Collateral (if above threshold)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Property/FD per Sections 3.3/3.20</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Third-Party Guarantee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2.9 Guarantor form</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Admission/Visa Proof (Overseas)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Moratorium &amp; Repayment-Start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Moratorium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Course-completion confirmation triggers EMI start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Simple-Interest Servicing During Moratorium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borrower opts to service interest during study period</w:t>
            </w:r>
          </w:p>
        </w:tc>
      </w:tr>
    </w:tbl>
    <w:p>
      <w:pPr>
        <w:spacing w:after="200"/>
      </w:pPr>
    </w:p>
    <w:p>
      <w:pPr>
        <w:pStyle w:val="Heading2"/>
      </w:pPr>
      <w:r>
        <w:t xml:space="preserve">3.22 Consumer Durable / Point-of-Sale (POS) Loan</w:t>
      </w:r>
    </w:p>
    <w:p>
      <w:pPr>
        <w:spacing w:after="160"/>
      </w:pPr>
      <w:r>
        <w:rPr>
          <w:i/>
          <w:iCs/>
          <w:color w:val="555555"/>
          <w:sz w:val="19"/>
          <w:szCs w:val="19"/>
        </w:rPr>
        <w:t xml:space="preserve">Product Code: CDPOS</w:t>
      </w:r>
    </w:p>
    <w:p>
      <w:pPr>
        <w:spacing w:after="140"/>
      </w:pPr>
      <w:r>
        <w:t xml:space="preserve">Small-ticket, short-tenure financing for electronics/appliances/furniture, typically originated at the retail point of sale (in-store or e-commerce checkout), including 'No-Cost EMI' schemes and School Fee Financing as sub-variants of the same POS mechanism.</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Merchant/Retail Partner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retailers/e-commerce platforms and commission terms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Sub-Variant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Consumer Durable / No-Cost EMI (merchant-subsidised interest) / School Fee Financing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Ticket Size Band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₹5,000–₹3,00,000; 3–24 months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a lightweight/e-KYC flow given small ticket size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Merchant/Institution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Retailer or educational institution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Item/Invoice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description, invoice amount, invoice number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POS Settlement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 Subvention Tracking (No-Cost EMI)</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cost borne by merchant, reconciled separately from borrower-facing 0% rate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Instant Approval/Disbursal at POS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Real-time decisioning integrated at checkout (Section 12)</w:t>
            </w:r>
          </w:p>
        </w:tc>
      </w:tr>
    </w:tbl>
    <w:p>
      <w:pPr>
        <w:spacing w:after="200"/>
      </w:pPr>
    </w:p>
    <w:p>
      <w:pPr>
        <w:pStyle w:val="Heading2"/>
      </w:pPr>
      <w:r>
        <w:t xml:space="preserve">3.23 Buy Now Pay Later (BNPL) — Consumer &amp; B2B</w:t>
      </w:r>
    </w:p>
    <w:p>
      <w:pPr>
        <w:spacing w:after="160"/>
      </w:pPr>
      <w:r>
        <w:rPr>
          <w:i/>
          <w:iCs/>
          <w:color w:val="555555"/>
          <w:sz w:val="19"/>
          <w:szCs w:val="19"/>
        </w:rPr>
        <w:t xml:space="preserve">Product Code: BNPL</w:t>
      </w:r>
    </w:p>
    <w:p>
      <w:pPr>
        <w:spacing w:after="140"/>
      </w:pPr>
      <w:r>
        <w:t xml:space="preserve">Short-tenure digital credit extended at checkout, with the lender settling the merchant upfront and the borrower repaying in instalments or at a single future date. BNPL for B2B extends the same mechanism to business buyers as a digital trade-credit line. Fully subject to the Digital Lending Compliance requirements in Section 17 (KFS, cooling-off, LSP tagging).</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BNPL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Consumer (checkout) / B2B (trade credit line for business buyers)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Line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Pre-approved, often algorithmically assigned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Structure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Pay-in-full-next-cycle / Split into 3–4 instalments / Standard EMI conversion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 Settlement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T+1/T+2 settlement to merchant, net of platform/merchant discount fee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Lightweight e-KYC for consumer; entity KYC (Section 2.4–2.8) for B2B</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Merchant/Platform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Checkout Transaction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Order ID, cart value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Option Selected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Settlement &amp;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 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Auto-Debit/Repayment Collection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e-Mandate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UPI Autopay/e-NACH</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Late-Fee Application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24.7 penal-charge formula</w:t>
            </w:r>
          </w:p>
        </w:tc>
      </w:tr>
    </w:tbl>
    <w:p>
      <w:pPr>
        <w:spacing w:after="200"/>
      </w:pPr>
    </w:p>
    <w:p>
      <w:pPr>
        <w:pStyle w:val="Heading2"/>
      </w:pPr>
      <w:r>
        <w:t xml:space="preserve">3.24 Merchant Cash Advance (MCA) / Revenue-Based Financing (RBF)</w:t>
      </w:r>
    </w:p>
    <w:p>
      <w:pPr>
        <w:spacing w:after="160"/>
      </w:pPr>
      <w:r>
        <w:rPr>
          <w:i/>
          <w:iCs/>
          <w:color w:val="555555"/>
          <w:sz w:val="19"/>
          <w:szCs w:val="19"/>
        </w:rPr>
        <w:t xml:space="preserve">Product Code: MCA_RBF</w:t>
      </w:r>
    </w:p>
    <w:p>
      <w:pPr>
        <w:spacing w:after="140"/>
      </w:pPr>
      <w:r>
        <w:t xml:space="preserve">An advance repaid as a fixed percentage of the merchant/business's future daily card, UPI, or overall revenue settlements rather than a fixed EMI — MCA typically ties repayment to card/POS settlement; RBF generalises the same mechanic to any verified revenue stream (e.g., a D2C brand's payment-gateway settlements).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Revenue Stream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Card/POS Settlement (MCA) / Payment Gateway Settlement / UPI Collections (RBF)</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Multiple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1.1–1.5× the advance amount as total repayable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Holdback 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 of daily settlement auto-deducted until fully repaid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Daily/Monthly Settlement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Eligibility floor based on historical settlement volume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Payment Aggregator/PG/POS Provider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Source of settlement data for underwriting and auto-deduction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Historical Settlement Statements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6–12 months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Advance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Sized as a multiple of average monthly settlement</w:t>
            </w:r>
          </w:p>
        </w:tc>
      </w:tr>
    </w:tbl>
    <w:p>
      <w:pPr>
        <w:pStyle w:val="Heading4"/>
      </w:pPr>
      <w:r>
        <w:rPr>
          <w:i/>
          <w:iCs/>
        </w:rPr>
        <w:t xml:space="preserve">Holdback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Holdback Deduction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Auto-swept from the settlement account per the holdback %</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Repayable Tracking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 Advance Multiple, reducing as holdbacks are collected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Settlement Volume Shortfall Handling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Minimum-payment fallback if daily settlements fall below a floor</w:t>
            </w:r>
          </w:p>
        </w:tc>
      </w:tr>
    </w:tbl>
    <w:p>
      <w:pPr>
        <w:spacing w:after="200"/>
      </w:pPr>
    </w:p>
    <w:p>
      <w:pPr>
        <w:pStyle w:val="Heading2"/>
      </w:pPr>
      <w:r>
        <w:t xml:space="preserve">3.25 Working Capital Demand Loan (WCDL) / Cash Credit / Overdraft Against Stock &amp; Book Debts</w:t>
      </w:r>
    </w:p>
    <w:p>
      <w:pPr>
        <w:spacing w:after="160"/>
      </w:pPr>
      <w:r>
        <w:rPr>
          <w:i/>
          <w:iCs/>
          <w:color w:val="555555"/>
          <w:sz w:val="19"/>
          <w:szCs w:val="19"/>
        </w:rPr>
        <w:t xml:space="preserve">Product Code: WCDL_CC</w:t>
      </w:r>
    </w:p>
    <w:p>
      <w:pPr>
        <w:spacing w:after="140"/>
      </w:pPr>
      <w:r>
        <w:t xml:space="preserve">Traditional working-capital facility against a Drawing Power computed from periodic stock and book-debt (receivables) statements — distinct from the digital Smart Credit Line (Section 3.2) in relying on physical/scanned stock statements and periodic stock audits.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Facility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Credit (revolving) / Overdraft / Working Capital Demand Loan (fixed-tenure drawdown)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Drawing Power Formula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(Stock × Margin %) + (Book Debts within 90 days × Margin %) − Sundry Creditors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Stock Statement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Monthly/Quarterly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Stock Audit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Half-yearly/Annual, by an empanelled stock auditor</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2.3–2.8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Latest Stock &amp; Book-Debt Statement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Itemised stock categories and ageing of receivables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Sundry Creditors Statement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Drawing Power netting</w:t>
            </w:r>
          </w:p>
        </w:tc>
      </w:tr>
    </w:tbl>
    <w:p>
      <w:pPr>
        <w:pStyle w:val="Heading4"/>
      </w:pPr>
      <w:r>
        <w:rPr>
          <w:i/>
          <w:iCs/>
        </w:rPr>
        <w:t xml:space="preserve">Drawing Power &amp; Audit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Drawing Power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the configured formula, capping the utilisable limit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Stock Audit 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Physical verification against declared stock</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Renewal/Review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facility review</w:t>
            </w:r>
          </w:p>
        </w:tc>
      </w:tr>
    </w:tbl>
    <w:p>
      <w:pPr>
        <w:spacing w:after="200"/>
      </w:pPr>
    </w:p>
    <w:p>
      <w:pPr>
        <w:pStyle w:val="Heading2"/>
      </w:pPr>
      <w:r>
        <w:t xml:space="preserve">3.26 GST-Invoice-Based Unsecured Business Loan</w:t>
      </w:r>
    </w:p>
    <w:p>
      <w:pPr>
        <w:spacing w:after="160"/>
      </w:pPr>
      <w:r>
        <w:rPr>
          <w:i/>
          <w:iCs/>
          <w:color w:val="555555"/>
          <w:sz w:val="19"/>
          <w:szCs w:val="19"/>
        </w:rPr>
        <w:t xml:space="preserve">Product Code: GSTBL</w:t>
      </w:r>
    </w:p>
    <w:p>
      <w:pPr>
        <w:spacing w:after="140"/>
      </w:pPr>
      <w:r>
        <w:t xml:space="preserve">An unsecured business loan underwritten primarily from the borrower's GST return history (GSTR-1/3B turnover trends) rather than traditional financial statements — fast-turnaround, common for MSMEs with limited formal financial documentation.</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Vintage Requirement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months of GST filing history required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Turnover-to-Loan Multiple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sized as a multiple of average monthly GST-reported turnover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GST Filing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Monthly/Quarterly filers (QRMP scheme)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2.3–2.8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 &amp; GST Portal 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Consent to pull GSTR-1/3B data directly from GSTN (Section 12)</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Ongoing GST Filing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Lapses in filing trigger a review/early-warning flag</w:t>
            </w:r>
          </w:p>
        </w:tc>
      </w:tr>
    </w:tbl>
    <w:p>
      <w:pPr>
        <w:spacing w:after="200"/>
      </w:pPr>
    </w:p>
    <w:p>
      <w:pPr>
        <w:pStyle w:val="Heading2"/>
      </w:pPr>
      <w:r>
        <w:t xml:space="preserve">3.27 Electric Vehicle (EV) Financing</w:t>
      </w:r>
    </w:p>
    <w:p>
      <w:pPr>
        <w:spacing w:after="160"/>
      </w:pPr>
      <w:r>
        <w:rPr>
          <w:i/>
          <w:iCs/>
          <w:color w:val="555555"/>
          <w:sz w:val="19"/>
          <w:szCs w:val="19"/>
        </w:rPr>
        <w:t xml:space="preserve">Product Code: EV</w:t>
      </w:r>
    </w:p>
    <w:p>
      <w:pPr>
        <w:spacing w:after="140"/>
      </w:pPr>
      <w:r>
        <w:t xml:space="preserve">A variant of the Vehicle/Two-Wheeler and CV/CE products (Sections 3.6, 3.16) for electric vehicles, with battery-specific collateral and charging-infrastructure considerations.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Electric Two-Wheeler/Three-Wheeler/Passenger Car/Commercial EV</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Ownership Model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Included in Loan / Battery-as-a-Service (separate subscription, excluded from loan collateral)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Green/EV Interest Concession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discount vs. the equivalent ICE vehicle product, if offered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&amp; Battery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Make/Model, Battery capacity/warranty, Charging type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Charging Infrastructure Access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Home/public charging arrangement, informational</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Vehicle (and Battery, if owned)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3.6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Warranty/Health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3.28 Insurance Premium Financing</w:t>
      </w:r>
    </w:p>
    <w:p>
      <w:pPr>
        <w:spacing w:after="160"/>
      </w:pPr>
      <w:r>
        <w:rPr>
          <w:i/>
          <w:iCs/>
          <w:color w:val="555555"/>
          <w:sz w:val="19"/>
          <w:szCs w:val="19"/>
        </w:rPr>
        <w:t xml:space="preserve">Product Code: IPF</w:t>
      </w:r>
    </w:p>
    <w:p>
      <w:pPr>
        <w:spacing w:after="140"/>
      </w:pPr>
      <w:r>
        <w:t xml:space="preserve">A short-tenure loan to pay an insurance premium (commonly for large corporate/group policies or high-value life policies) upfront, repaid in instalments over the policy period.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Policy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Health/Life/Corporate General Insurance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 of Premium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Capped within the policy period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Policyholder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Insurer, Policy Number, Premium Amount, Policy Period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of Policy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Cancellation/Refund Clause Handling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the policy is cancelled mid-term, refunded premium applied against outstanding loan</w:t>
            </w:r>
          </w:p>
        </w:tc>
      </w:tr>
    </w:tbl>
    <w:p>
      <w:pPr>
        <w:spacing w:after="200"/>
      </w:pPr>
    </w:p>
    <w:p>
      <w:pPr>
        <w:pStyle w:val="Heading2"/>
      </w:pPr>
      <w:r>
        <w:t xml:space="preserve">3.29 Gig-Worker / Platform-Income Loan</w:t>
      </w:r>
    </w:p>
    <w:p>
      <w:pPr>
        <w:spacing w:after="160"/>
      </w:pPr>
      <w:r>
        <w:rPr>
          <w:i/>
          <w:iCs/>
          <w:color w:val="555555"/>
          <w:sz w:val="19"/>
          <w:szCs w:val="19"/>
        </w:rPr>
        <w:t xml:space="preserve">Product Code: GIGL</w:t>
      </w:r>
    </w:p>
    <w:p>
      <w:pPr>
        <w:spacing w:after="140"/>
      </w:pPr>
      <w:r>
        <w:t xml:space="preserve">Small-ticket personal/working-capital loans underwritten primarily on verified earnings from a gig/platform-economy job (ride-hailing, delivery, freelance marketplaces) via API-based income verification rather than traditional payslips.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Platforms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ride-hailing/delivery/freelance platforms with an income-verification API tie-up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Verification Method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Platform Earnings API / Bank-Statement Analysis of Platform Payouts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Loan-to-Average-Monthly-Earnings Multiple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2.1/2.3</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Platform Worker ID &amp; 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Consent to pull earnings data from the platform's API</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Ongoing Earnings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Material drop in platform earnings triggers an early-warning flag</w:t>
            </w:r>
          </w:p>
        </w:tc>
      </w:tr>
    </w:tbl>
    <w:p>
      <w:pPr>
        <w:spacing w:after="200"/>
      </w:pPr>
    </w:p>
    <w:p>
      <w:pPr>
        <w:pStyle w:val="Heading2"/>
      </w:pPr>
      <w:r>
        <w:t xml:space="preserve">3.30 Franchise Financing</w:t>
      </w:r>
    </w:p>
    <w:p>
      <w:pPr>
        <w:spacing w:after="160"/>
      </w:pPr>
      <w:r>
        <w:rPr>
          <w:i/>
          <w:iCs/>
          <w:color w:val="555555"/>
          <w:sz w:val="19"/>
          <w:szCs w:val="19"/>
        </w:rPr>
        <w:t xml:space="preserve">Product Code: FRAN</w:t>
      </w:r>
    </w:p>
    <w:p>
      <w:pPr>
        <w:spacing w:after="140"/>
      </w:pPr>
      <w:r>
        <w:t xml:space="preserve">Financing for franchisee setup costs (franchise fee, fit-out, initial inventory), underwritten partly on the franchisor brand's track record in addition to the franchisee's own profile.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Franchisor/Brand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Pre-approved brands with standard unit-economics assumptions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Cost Components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Franchise Fee/Fit-Out &amp; Interiors/Initial Inventory/Working Capital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of Total Project Cost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Franchisee (Applicant)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Franchisor/Brand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Franchise Agreement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Territory, term, fee structure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Project Cost Breakup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eligible cost component</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Tied to fit-out milestones, similar to Section 3.3</w:t>
            </w:r>
          </w:p>
        </w:tc>
      </w:tr>
    </w:tbl>
    <w:p>
      <w:pPr>
        <w:spacing w:after="200"/>
      </w:pPr>
    </w:p>
    <w:p>
      <w:pPr>
        <w:pStyle w:val="Heading2"/>
      </w:pPr>
      <w:r>
        <w:t xml:space="preserve">3.31 Startup Venture Debt</w:t>
      </w:r>
    </w:p>
    <w:p>
      <w:pPr>
        <w:spacing w:after="160"/>
      </w:pPr>
      <w:r>
        <w:rPr>
          <w:i/>
          <w:iCs/>
          <w:color w:val="555555"/>
          <w:sz w:val="19"/>
          <w:szCs w:val="19"/>
        </w:rPr>
        <w:t xml:space="preserve">Product Code: VDEBT</w:t>
      </w:r>
    </w:p>
    <w:p>
      <w:pPr>
        <w:spacing w:after="140"/>
      </w:pPr>
      <w:r>
        <w:t xml:space="preserve">Debt financing for venture-backed startups, typically alongside or following an equity round, sometimes structured with warrants/equity kickers — a specialised underwriting track based on cap table, burn rate, and investor quality rather than conventional collateral or profitability.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Seed/Series A/Series B+ per internal risk appetite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Warrant/Equity Kicker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Optional warrant coverage as part of the facility pricing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Covenant Package Template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 template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Financial and reporting covenants (runway, burn rate, MIS reporting)</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Startup (Company)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2.6</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 Table &amp; Latest Funding Round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Investors, round size, valuation, date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Burn Rate &amp; Runway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cash burn, months of runway remaining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Facility Amount &amp; Structure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Term loan/revolving facility, with/without warrant coverage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Covenant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Periodic MIS/covenant compliance certificate from the startup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Warrant Exercise Tracking (if applicable)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3.32 Renewable Energy / Solar Loan</w:t>
      </w:r>
    </w:p>
    <w:p>
      <w:pPr>
        <w:spacing w:after="160"/>
      </w:pPr>
      <w:r>
        <w:rPr>
          <w:i/>
          <w:iCs/>
          <w:color w:val="555555"/>
          <w:sz w:val="19"/>
          <w:szCs w:val="19"/>
        </w:rPr>
        <w:t xml:space="preserve">Product Code: SOLAR</w:t>
      </w:r>
    </w:p>
    <w:p>
      <w:pPr>
        <w:spacing w:after="140"/>
      </w:pPr>
      <w:r>
        <w:t xml:space="preserve">Financing for rooftop solar installations (residential and commercial/industrial) and other small renewable-energy assets, often with government subsidy linkage.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Segment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Residential Rooftop/Commercial &amp; Industrial (C&amp;I) Rooftop/Solar Water Heater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Subsidy Scheme Linkage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PM Surya Ghar Muft Bijli Yojana or successor schemes — see Section 3.9 overlay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of System Cost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Individual (Section 2.1–2.3) or Business (Section 2.4–2.8)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Specification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Capacity (kW), Vendor/EPC contractor, System Cost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Subsidy Application Reference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of subsidy, if claimed upfront</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Solar Equipment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Net-Metering/Grid Connection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grid-connected systems</w:t>
            </w:r>
          </w:p>
        </w:tc>
      </w:tr>
    </w:tbl>
    <w:p>
      <w:pPr>
        <w:spacing w:after="200"/>
      </w:pPr>
    </w:p>
    <w:p>
      <w:pPr>
        <w:pStyle w:val="Heading2"/>
      </w:pPr>
      <w:r>
        <w:t xml:space="preserve">3.33 Alternative Data &amp; Emerging Underwriting Inputs (Cross-Cutting)</w:t>
      </w:r>
    </w:p>
    <w:p>
      <w:pPr>
        <w:spacing w:after="140"/>
      </w:pPr>
      <w:r>
        <w:t xml:space="preserve">Several data sources referenced across the products above are underwriting inputs, not standalone loan products, and should be built once in the Credit Underwriting module (Section 5) and reused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800"/>
        <w:gridCol w:w="4360"/>
      </w:tblGrid>
      <w:tr>
        <w:trPr>
          <w:tblHeader/>
        </w:trPr>
        <w:tc>
          <w:tcPr>
            <w:tcW w:type="dxa" w:w="2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Source / Engine</w:t>
            </w:r>
          </w:p>
        </w:tc>
        <w:tc>
          <w:tcPr>
            <w:tcW w:type="dxa" w:w="1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Type</w:t>
            </w:r>
          </w:p>
        </w:tc>
        <w:tc>
          <w:tcPr>
            <w:tcW w:type="dxa" w:w="800"/>
            <w:tcBorders>
              <w:top w:val="single" w:color="BFBFBF" w:sz="1"/>
              <w:left w:val="single" w:color="BFBFBF" w:sz="1"/>
              <w:bottom w:val="single" w:color="BFBFBF" w:sz="1"/>
              <w:right w:val="single" w:color="BFBFBF" w:sz="1"/>
            </w:tcBorders>
            <w:shd w:val="clear" w:color="auto" w:fill="1F4E78"/>
            <w:tcMar>
              <w:top w:type="dxa" w:w="50"/>
              <w:left w:type="dxa" w:w="90"/>
              <w:bottom w:type="dxa" w:w="50"/>
              <w:right w:type="dxa" w:w="90"/>
            </w:tcMar>
            <w:vAlign w:val="center"/>
          </w:tcPr>
          <w:p>
            <w:pPr>
              <w:spacing w:after="0" w:before="0"/>
            </w:pPr>
            <w:r/>
            <w:r>
              <w:rPr>
                <w:rFonts w:ascii="Arial" w:hAnsi="Arial" w:cs="Arial"/>
                <w:b/>
                <w:color w:val="FFFFFF"/>
                <w:sz w:val="17"/>
              </w:rPr>
              <w:t>Notes</w:t>
            </w:r>
          </w:p>
        </w:tc>
        <w:tc>
          <w:tcPr>
            <w:tcW w:type="dxa" w:w="43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Where Used</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Aggregator (AA) Consent &amp; Data Pull</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Integration</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Consent-based pull of bank statements/GST/investment data via an RBI-licensed Account Aggregator (Sahamati framework), for cash-flow-based underwriting across any product in Section 3</w:t>
            </w:r>
          </w:p>
        </w:tc>
      </w:tr>
      <w:tr>
        <w:trPr>
          <w:tblHeader w:val="false"/>
        </w:trPr>
        <w:tc>
          <w:tcPr>
            <w:tcW w:type="dxa" w:w="2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UPI Transaction/Cash-Flow Analytics</w:t>
            </w:r>
          </w:p>
        </w:tc>
        <w:tc>
          <w:tcPr>
            <w:tcW w:type="dxa" w:w="1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Analytics engine</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Underwriting signal derived from UPI inflow/outflow patterns, used alongside bureau score for thin-file/new-to-credit applicants</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Return Analytics</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Analytics engine</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Powers Section 3.26 and supplements underwriting for any MSME borrower</w:t>
            </w:r>
          </w:p>
        </w:tc>
      </w:tr>
      <w:tr>
        <w:trPr>
          <w:tblHeader w:val="false"/>
        </w:trPr>
        <w:tc>
          <w:tcPr>
            <w:tcW w:type="dxa" w:w="2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Gig/Platform Earnings API</w:t>
            </w:r>
          </w:p>
        </w:tc>
        <w:tc>
          <w:tcPr>
            <w:tcW w:type="dxa" w:w="1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Integration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Powers Section 3.29</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AI/ML-Based Dynamic Limit Adjustment</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Engine</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Applies to the Smart Credit Line (Section 3.2) — periodically re-scores utilisation/repayment behaviour to automatically raise, hold, or reduce the available limit within Board-approved bounds</w:t>
            </w:r>
          </w:p>
        </w:tc>
      </w:tr>
    </w:tbl>
    <w:p>
      <w:pPr>
        <w:spacing w:after="160"/>
      </w:pPr>
      <w:r>
        <w:rPr>
          <w:i/>
          <w:iCs/>
          <w:color w:val="555555"/>
          <w:sz w:val="19"/>
          <w:szCs w:val="19"/>
        </w:rPr>
        <w:t xml:space="preserve">These are underwriting/data-integration capabilities layered under the existing product forms in Section 3, not separate products requiring their own onboarding or servicing workflow.</w:t>
      </w:r>
    </w:p>
    <w:p>
      <w:pPr>
        <w:spacing w:after="160"/>
      </w:pPr>
    </w:p>
    <w:p>
      <w:pPr>
        <w:pStyle w:val="Heading3"/>
      </w:pPr>
      <w:r>
        <w:t xml:space="preserve">A Note on Product Concepts Not Yet Built Out</w:t>
      </w:r>
    </w:p>
    <w:p>
      <w:pPr>
        <w:spacing w:after="140"/>
      </w:pPr>
      <w:r>
        <w:t xml:space="preserve">A few concepts raised alongside this research — Creator Economy Loans, Intellectual Property Financing, Circular Economy Financing, Subscription-Based Credit, and broad ESG-Linked Business Loan tagging — do not yet have an established, distinct regulatory or product template in the Indian NBFC market as of this writing. Rather than building speculative forms for them now, these are flagged as a watch-list to revisit once the NBFC's own risk/product team defines concrete eligibility and collateral rules; ESG-linked pricing, in particular, is more practically implemented as a rate-discount tag on an existing product (e.g., Section 3.32's green-loan concession) than as a new product line.</w:t>
      </w:r>
    </w:p>
    <w:p>
      <w:pPr>
        <w:pStyle w:val="Heading1"/>
        <w:pageBreakBefore/>
      </w:pPr>
      <w:r>
        <w:t xml:space="preserve">4. Loan Lifecycle Workflow</w:t>
      </w:r>
    </w:p>
    <w:p>
      <w:pPr>
        <w:spacing w:after="140"/>
      </w:pPr>
      <w:r>
        <w:t xml:space="preserve">A single configurable state machine drives every product from Section 3 — only the field sets and approval matrix change per product, not the workflow engine itself.</w:t>
      </w:r>
    </w:p>
    <w:p>
      <w:pPr>
        <w:spacing w:after="60" w:before="160"/>
      </w:pPr>
      <w:r>
        <w:rPr>
          <w:b/>
          <w:bCs/>
          <w:color w:val="1F4E78"/>
          <w:sz w:val="19"/>
          <w:szCs w:val="19"/>
        </w:rPr>
        <w:t xml:space="preserve">Table 4.1 —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Stage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41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Source: branch walk-in, DSA/agent, digital/website, pre-approved campaign</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Applicant/Entity Onboarding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Section 2 forms; KYC verification (PAN, Aadhaar, CKYC search)</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Application &amp; Product Selection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3 product-specific application form</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Collection &amp; Checklist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checklist per product; upload with OCR-assisted data-fill</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Appraisal / Underwriting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 pull, rules engine, scorecard (Section 5)</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 Approval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Delegation-of-Authority (DOA) matrix by amount/product/risk grade</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Agreement &amp; e-Sign / e-Stamp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Terms generation, Aadhaar e-Sign, e-Stamping</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Single or staged; RTGS/NEFT/IMPS; disbursement accounting auto-posted</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EMI/interest schedule, repayments, part-payments, top-ups (Section 6)</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follow-up on overdue accounts (Section 7)</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NPA / Recovery / Legal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 classification, provisioning, SARFAESI/legal action, auction</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Closure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Foreclosure/maturity closure, NOC generation, collateral release</w:t>
            </w:r>
          </w:p>
        </w:tc>
      </w:tr>
    </w:tbl>
    <w:p>
      <w:pPr>
        <w:spacing w:after="160"/>
      </w:pPr>
      <w:r>
        <w:rPr>
          <w:i/>
          <w:iCs/>
          <w:color w:val="555555"/>
          <w:sz w:val="19"/>
          <w:szCs w:val="19"/>
        </w:rPr>
        <w:t xml:space="preserve">Each stage transition is logged with timestamp, user, and reason code for audit trail and turnaround-time (TAT) reporting.</w:t>
      </w:r>
    </w:p>
    <w:p>
      <w:pPr>
        <w:spacing w:after="220" w:before="120"/>
        <w:jc w:val="center"/>
      </w:pPr>
      <w:r>
        <w:drawing>
          <wp:inline distT="0" distB="0" distL="0" distR="0">
            <wp:extent cx="5905500" cy="1990725"/>
            <wp:effectExtent t="0" r="0" b="0" l="0"/>
            <wp:docPr id="1" name="Loan Lifecycle Workflow" descr="Loan Lifecycle Workflow" title="Loan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90725"/>
                    </a:xfrm>
                    <a:prstGeom prst="rect">
                      <a:avLst/>
                    </a:prstGeom>
                  </pic:spPr>
                </pic:pic>
              </a:graphicData>
            </a:graphic>
          </wp:inline>
        </w:drawing>
      </w:r>
    </w:p>
    <w:p>
      <w:pPr>
        <w:pStyle w:val="Heading1"/>
        <w:pageBreakBefore/>
      </w:pPr>
      <w:r>
        <w:t xml:space="preserve">5. Credit Underwriting &amp; Bureau Integration</w:t>
      </w:r>
    </w:p>
    <w:p>
      <w:pPr>
        <w:pStyle w:val="Heading2"/>
      </w:pPr>
      <w:r>
        <w:t xml:space="preserve">5.1 Bureau Pull</w:t>
      </w:r>
    </w:p>
    <w:p>
      <w:pPr>
        <w:spacing w:after="140"/>
      </w:pPr>
      <w:r>
        <w:t xml:space="preserve">At application stage, the system calls the configured Credit Information Company (CIC) via API (hard-pull, with borrower consent captured and stored) to fetch:</w:t>
      </w:r>
    </w:p>
    <w:p>
      <w:pPr>
        <w:pStyle w:val="ListParagraph"/>
        <w:numPr>
          <w:ilvl w:val="0"/>
          <w:numId w:val="2"/>
        </w:numPr>
        <w:spacing w:after="60"/>
      </w:pPr>
      <w:r>
        <w:t xml:space="preserve">Consumer/Commercial Credit Score (as applicable to applicant type)</w:t>
      </w:r>
    </w:p>
    <w:p>
      <w:pPr>
        <w:pStyle w:val="ListParagraph"/>
        <w:numPr>
          <w:ilvl w:val="0"/>
          <w:numId w:val="2"/>
        </w:numPr>
        <w:spacing w:after="60"/>
      </w:pPr>
      <w:r>
        <w:t xml:space="preserve">Full credit report — existing loan/credit-card accounts, DPD history, enquiries</w:t>
      </w:r>
    </w:p>
    <w:p>
      <w:pPr>
        <w:pStyle w:val="ListParagraph"/>
        <w:numPr>
          <w:ilvl w:val="0"/>
          <w:numId w:val="2"/>
        </w:numPr>
        <w:spacing w:after="60"/>
      </w:pPr>
      <w:r>
        <w:t xml:space="preserve">Microfinance indebtedness segment (for JLG/SHG applicants) to validate qualifying-asset criteria</w:t>
      </w:r>
    </w:p>
    <w:p>
      <w:pPr>
        <w:pStyle w:val="Heading2"/>
      </w:pPr>
      <w:r>
        <w:t xml:space="preserve">5.2 Rules Engine &amp; Scorecards</w:t>
      </w:r>
    </w:p>
    <w:p>
      <w:pPr>
        <w:spacing w:after="60" w:before="160"/>
      </w:pPr>
      <w:r>
        <w:rPr>
          <w:b/>
          <w:bCs/>
          <w:color w:val="1F4E78"/>
          <w:sz w:val="19"/>
          <w:szCs w:val="19"/>
        </w:rPr>
        <w:t xml:space="preserve">Table 5.1 — Underwriting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Bureau Score (product/segment-wise)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threshold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FOIR/DSCR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income type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Negative List / De-dupe Check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PAN/Aadhaar/mobile against internal blacklist and bureau flags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Scorecard Weightages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vintage, bureau score, collateral cover, etc.</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Deviation Matrix</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 + Approval Level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Defines which deviations need which approval tier</w:t>
            </w:r>
          </w:p>
        </w:tc>
      </w:tr>
    </w:tbl>
    <w:p>
      <w:pPr>
        <w:pStyle w:val="Heading2"/>
      </w:pPr>
      <w:r>
        <w:t xml:space="preserve">5.3 Sanction Workflow</w:t>
      </w:r>
    </w:p>
    <w:p>
      <w:pPr>
        <w:spacing w:after="140"/>
      </w:pPr>
      <w:r>
        <w:t xml:space="preserve">Sanction recommendation, approval, and conditions (financial/non-financial covenants) are recorded against each loan account and referenced during disbursement checks.</w:t>
      </w:r>
      <w:r>
        <w:rPr>
          <w:rFonts w:ascii="Arial" w:hAnsi="Arial" w:cs="Arial"/>
          <w:sz w:val="22"/>
        </w:rPr>
        <w:t xml:space="preserve"> Each condition is typed (financial covenant, document, verification) and tracked to closure before disbursement is permitted; unmet mandatory conditions hard-block the disburse API (Section 26.3), while waivers require the deviation approver in the DOA matrix (Section 5.2) and are logged for audit.</w:t>
      </w:r>
    </w:p>
    <w:p>
      <w:pPr>
        <w:pStyle w:val="Heading2"/>
      </w:pPr>
      <w:r>
        <w:t xml:space="preserve">5.4 Interest Rate Model &amp; Board-Approved Pricing Policy</w:t>
      </w:r>
    </w:p>
    <w:p>
      <w:pPr>
        <w:spacing w:after="140"/>
      </w:pPr>
      <w:r>
        <w:t xml:space="preserve">RBI's Fair Practices Code requires every NBFC to have a Board-approved interest rate model and to disclose the rationale for risk-based pricing. The engine referenced in Section 3's product configuration and Section 5.2's scorecards must trace back to a single, versioned policy record rather than ad-hoc rate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Rate Benchmark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Internal Benchmark Rate/Repo-Linked Lending Rate/MCLR-referenced, as adopted by the NBFC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Spread/Margin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risk grade, product, tenure, and collateral cover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Policy Version &amp; Board Approval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Every rate-grid change is versioned and linked to the Board/Committee resolution approving 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Published APR Disclosure Template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template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All-in-cost disclosure shown to the borrower before sanction (see Section 17)</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Change Effective Date &amp; Grandfathering 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Governs whether existing borrowers move to a new rate or retain the contracted rate</w:t>
            </w:r>
          </w:p>
        </w:tc>
      </w:tr>
    </w:tbl>
    <w:p>
      <w:pPr>
        <w:pStyle w:val="Heading1"/>
        <w:pageBreakBefore/>
      </w:pPr>
      <w:r>
        <w:t xml:space="preserve">6. Loan Management / Servicing Module</w:t>
      </w:r>
    </w:p>
    <w:p>
      <w:pPr>
        <w:spacing w:after="60" w:before="160"/>
      </w:pPr>
      <w:r>
        <w:rPr>
          <w:b/>
          <w:bCs/>
          <w:color w:val="1F4E78"/>
          <w:sz w:val="19"/>
          <w:szCs w:val="19"/>
        </w:rPr>
        <w:t xml:space="preserve">Table 6.1 — Servicing Engine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Computation Method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Flat / Reducing Balance (daily or monthly rests) / Bullet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Monthly/Weekly/Fortnightly/Bullet/On-demand (credit line)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 Generation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Amortisation schedule generated at disbursement; regenerated on rate reset/restructure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Penal Charges 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Penal interest/late fee per RBI's penal-charges (not penal-interest) framework — charged as a fee, not compounded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Part-Payment / Prepayment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Transaction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Recomputes schedule or tenure per borrower choice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 statement, charges per product policy, NOC trigger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Restructuring/Top-up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Re-underwriting trigger, revised schedule, RBI restructuring-flag for reporting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Rate Reset (floating-rate loans)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Scheduled job</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Benchmark rate change propagation to EMI/tenure</w:t>
            </w:r>
          </w:p>
        </w:tc>
      </w:tr>
    </w:tbl>
    <w:p>
      <w:pPr>
        <w:pStyle w:val="Heading1"/>
        <w:pageBreakBefore/>
      </w:pPr>
      <w:r>
        <w:t xml:space="preserve">7. Collections &amp; Recovery Module</w:t>
      </w:r>
    </w:p>
    <w:p>
      <w:pPr>
        <w:spacing w:after="60" w:before="160"/>
      </w:pPr>
      <w:r>
        <w:rPr>
          <w:b/>
          <w:bCs/>
          <w:color w:val="1F4E78"/>
          <w:sz w:val="19"/>
          <w:szCs w:val="19"/>
        </w:rPr>
        <w:t xml:space="preserve">Table 7.1 — Collections Configuration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DPD Bucket Definition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0, 1–30, 31–60, 61–90, 90+ (mapped to NPA stages, Section 9.4)</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 Queue Allocation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bucket, branch, agent, product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Promise-to-Pay (PTP)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PTP Date, Amount, Outcome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Field Collection App Entry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 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Visit Date/Time, GPS tag, Photo, Remarks, Amount collected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Repossession Workflow (Vehicle)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Notice, Repossession Date, Yard Location, Sale Process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Auction Workflow (Gold)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See Section 3.4 servicing fields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SARFAESI / Legal Notice Workflow (Secured Loans)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Demand Notice (SARFAESI Act Sec. 13(2)), Possession Notice, Sale Notice, tracked with statutory timelines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Settlement / One-Time Settlement (OTS)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Approval workflow, waiver accounting entries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Skip-Trace / Non-Cooperative Borrower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Feeds CRILC non-cooperative borrower reporting, Section 9.2</w:t>
            </w:r>
          </w:p>
        </w:tc>
      </w:tr>
    </w:tbl>
    <w:p>
      <w:pPr>
        <w:spacing w:after="220" w:before="120"/>
        <w:jc w:val="center"/>
      </w:pPr>
      <w:r>
        <w:drawing>
          <wp:inline distT="0" distB="0" distL="0" distR="0">
            <wp:extent cx="5905500" cy="2047875"/>
            <wp:effectExtent t="0" r="0" b="0" l="0"/>
            <wp:docPr id="1" name="Collections Escalation &amp; Legal Action Flow" descr="Collections Escalation &amp; Legal Action Flow" title="Collections Escalation &amp; Legal 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47875"/>
                    </a:xfrm>
                    <a:prstGeom prst="rect">
                      <a:avLst/>
                    </a:prstGeom>
                  </pic:spPr>
                </pic:pic>
              </a:graphicData>
            </a:graphic>
          </wp:inline>
        </w:drawing>
      </w:r>
    </w:p>
    <w:p>
      <w:pPr>
        <w:pStyle w:val="Heading2"/>
      </w:pPr>
      <w:r>
        <w:t xml:space="preserve">7.2 Legal Case Management (Beyond SARFAESI)</w:t>
      </w:r>
    </w:p>
    <w:p>
      <w:pPr>
        <w:spacing w:after="140"/>
      </w:pPr>
      <w:r>
        <w:t xml:space="preserve">For secured products (LAP, Vehicle, Gold, LAS) SARFAESI is the primary route; for unsecured products and cases where SARFAESI does not apply, the system tracks parallel legal proceedings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SARFAESI/DRT Suit/Section 138 (Cheque Dishonour)/Arbitration/Civil Recovery Suit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Case Reference Number &amp; Forum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DRT/Court/Arbitral Tribunal identifier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Advocate/Law Firm Assigned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Vendor/Empanelment Master (Section 21)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Filing Date &amp; Statutory Timeline Tracker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Date/System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Tracks limitation periods and next hearing dates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Case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Filed/Admitted/Hearing/Order Passed/Recovery Certificate Issued/Closed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 Amount Realised via Legal Action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Reconciled to the loan sub-ledger (Section 8.3)</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Legal Cost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Advocate fees, court fees — recoverable vs. NBFC-borne</w:t>
            </w:r>
          </w:p>
        </w:tc>
      </w:tr>
    </w:tbl>
    <w:p>
      <w:pPr>
        <w:pStyle w:val="Heading1"/>
        <w:pageBreakBefore/>
      </w:pPr>
      <w:r>
        <w:t xml:space="preserve">8. Accounting &amp; Finance Module (Embedded General Ledger)</w:t>
      </w:r>
    </w:p>
    <w:p>
      <w:pPr>
        <w:spacing w:after="140"/>
      </w:pPr>
      <w:r>
        <w:t xml:space="preserve">The LMS includes a full double-entry accounting engine so the NBFC does not need a separate accounting package. Every loan-level transaction automatically generates the corresponding journal entry; the Finance team also has direct GL access for manual/adjustment entries, non-lending expenses, and period-end closing.</w:t>
      </w:r>
    </w:p>
    <w:p>
      <w:pPr>
        <w:pStyle w:val="Heading2"/>
      </w:pPr>
      <w:r>
        <w:t xml:space="preserve">8.1 Chart of Accounts (COA) Structure</w:t>
      </w:r>
    </w:p>
    <w:p>
      <w:pPr>
        <w:spacing w:after="60" w:before="160"/>
      </w:pPr>
      <w:r>
        <w:rPr>
          <w:b/>
          <w:bCs/>
          <w:color w:val="1F4E78"/>
          <w:sz w:val="19"/>
          <w:szCs w:val="19"/>
        </w:rPr>
        <w:t xml:space="preserve">Table 8.1 — COA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Major Head — Assets / Liabilities / Equity / Income / Expenses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2</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Group — e.g. Loans &amp; Advances, Borrowings, Interest Income, Provisions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3</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Ledger — e.g. LAP – Principal Outstanding, NCD – Series I, Interest Income – Gold Loan</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4</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Sub-ledger (party/loan-wise)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Attributes per Ledger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Ledger Code, Name, Schedule III mapping (Balance Sheet/P&amp;L line), GST/TDS applicability, Cost Centre/Branch</w:t>
            </w:r>
          </w:p>
        </w:tc>
      </w:tr>
    </w:tbl>
    <w:p>
      <w:pPr>
        <w:pStyle w:val="Heading2"/>
      </w:pPr>
      <w:r>
        <w:t xml:space="preserve">8.2 Auto Journal-Posting Rules</w:t>
      </w:r>
    </w:p>
    <w:p>
      <w:pPr>
        <w:spacing w:after="140"/>
      </w:pPr>
      <w:r>
        <w:t xml:space="preserve">Each business event below fires a pre-mapped journal entry template; templates are configurable so Finance can remap ledgers without IT involvement.</w:t>
      </w:r>
    </w:p>
    <w:p>
      <w:pPr>
        <w:spacing w:after="60" w:before="160"/>
      </w:pPr>
      <w:r>
        <w:rPr>
          <w:b/>
          <w:bCs/>
          <w:color w:val="1F4E78"/>
          <w:sz w:val="19"/>
          <w:szCs w:val="19"/>
        </w:rPr>
        <w:t xml:space="preserve">Table 8.2 — Event-to-Journal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Loan Principal Outstanding (Asset) / Cr. Bank / Cr. Processing Fee Income / Cr. TDS Payable (if any)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EMI/Repayment Receipt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 Cr. Loan Principal Outstanding, Cr. Interest Income, Cr. Penal Charges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Accrual (period-end)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Interest Receivable / Cr. Interest Income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 Income Recognition (EIR-based)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Amortised over loan tenure using Effective Interest Rate method, per Ind AS 109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Provisioning for Expected Credit Loss (ECL)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ECL Provision Expense / Cr. ECL Provision (Loan Loss Allowance)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NPA Classification &amp; Provisioning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Provision Expense / Cr. Standard/Sub-standard/Doubtful/Loss Asset Provision, per Section 9.4</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Write-Off</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Provision (utilised) / Cr. Loan Principal Outstanding; loan moved to memorandum/off-balance-sheet register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 Post Write-Off</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 Cr. Bad Debts Recovered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Foreclosure/Settlement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Balances squared off; waiver amount (if OTS) charged to Provision/Expense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Gold Loan Auction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(sale proceeds) / Cr. Loan Outstanding; surplus payable to borrower as liability, shortfall to Bad Debts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Borrowing/NCD/Term Loan from Banks (Liability side)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Bank / Cr. Borrowings; interest expense accrual symmetric to Interest Income above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Statutory Deductions (TDS on interest paid, GST on fees)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Auto-computed and posted to respective payable ledgers</w:t>
            </w:r>
          </w:p>
        </w:tc>
      </w:tr>
      <w:tr>
        <w:tc>
          <w:tcPr>
            <w:tcW w:type="dxa" w:w="2900"/>
          </w:tcPr>
          <w:p>
            <w:pPr>
              <w:spacing w:after="0" w:before="0"/>
            </w:pPr>
            <w:r/>
            <w:r>
              <w:rPr>
                <w:rFonts w:ascii="Arial" w:hAnsi="Arial" w:cs="Arial"/>
                <w:b w:val="0"/>
                <w:sz w:val="17"/>
              </w:rPr>
              <w:t>Interest De-recognition on NPA Classification</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downgrade to NPA, reverse unrealised interest already taken to income (Dr. Interest Income / Cr. Interest Receivable) and route further accrual to Interest Suspense (memorandum) — recognised in P&amp;L only on realisation. See Section 33.</w:t>
            </w:r>
          </w:p>
        </w:tc>
      </w:tr>
      <w:tr>
        <w:tc>
          <w:tcPr>
            <w:tcW w:type="dxa" w:w="2900"/>
          </w:tcPr>
          <w:p>
            <w:pPr>
              <w:spacing w:after="0" w:before="0"/>
            </w:pPr>
            <w:r/>
            <w:r>
              <w:rPr>
                <w:rFonts w:ascii="Arial" w:hAnsi="Arial" w:cs="Arial"/>
                <w:b w:val="0"/>
                <w:sz w:val="17"/>
              </w:rPr>
              <w:t>Interest Realisation on NPA Account</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actual receipt from an NPA account: Dr. Bank / Cr. Interest Suspense → Interest Income (appropriation order per Board policy). See Section 33.</w:t>
            </w:r>
          </w:p>
        </w:tc>
      </w:tr>
      <w:tr>
        <w:tc>
          <w:tcPr>
            <w:tcW w:type="dxa" w:w="2900"/>
          </w:tcPr>
          <w:p>
            <w:pPr>
              <w:spacing w:after="0" w:before="0"/>
            </w:pPr>
            <w:r/>
            <w:r>
              <w:rPr>
                <w:rFonts w:ascii="Arial" w:hAnsi="Arial" w:cs="Arial"/>
                <w:b w:val="0"/>
                <w:sz w:val="17"/>
              </w:rPr>
              <w:t>Modification Gain/Loss on Restructuring</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restructure, recompute gross carrying amount at original EIR; difference booked as modification gain/loss (Dr./Cr. P&amp;L) per Ind AS 109. See Section 32.2.</w:t>
            </w:r>
          </w:p>
        </w:tc>
      </w:tr>
      <w:tr>
        <w:tc>
          <w:tcPr>
            <w:tcW w:type="dxa" w:w="2900"/>
          </w:tcPr>
          <w:p>
            <w:pPr>
              <w:spacing w:after="0" w:before="0"/>
            </w:pPr>
            <w:r/>
            <w:r>
              <w:rPr>
                <w:rFonts w:ascii="Arial" w:hAnsi="Arial" w:cs="Arial"/>
                <w:b w:val="0"/>
                <w:sz w:val="17"/>
              </w:rPr>
              <w:t>GST on Fee Income</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Dr. Bank/Borrower / Cr. Fee Income, Cr. GST Output Payable (CGST+SGST or IGST) by place of supply; interest is GST-exempt. See Section 31.</w:t>
            </w:r>
          </w:p>
        </w:tc>
      </w:tr>
    </w:tbl>
    <w:p>
      <w:pPr>
        <w:pStyle w:val="Heading2"/>
      </w:pPr>
      <w:r>
        <w:t xml:space="preserve">8.3 Sub-Ledgers &amp; Reconciliation</w:t>
      </w:r>
    </w:p>
    <w:p>
      <w:pPr>
        <w:pStyle w:val="ListParagraph"/>
        <w:numPr>
          <w:ilvl w:val="0"/>
          <w:numId w:val="2"/>
        </w:numPr>
        <w:spacing w:after="60"/>
      </w:pPr>
      <w:r>
        <w:t xml:space="preserve">Loan-wise sub-ledger — every loan account automatically maintains its own running ledger (principal, interest, fees, charges, provisioning) that rolls up into the borrower control account in the GL.</w:t>
      </w:r>
    </w:p>
    <w:p>
      <w:pPr>
        <w:pStyle w:val="ListParagraph"/>
        <w:numPr>
          <w:ilvl w:val="0"/>
          <w:numId w:val="2"/>
        </w:numPr>
        <w:spacing w:after="60"/>
      </w:pPr>
      <w:r>
        <w:t xml:space="preserve">Party-wise sub-ledgers — vendors, lenders/bankers, employees, statutory dues.</w:t>
      </w:r>
    </w:p>
    <w:p>
      <w:pPr>
        <w:pStyle w:val="ListParagraph"/>
        <w:numPr>
          <w:ilvl w:val="0"/>
          <w:numId w:val="2"/>
        </w:numPr>
        <w:spacing w:after="60"/>
      </w:pPr>
      <w:r>
        <w:t xml:space="preserve">Bank Reconciliation Statement (BRS) — auto-matches bank statement (via API feed or upload) against system-recorded receipts/payments; exception queue for unmatched items.</w:t>
      </w:r>
    </w:p>
    <w:p>
      <w:pPr>
        <w:pStyle w:val="Heading2"/>
      </w:pPr>
      <w:r>
        <w:t xml:space="preserve">8.4 Fixed Assets &amp; Payables</w:t>
      </w:r>
    </w:p>
    <w:p>
      <w:pPr>
        <w:pStyle w:val="ListParagraph"/>
        <w:numPr>
          <w:ilvl w:val="0"/>
          <w:numId w:val="2"/>
        </w:numPr>
        <w:spacing w:after="60"/>
      </w:pPr>
      <w:r>
        <w:t xml:space="preserve">Fixed Asset Register — acquisition, depreciation (WDV/SLM as per Schedule II, Companies Act), disposal.</w:t>
      </w:r>
    </w:p>
    <w:p>
      <w:pPr>
        <w:pStyle w:val="ListParagraph"/>
        <w:numPr>
          <w:ilvl w:val="0"/>
          <w:numId w:val="2"/>
        </w:numPr>
        <w:spacing w:after="60"/>
      </w:pPr>
      <w:r>
        <w:t xml:space="preserve">Accounts Payable — vendor invoices, purchase-to-pay approval workflow, TDS deduction.</w:t>
      </w:r>
    </w:p>
    <w:p>
      <w:pPr>
        <w:pStyle w:val="Heading2"/>
      </w:pPr>
      <w:r>
        <w:t xml:space="preserve">8.5 Statutory Financial Statements</w:t>
      </w:r>
    </w:p>
    <w:p>
      <w:pPr>
        <w:spacing w:after="140"/>
      </w:pPr>
      <w:r>
        <w:t xml:space="preserve">Generated directly from the GL, formatted per Division III of Schedule III to the Companies Act, 2013 (applicable to NBFCs that are Ind AS-compliant companies):</w:t>
      </w:r>
    </w:p>
    <w:p>
      <w:pPr>
        <w:pStyle w:val="ListParagraph"/>
        <w:numPr>
          <w:ilvl w:val="0"/>
          <w:numId w:val="2"/>
        </w:numPr>
        <w:spacing w:after="60"/>
      </w:pPr>
      <w:r>
        <w:t xml:space="preserve">Balance Sheet (Ind AS format for NBFCs)</w:t>
      </w:r>
    </w:p>
    <w:p>
      <w:pPr>
        <w:pStyle w:val="ListParagraph"/>
        <w:numPr>
          <w:ilvl w:val="0"/>
          <w:numId w:val="2"/>
        </w:numPr>
        <w:spacing w:after="60"/>
      </w:pPr>
      <w:r>
        <w:t xml:space="preserve">Statement of Profit and Loss</w:t>
      </w:r>
    </w:p>
    <w:p>
      <w:pPr>
        <w:pStyle w:val="ListParagraph"/>
        <w:numPr>
          <w:ilvl w:val="0"/>
          <w:numId w:val="2"/>
        </w:numPr>
        <w:spacing w:after="60"/>
      </w:pPr>
      <w:r>
        <w:t xml:space="preserve">Statement of Changes in Equity</w:t>
      </w:r>
    </w:p>
    <w:p>
      <w:pPr>
        <w:pStyle w:val="ListParagraph"/>
        <w:numPr>
          <w:ilvl w:val="0"/>
          <w:numId w:val="2"/>
        </w:numPr>
        <w:spacing w:after="60"/>
      </w:pPr>
      <w:r>
        <w:t xml:space="preserve">Cash Flow Statement</w:t>
      </w:r>
    </w:p>
    <w:p>
      <w:pPr>
        <w:pStyle w:val="ListParagraph"/>
        <w:numPr>
          <w:ilvl w:val="0"/>
          <w:numId w:val="2"/>
        </w:numPr>
        <w:spacing w:after="60"/>
      </w:pPr>
      <w:r>
        <w:t xml:space="preserve">Notes to Accounts, including Ind AS 109 ECL disclosures and related-party disclosures (Ind AS 24)</w:t>
      </w:r>
    </w:p>
    <w:p>
      <w:pPr>
        <w:spacing w:after="160"/>
      </w:pPr>
      <w:r>
        <w:rPr>
          <w:i/>
          <w:iCs/>
          <w:color w:val="555555"/>
          <w:sz w:val="19"/>
          <w:szCs w:val="19"/>
        </w:rPr>
        <w:t xml:space="preserve">Exact statutory formats are periodically revised by the MCA/ICAI/RBI; the reporting engine should read the Schedule III line-item mapping from a configuration table (Section 8.1) rather than hard-coding the layout, so format changes do not require a code release.</w:t>
      </w:r>
    </w:p>
    <w:p>
      <w:pPr>
        <w:pStyle w:val="Heading2"/>
      </w:pPr>
      <w:r>
        <w:t xml:space="preserve">8.6 Period-End Close</w:t>
      </w:r>
    </w:p>
    <w:p>
      <w:pPr>
        <w:pStyle w:val="ListParagraph"/>
        <w:numPr>
          <w:ilvl w:val="0"/>
          <w:numId w:val="2"/>
        </w:numPr>
        <w:spacing w:after="60"/>
      </w:pPr>
      <w:r>
        <w:t xml:space="preserve">Day-end: transaction batch reconciliation, interest accrual run.</w:t>
      </w:r>
    </w:p>
    <w:p>
      <w:pPr>
        <w:pStyle w:val="ListParagraph"/>
        <w:numPr>
          <w:ilvl w:val="0"/>
          <w:numId w:val="2"/>
        </w:numPr>
        <w:spacing w:after="60"/>
      </w:pPr>
      <w:r>
        <w:t xml:space="preserve">Month-end: provisioning run, BRS, sub-ledger-to-GL tie-out, MIS package.</w:t>
      </w:r>
    </w:p>
    <w:p>
      <w:pPr>
        <w:pStyle w:val="ListParagraph"/>
        <w:numPr>
          <w:ilvl w:val="0"/>
          <w:numId w:val="2"/>
        </w:numPr>
        <w:spacing w:after="60"/>
      </w:pPr>
      <w:r>
        <w:t xml:space="preserve">Year-end: statutory adjustments, audit trail export, financial statement finalisation, opening balances roll-forward.</w:t>
      </w:r>
    </w:p>
    <w:p>
      <w:pPr>
        <w:pStyle w:val="Heading1"/>
        <w:pageBreakBefore/>
      </w:pPr>
      <w:r>
        <w:t xml:space="preserve">9. RBI Regulatory Reporting Module</w:t>
      </w:r>
    </w:p>
    <w:p>
      <w:pPr>
        <w:spacing w:after="140"/>
      </w:pPr>
      <w:r>
        <w:t xml:space="preserve">RBI regulates NBFCs under the Scale-Based Regulation (SBR) framework, which places every NBFC into a Base, Middle, Upper, or Top layer based on asset size and activity, with progressively more onerous reporting as the layer rises. Because the applicable layer — and the thresholds/returns themselves — can change over time (RBI periodically reviews the SBR framework and revises return formats), this module must be built as a configurable rules-and-templates engine, not hard-coded returns.</w:t>
      </w:r>
    </w:p>
    <w:p>
      <w:pPr>
        <w:pStyle w:val="Heading2"/>
      </w:pPr>
      <w:r>
        <w:t xml:space="preserve">9.1 SBR Layer Configuration</w:t>
      </w:r>
    </w:p>
    <w:p>
      <w:pPr>
        <w:spacing w:after="60" w:before="160"/>
      </w:pPr>
      <w:r>
        <w:rPr>
          <w:b/>
          <w:bCs/>
          <w:color w:val="1F4E78"/>
          <w:sz w:val="19"/>
          <w:szCs w:val="19"/>
        </w:rPr>
        <w:t xml:space="preserve">Table 9.1 — Layer Configuration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 Layer Setting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 (Admin)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Base / Middle / Upper / Top — set by Compliance and re-evaluated periodically against RBI's published thresholds/list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Effective Date of Layer Classification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Deposit-Taking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NBFC-D vs NBFC-ND — changes which NBS returns apply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Asset-Size Threshold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Editable by Compliance/Admin as RBI revises thresholds, without a code change</w:t>
            </w:r>
          </w:p>
        </w:tc>
      </w:tr>
    </w:tbl>
    <w:p>
      <w:pPr>
        <w:pStyle w:val="Heading2"/>
      </w:pPr>
      <w:r>
        <w:t xml:space="preserve">9.2 Regulatory Returns Matrix</w:t>
      </w:r>
    </w:p>
    <w:p>
      <w:pPr>
        <w:spacing w:after="140"/>
      </w:pPr>
      <w:r>
        <w:t xml:space="preserve">The engine maintains a returns catalogue; each return is tagged with the layer(s)/deposit-status it applies to, frequency, data source module, and submission channel. The matrix below reflects the return set as currently structured — the catalogue is designed to be edited centrally when RBI updates the requirement, since these change from time to time.</w:t>
      </w:r>
    </w:p>
    <w:p>
      <w:pPr>
        <w:spacing w:after="60" w:before="160"/>
      </w:pPr>
      <w:r>
        <w:rPr>
          <w:b/>
          <w:bCs/>
          <w:color w:val="1F4E78"/>
          <w:sz w:val="19"/>
          <w:szCs w:val="19"/>
        </w:rPr>
        <w:t xml:space="preserve">Table 9.2 — Illustrative Returns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400"/>
        <w:gridCol w:w="4060"/>
      </w:tblGrid>
      <w:tr>
        <w:trPr>
          <w:tblHeader/>
        </w:trPr>
        <w:tc>
          <w:tcPr>
            <w:tcW w:type="dxa" w:w="1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40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 (financial indicators)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Assets &amp; liabilities, P&amp;L, exposure to sensitive sectors — sourced from Accounting module (Sec. 8)</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NBS-2</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Deposit-taking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Prudential norms — NOF, CRAR, asset classification, provisioning — sourced from NPA engine (Sec. 9.4)</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NBS-3 / NBS-1A / NBS-3A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Deposit-taking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Structural liquidity and related deposit-side returns</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NBS-4</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NBFCs whose CoR was rejected but still hold public deposits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status of deposits</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NBS-7</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NBFC-ND-SI (broadly, Middle/Upper Layer non-deposit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Capital funds, risk-weighted assets, capital-to-risk-weighted-assets ratio (CRAR)</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NBS-8 / NBS-9</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Non-deposit-taking NBFCs by asset-size band</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Profile and financial indicators, branch information</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ALM Returns (Short-Term Dynamic Liquidity, Structural Liquidity, Interest Rate Sensitivity)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 Half-yearly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Middle &amp; Upper Layer</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Asset-liability maturity buckets — sourced from loan/borrowing schedules</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 Information Return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 network master</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Statutory Auditors' Certificate (SAC)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Auditor certification of regulatory compliance</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CRILC — Main Return (Large Exposures)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Monthly/Quarterly</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NBFC-D and NBFC-ND with qualifying asset size</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Borrower-wise aggregate exposure at or above the prescribed threshold — sourced from Customer 360° (Sec. 2) and Loan Servicing (Sec. 6)</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CRILC — Non-Cooperative Borrower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population as above</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Flagged from Collections module (Sec. 7)</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CIMS / XBRL-based Submissions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applicable</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RBI's Centralised Information Management System — the modern submission portal superseding legacy COSMOS/DNBS filings</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Fair Practices Code / Grievance Redressal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Periodic</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Complaint register, TAT, escalation to Ombudsman</w:t>
            </w:r>
          </w:p>
        </w:tc>
      </w:tr>
    </w:tbl>
    <w:p>
      <w:pPr>
        <w:spacing w:after="160"/>
      </w:pPr>
      <w:r>
        <w:rPr>
          <w:i/>
          <w:iCs/>
          <w:color w:val="555555"/>
          <w:sz w:val="19"/>
          <w:szCs w:val="19"/>
        </w:rPr>
        <w:t xml:space="preserve">Return names, thresholds, and formats are as prescribed under RBI's Master Directions and are subject to periodic revision; the IT team should treat Table 9.2 as a starting configuration, validated by Compliance against the extant Master Direction before go-live, and re-validated whenever RBI updates the framework.</w:t>
      </w:r>
    </w:p>
    <w:p>
      <w:pPr>
        <w:pStyle w:val="Heading2"/>
      </w:pPr>
      <w:r>
        <w:t xml:space="preserve">9.3 Reporting Data Mart &amp; Submission Engine</w:t>
      </w:r>
    </w:p>
    <w:p>
      <w:pPr>
        <w:pStyle w:val="ListParagraph"/>
        <w:numPr>
          <w:ilvl w:val="0"/>
          <w:numId w:val="2"/>
        </w:numPr>
        <w:spacing w:after="60"/>
      </w:pPr>
      <w:r>
        <w:t xml:space="preserve">A dedicated reporting data mart aggregates data nightly (or near-real-time for CRILC) from the Loan Servicing, Accounting, Collections, and Customer modules into the exact structure each return requires.</w:t>
      </w:r>
    </w:p>
    <w:p>
      <w:pPr>
        <w:pStyle w:val="ListParagraph"/>
        <w:numPr>
          <w:ilvl w:val="0"/>
          <w:numId w:val="2"/>
        </w:numPr>
        <w:spacing w:after="60"/>
      </w:pPr>
      <w:r>
        <w:t xml:space="preserve">A validation layer checks completeness/reasonableness (e.g., totals tie to the GL, borrower exposures reconcile to loan sub-ledgers) before a return is marked ready for submission.</w:t>
      </w:r>
    </w:p>
    <w:p>
      <w:pPr>
        <w:pStyle w:val="ListParagraph"/>
        <w:numPr>
          <w:ilvl w:val="0"/>
          <w:numId w:val="2"/>
        </w:numPr>
        <w:spacing w:after="60"/>
      </w:pPr>
      <w:r>
        <w:t xml:space="preserve">An XBRL/CIMS export generator formats data per RBI's published taxonomy/schema for upload to the RBI portal; a maker-checker workflow requires Compliance sign-off before submission.</w:t>
      </w:r>
    </w:p>
    <w:p>
      <w:pPr>
        <w:pStyle w:val="ListParagraph"/>
        <w:numPr>
          <w:ilvl w:val="0"/>
          <w:numId w:val="2"/>
        </w:numPr>
        <w:spacing w:after="60"/>
      </w:pPr>
      <w:r>
        <w:t xml:space="preserve">All submitted returns are archived with a permanent audit trail (who generated, who approved, submission timestamp, acknowledgement reference from RBI's portal).</w:t>
      </w:r>
    </w:p>
    <w:p>
      <w:pPr>
        <w:pStyle w:val="Heading2"/>
      </w:pPr>
      <w:r>
        <w:t xml:space="preserve">9.4 NPA Classification &amp; Provisioning Engine</w:t>
      </w:r>
    </w:p>
    <w:p>
      <w:pPr>
        <w:spacing w:after="60" w:before="160"/>
      </w:pPr>
      <w:r>
        <w:rPr>
          <w:b/>
          <w:bCs/>
          <w:color w:val="1F4E78"/>
          <w:sz w:val="19"/>
          <w:szCs w:val="19"/>
        </w:rPr>
        <w:t xml:space="preserve">Table 9.3 — Asset Classification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DPD-to-Classification Mapping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Standard / Special Mention Account / Sub-Standard / Doubtful / Loss, with the DPD threshold set per the applicable NBFC layer (thresholds have been converging toward 90 DPD across NBFC layers under RBI's harmonisation timeline)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Standard Asset Provisioning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Layer-specific rate (e.g., an additional standard-asset provision applies once an NBFC crosses into the Middle Layer)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NPA Provisioning Rates by 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Sub-standard/Doubtful (age-banded)/Loss, per RBI Prudential Norms Directions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 AS 109 ECL Overlay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Computation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Ind AS-compliant NBFCs, the higher of regulatory provisioning or ECL-based provisioning is disclosed/applied per RBI's prudential floor requirement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Restructured Account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Feeds both provisioning and NBS/CRILC reporting</w:t>
            </w:r>
          </w:p>
        </w:tc>
      </w:tr>
    </w:tbl>
    <w:p>
      <w:pPr>
        <w:pStyle w:val="Heading2"/>
      </w:pPr>
      <w:r>
        <w:t xml:space="preserve">9.5 Grievance &amp; Fair Practices Reporting</w:t>
      </w:r>
    </w:p>
    <w:p>
      <w:pPr>
        <w:spacing w:after="140"/>
      </w:pPr>
      <w:r>
        <w:t xml:space="preserve">Complaint capture (channel, category, TAT), resolution tracking, and periodic Board-level and RBI reporting on the Fair Practices Code and Integrated Ombudsman Scheme.</w:t>
      </w:r>
    </w:p>
    <w:p>
      <w:pPr>
        <w:spacing w:after="220" w:before="120"/>
        <w:jc w:val="center"/>
      </w:pPr>
      <w:r>
        <w:drawing>
          <wp:inline distT="0" distB="0" distL="0" distR="0">
            <wp:extent cx="5905500" cy="1666875"/>
            <wp:effectExtent t="0" r="0" b="0" l="0"/>
            <wp:docPr id="1" name="NPA Asset Classification &amp; Provisioning Flow" descr="NPA Asset Classification &amp; Provisioning Flow" title="NPA Asset Classification &amp; Provision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66875"/>
                    </a:xfrm>
                    <a:prstGeom prst="rect">
                      <a:avLst/>
                    </a:prstGeom>
                  </pic:spPr>
                </pic:pic>
              </a:graphicData>
            </a:graphic>
          </wp:inline>
        </w:drawing>
      </w:r>
    </w:p>
    <w:p>
      <w:pPr>
        <w:pStyle w:val="Heading1"/>
        <w:pageBreakBefore/>
      </w:pPr>
      <w:r>
        <w:t xml:space="preserve">10. Credit Information Company (CIC) Reporting Module</w:t>
      </w:r>
    </w:p>
    <w:p>
      <w:pPr>
        <w:pStyle w:val="Heading2"/>
      </w:pPr>
      <w:r>
        <w:t xml:space="preserve">10.1 Regulatory Basis</w:t>
      </w:r>
    </w:p>
    <w:p>
      <w:pPr>
        <w:spacing w:after="140"/>
      </w:pPr>
      <w:r>
        <w:t xml:space="preserve">Under the Credit Information Companies (Regulation) Act, 2005 (CICRA) and RBI directions, the NBFC must report every retail and commercial credit facility to all Credit Information Companies with which it has a membership — currently TransUnion CIBIL, Equifax, Experian, and CRIF High Mark — and must keep the data updated on a monthly basis, typically submitted on or before the 10th day of the month following the reporting month.</w:t>
      </w:r>
    </w:p>
    <w:p>
      <w:pPr>
        <w:pStyle w:val="Heading2"/>
      </w:pPr>
      <w:r>
        <w:t xml:space="preserve">10.2 Consumer Data Format — Uniform Credit Reporting Format</w:t>
      </w:r>
    </w:p>
    <w:p>
      <w:pPr>
        <w:spacing w:after="140"/>
      </w:pPr>
      <w:r>
        <w:t xml:space="preserve">Each bureau accepts data in a broadly harmonised segment-based file structure (the "Uniform Credit Reporting Format"). The LMS generates one such file per bureau per month, with bureau-specific adapter logic for minor field/version differences.</w:t>
      </w:r>
    </w:p>
    <w:p>
      <w:pPr>
        <w:spacing w:after="60" w:before="160"/>
      </w:pPr>
      <w:r>
        <w:rPr>
          <w:b/>
          <w:bCs/>
          <w:color w:val="1F4E78"/>
          <w:sz w:val="19"/>
          <w:szCs w:val="19"/>
        </w:rPr>
        <w:t xml:space="preserve">Table 10.1 — Consumer File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00"/>
        <w:gridCol w:w="4160"/>
      </w:tblGrid>
      <w:tr>
        <w:trPr>
          <w:tblHeader/>
        </w:trPr>
        <w:tc>
          <w:tcPr>
            <w:tcW w:type="dxa" w:w="2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2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41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Header Segment (TUDF)</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File-level control</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Member ID, file/segment counts, reporting month</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Segment (PN)</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identity</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components, Date of Birth, Gender</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Identification Segment (ID)</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 proofs</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Aadhaar/UID (masked), Voter ID, Passport, Driving Licence, Ration Card, CKYC number</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Telephone Segment (PT)</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Contact</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Mobile/landline numbers with type</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Email Contact Segment (EC)</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Contact</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When available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Email address(es)</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Segment (PA)</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type, lines, city, state, PIN code</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Segment (TL)</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account master</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No., Ownership Type, Account Type (mapped from Product Code, Sec. 3), Date Opened/Disbursed, Sanctioned/High-Credit Amount, Current Balance, Amount Overdue, EMI Amount, Rate of Interest, Repayment Tenure, Payment Frequency, Collateral Type, Suit-Filed/Wilful-Default Status</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Account History Segment (TH)</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history</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Month-on-month DPD/asset-classification history, rolling up to 48 months</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End of Subject Segment (ES)</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delimiter</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Marks end of one borrower's full record</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Trailer Segment (TRLR)</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File-level totals</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accounts, total consumers, control totals/checksum</w:t>
            </w:r>
          </w:p>
        </w:tc>
      </w:tr>
    </w:tbl>
    <w:p>
      <w:pPr>
        <w:spacing w:after="160"/>
      </w:pPr>
      <w:r>
        <w:rPr>
          <w:i/>
          <w:iCs/>
          <w:color w:val="555555"/>
          <w:sz w:val="19"/>
          <w:szCs w:val="19"/>
        </w:rPr>
        <w:t xml:space="preserve">Field-level detail (exact tags, character types, mandatory/optional status per field) is published by each bureau in its own Uniform Credit Reporting Format guide; the IT team should build against the current version of each bureau's specification and version-control the mapping, since bureaus periodically add fields (e.g., new account-type codes, new ID-proof types).</w:t>
      </w:r>
    </w:p>
    <w:p>
      <w:pPr>
        <w:pStyle w:val="Heading2"/>
      </w:pPr>
      <w:r>
        <w:t xml:space="preserve">10.3 Commercial Data Format (Non-Individual Borrowers)</w:t>
      </w:r>
    </w:p>
    <w:p>
      <w:pPr>
        <w:spacing w:after="140"/>
      </w:pPr>
      <w:r>
        <w:t xml:space="preserve">For loans to Sole Proprietorships, Partnerships/LLPs, Companies, Trusts, and other non-individual entities (Section 2.4–2.8), bureaus maintain a separate Commercial Bureau file format (broadly analogous in structure — entity identification, address, facility/account, and repayment-history segments, but keyed on PAN/CIN/registration number rather than an individual's identity documents). The LMS routes each loan account to the Consumer or Commercial submission stream automatically, based on the Applicant Type captured at onboarding (Section 2).</w:t>
      </w:r>
    </w:p>
    <w:p>
      <w:pPr>
        <w:pStyle w:val="Heading2"/>
      </w:pPr>
      <w:r>
        <w:t xml:space="preserve">10.4 Bureau Pull (Underwriting-Time)</w:t>
      </w:r>
    </w:p>
    <w:p>
      <w:pPr>
        <w:spacing w:after="140"/>
      </w:pPr>
      <w:r>
        <w:t xml:space="preserve">As referenced in Section 5.1, the same bureau relationships are used to pull consumer/commercial credit reports and scores at application time (soft or hard enquiry, with recorded borrower consent), and — for microfinance applicants — the specific microfinance indebtedness segment used to validate qualifying-asset criteria under Section 3.8.</w:t>
      </w:r>
      <w:r>
        <w:rPr>
          <w:rFonts w:ascii="Arial" w:hAnsi="Arial" w:cs="Arial"/>
          <w:sz w:val="22"/>
        </w:rPr>
        <w:t xml:space="preserve"> The pull type (soft/hard) is recorded with the borrower consent artifact (Section 35), and the returned score, obligations and flags feed both the rules engine (Section 5.2) and the KFS/APR build (Section 45.9).</w:t>
      </w:r>
    </w:p>
    <w:p>
      <w:pPr>
        <w:pStyle w:val="Heading2"/>
      </w:pPr>
      <w:r>
        <w:t xml:space="preserve">10.5 File Generation, Validation &amp; Submission Engine</w:t>
      </w:r>
    </w:p>
    <w:p>
      <w:pPr>
        <w:pStyle w:val="ListParagraph"/>
        <w:numPr>
          <w:ilvl w:val="0"/>
          <w:numId w:val="2"/>
        </w:numPr>
        <w:spacing w:after="60"/>
      </w:pPr>
      <w:r>
        <w:t xml:space="preserve">Monthly batch job extracts every active, closed, written-off, and settled account from the Loan Servicing and Collections modules (Sections 6–7) into the bureau file layout.</w:t>
      </w:r>
    </w:p>
    <w:p>
      <w:pPr>
        <w:pStyle w:val="ListParagraph"/>
        <w:numPr>
          <w:ilvl w:val="0"/>
          <w:numId w:val="2"/>
        </w:numPr>
        <w:spacing w:after="60"/>
      </w:pPr>
      <w:r>
        <w:t xml:space="preserve">Pre-submission Data Quality (DQ) engine validates mandatory fields, date formats, checksum/control totals, and flags exceptions (e.g., missing PAN, invalid pincode) for correction before submission — since bureaus reject non-compliant records.</w:t>
      </w:r>
    </w:p>
    <w:p>
      <w:pPr>
        <w:pStyle w:val="ListParagraph"/>
        <w:numPr>
          <w:ilvl w:val="0"/>
          <w:numId w:val="2"/>
        </w:numPr>
        <w:spacing w:after="60"/>
      </w:pPr>
      <w:r>
        <w:t xml:space="preserve">Per-bureau adapters handle each bureau's minor format/version differences and delivery mechanism (SFTP/portal upload).</w:t>
      </w:r>
    </w:p>
    <w:p>
      <w:pPr>
        <w:pStyle w:val="ListParagraph"/>
        <w:numPr>
          <w:ilvl w:val="0"/>
          <w:numId w:val="2"/>
        </w:numPr>
        <w:spacing w:after="60"/>
      </w:pPr>
      <w:r>
        <w:t xml:space="preserve">Submission log retained for audit — file sent, acknowledgement received, rejected-record count and reason, resubmission history.</w:t>
      </w:r>
    </w:p>
    <w:p>
      <w:pPr>
        <w:pStyle w:val="Heading2"/>
      </w:pPr>
      <w:r>
        <w:t xml:space="preserve">10.6 Dispute &amp; Correction Workflow</w:t>
      </w:r>
    </w:p>
    <w:p>
      <w:pPr>
        <w:spacing w:after="140"/>
      </w:pPr>
      <w:r>
        <w:t xml:space="preserve">When a borrower raises a dispute (directly or via a bureau's correction request), the module routes it to the Compliance/Ops team, tracks the statutory turnaround time for investigation and correction, and — once resolved — auto-generates a corrected record for the next submission cycle.</w:t>
      </w:r>
    </w:p>
    <w:p>
      <w:pPr>
        <w:pStyle w:val="Heading1"/>
        <w:pageBreakBefore/>
      </w:pPr>
      <w:r>
        <w:t xml:space="preserve">11. Core Data Model — Key Entities</w:t>
      </w:r>
    </w:p>
    <w:p>
      <w:pPr>
        <w:spacing w:after="140"/>
      </w:pPr>
      <w:r>
        <w:t xml:space="preserve">The entities below are the backbone of the transactional database; every module in Sections 1–10 reads/writes against this shared model rather than maintaining its own silo.</w:t>
      </w:r>
    </w:p>
    <w:p>
      <w:pPr>
        <w:spacing w:after="60" w:before="160"/>
      </w:pPr>
      <w:r>
        <w:rPr>
          <w:b/>
          <w:bCs/>
          <w:color w:val="1F4E78"/>
          <w:sz w:val="19"/>
          <w:szCs w:val="19"/>
        </w:rPr>
        <w:t xml:space="preserve">Table 11.1 — Key Entities &amp;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Entity</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 / Relationships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Super-type for Individual/Entity (Sole Prop, Partnership/LLP, Company, HUF, Trust) and Group (JLG/SHG); one Party can hold multiple Roles (Borrower, Co-borrower, Guarantor, Director, Trustee)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Customer/KYC Profile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with Party; holds Section 2 fields, KYC documents, risk category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One row per product (Section 3); holds configuration parameters and dynamic form-field schema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Core transactional entity; links Party + Product Master + sanction terms + status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Pre-sanction record; converts into a Loan Account on disbursement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Collateral/Security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Polymorphic — Demat Securities (LAS), Property (LAP), Gold Ornament Packet (Gold Loan), Vehicle (VL), Invoice (SCF); linked 1:many to Loan Account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Installment-wise principal/interest breakup per Loan Account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Transaction/Ledger Entry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Every disbursement, repayment, fee, charge — double-entry linked to GL (Section 8)</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Account (Chart of Accounts)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8.1 hierarchy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Report/Submission Record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Stores bureau pull responses and monthly submission batches (Section 10)</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 Return Instance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One row per generated RBI return, with status and submission reference (Section 9)</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Metadata + storage reference for every uploaded/generated file, linked to any of the above entities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User/Role/Branch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1.4 access model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 Log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SMS/email/WhatsApp/letter sent, linked to Party and Loan Account</w:t>
            </w:r>
          </w:p>
        </w:tc>
      </w:tr>
    </w:tbl>
    <w:p>
      <w:pPr>
        <w:spacing w:after="220" w:before="120"/>
        <w:jc w:val="center"/>
      </w:pPr>
      <w:r>
        <w:drawing>
          <wp:inline distT="0" distB="0" distL="0" distR="0">
            <wp:extent cx="5334000" cy="4819650"/>
            <wp:effectExtent t="0" r="0" b="0" l="0"/>
            <wp:docPr id="1" name="Simplified Entity Relationship Overview" descr="Simplified Entity Relationship Overview" title="Simplified Entity 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19650"/>
                    </a:xfrm>
                    <a:prstGeom prst="rect">
                      <a:avLst/>
                    </a:prstGeom>
                  </pic:spPr>
                </pic:pic>
              </a:graphicData>
            </a:graphic>
          </wp:inline>
        </w:drawing>
      </w:r>
    </w:p>
    <w:p>
      <w:pPr>
        <w:pStyle w:val="Heading3"/>
      </w:pPr>
      <w:r>
        <w:t xml:space="preserve">11.2 Key Attributes — Primary &amp; Foreign Keys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700"/>
        <w:gridCol w:w="2660"/>
      </w:tblGrid>
      <w:tr>
        <w:trPr>
          <w:tblHeader/>
        </w:trPr>
        <w:tc>
          <w:tcPr>
            <w:tcW w:type="dxa" w:w="2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Entity</w:t>
            </w:r>
          </w:p>
        </w:tc>
        <w:tc>
          <w:tcPr>
            <w:tcW w:type="dxa" w:w="3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Key Attributes</w:t>
            </w:r>
          </w:p>
        </w:tc>
        <w:tc>
          <w:tcPr>
            <w:tcW w:type="dxa" w:w="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
            </w:r>
          </w:p>
        </w:tc>
        <w:tc>
          <w:tcPr>
            <w:tcW w:type="dxa" w:w="26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party_id (PK)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Natural keys: PAN, Aadhaar-hash (unique, indexed)</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Customer/KYC Profile</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kyc_id (PK), party_id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with Party</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Master</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product_code (PK)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Referenced by Application and Loan Account</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Application</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application_id (PK), party_id (FK), product_code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Converts to loan_account_id on disbursement</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Account</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loan_account_id (PK), party_id (FK), product_code (FK), application_id (FK)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Central transactional entity</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Collateral/Security</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collateral_id (PK), loan_account_id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Polymorphic type discriminator column (LAS/LAP/Gold/Vehicle/Invoice)</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schedule_id (PK), loan_account_id (FK), installment_no</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Composite uniqueness on (loan_account_id, installment_no)</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Transaction/Ledger Entry</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txn_id (PK), loan_account_id (FK), gl_account_id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Double-entry: debit_gl_account_id, credit_gl_account_id</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Account (COA)</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gl_account_id (PK), parent_gl_account_id (FK, self-referencing)</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Hierarchical COA per Section 8.1</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Report/Submission</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submission_id (PK), loan_account_id (FK), bureau_code</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One row per bureau per cycle</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 Return Instance</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return_id (PK), return_code, period</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Composite uniqueness on (return_code, period)</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document_id (PK), owner_type, owner_id (polymorphic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owner_type discriminates Party/Application/Loan Account etc.</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User/Role/Branch</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user_id (PK), role_id (FK), branch_id (FK)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 Log</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comm_id (PK), party_id (FK), loan_account_id (FK, nullable)</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1"/>
        <w:pageBreakBefore/>
      </w:pPr>
      <w:r>
        <w:t xml:space="preserve">12. Integration Architecture</w:t>
      </w:r>
    </w:p>
    <w:p>
      <w:pPr>
        <w:spacing w:after="60" w:before="160"/>
      </w:pPr>
      <w:r>
        <w:rPr>
          <w:b/>
          <w:bCs/>
          <w:color w:val="1F4E78"/>
          <w:sz w:val="19"/>
          <w:szCs w:val="19"/>
        </w:rPr>
        <w:t xml:space="preserve">Table 12.1 —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800"/>
        <w:gridCol w:w="3860"/>
      </w:tblGrid>
      <w:tr>
        <w:trPr>
          <w:tblHeader/>
        </w:trPr>
        <w:tc>
          <w:tcPr>
            <w:tcW w:type="dxa" w:w="3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Integration</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Category</w:t>
            </w:r>
          </w:p>
        </w:tc>
        <w:tc>
          <w:tcPr>
            <w:tcW w:type="dxa" w:w="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Purpose</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Aadhaar eKYC / Offline XML / Video KYC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Identity verification at onboarding (Section 2)</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CKYC Registry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Search/download/upload KYC records (KRA compliance)</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Verification (NSDL/Protean)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MCA21 / CIN Verification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company borrowers (Section 2.6)</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GSTN (GST Verification &amp; e-Invoice IRN)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KYC/Servicing</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 validation; e-invoice IRN validation for Supply Chain Finance (Section 3.7)</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Vahan (MoRTH Vehicle Registry)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RC/hypothecation verification for Vehicle Loans (Section 3.6)</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Information Companies (CIBIL/Equifax/Experian/CRIF High Mark)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Pull (underwriting) and push (monthly reporting) — Sections 5.1 &amp; 10</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Depository (NSDL/CDSL)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Pledge creation/confirmation for LAS (Section 3.1)</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Payment Gateway / UPI / NACH / e-NACH / IMPS-NEFT-RTGS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Payments</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Disbursement, EMI collection, auto-debit mandates</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e-Sign / e-Stamping Vendors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agreement execution (Section 4)</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RBI CIMS Portal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Return submission (Section 9.3)</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SMS / Email / WhatsApp Business API</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Statements, reminders, statutory notices</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Valuation &amp; Legal-Search Empanelled Vendors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LAP (Section 3.3)</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CERSAI</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of security interest over immovable property (Section 3.3)</w:t>
            </w:r>
          </w:p>
        </w:tc>
      </w:tr>
      <w:tr>
        <w:tc>
          <w:tcPr>
            <w:tcW w:type="dxa" w:w="3400"/>
          </w:tcPr>
          <w:p>
            <w:pPr>
              <w:spacing w:after="0" w:before="0"/>
            </w:pPr>
            <w:r/>
            <w:r>
              <w:rPr>
                <w:rFonts w:ascii="Arial" w:hAnsi="Arial" w:cs="Arial"/>
                <w:b w:val="0"/>
                <w:sz w:val="17"/>
              </w:rPr>
              <w:t>Account Aggregator (Sahamati AA)</w:t>
            </w:r>
          </w:p>
        </w:tc>
        <w:tc>
          <w:tcPr>
            <w:tcW w:type="dxa" w:w="1300"/>
          </w:tcPr>
          <w:p>
            <w:pPr>
              <w:spacing w:after="0" w:before="0"/>
            </w:pPr>
            <w:r/>
            <w:r>
              <w:rPr>
                <w:rFonts w:ascii="Arial" w:hAnsi="Arial" w:cs="Arial"/>
                <w:b w:val="0"/>
                <w:sz w:val="17"/>
              </w:rPr>
              <w:t>Data/Consent</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Consent-based pull of bank statements/GST/investment data via an RBI-licensed Account Aggregator (Sections 3.33, 43.1).</w:t>
            </w:r>
          </w:p>
        </w:tc>
      </w:tr>
      <w:tr>
        <w:tc>
          <w:tcPr>
            <w:tcW w:type="dxa" w:w="3400"/>
          </w:tcPr>
          <w:p>
            <w:pPr>
              <w:spacing w:after="0" w:before="0"/>
            </w:pPr>
            <w:r/>
            <w:r>
              <w:rPr>
                <w:rFonts w:ascii="Arial" w:hAnsi="Arial" w:cs="Arial"/>
                <w:b w:val="0"/>
                <w:sz w:val="17"/>
              </w:rPr>
              <w:t>DigiLocker</w:t>
            </w:r>
          </w:p>
        </w:tc>
        <w:tc>
          <w:tcPr>
            <w:tcW w:type="dxa" w:w="1300"/>
          </w:tcPr>
          <w:p>
            <w:pPr>
              <w:spacing w:after="0" w:before="0"/>
            </w:pPr>
            <w:r/>
            <w:r>
              <w:rPr>
                <w:rFonts w:ascii="Arial" w:hAnsi="Arial" w:cs="Arial"/>
                <w:b w:val="0"/>
                <w:sz w:val="17"/>
              </w:rPr>
              <w:t>KYC/Docs</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Consent-based fetch of issued documents (RC, education, land records) for verification.</w:t>
            </w:r>
          </w:p>
        </w:tc>
      </w:tr>
      <w:tr>
        <w:tc>
          <w:tcPr>
            <w:tcW w:type="dxa" w:w="3400"/>
          </w:tcPr>
          <w:p>
            <w:pPr>
              <w:spacing w:after="0" w:before="0"/>
            </w:pPr>
            <w:r/>
            <w:r>
              <w:rPr>
                <w:rFonts w:ascii="Arial" w:hAnsi="Arial" w:cs="Arial"/>
                <w:b w:val="0"/>
                <w:sz w:val="17"/>
              </w:rPr>
              <w:t>LEI Issuer (LEIL/CCIL)</w:t>
            </w:r>
          </w:p>
        </w:tc>
        <w:tc>
          <w:tcPr>
            <w:tcW w:type="dxa" w:w="1300"/>
          </w:tcPr>
          <w:p>
            <w:pPr>
              <w:spacing w:after="0" w:before="0"/>
            </w:pPr>
            <w:r/>
            <w:r>
              <w:rPr>
                <w:rFonts w:ascii="Arial" w:hAnsi="Arial" w:cs="Arial"/>
                <w:b w:val="0"/>
                <w:sz w:val="17"/>
              </w:rPr>
              <w:t>KYC</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Validate Legal Entity Identifier for entity borrowers ≥ ₹5 crore exposure (Section 43.2).</w:t>
            </w:r>
          </w:p>
        </w:tc>
      </w:tr>
      <w:tr>
        <w:tc>
          <w:tcPr>
            <w:tcW w:type="dxa" w:w="3400"/>
          </w:tcPr>
          <w:p>
            <w:pPr>
              <w:spacing w:after="0" w:before="0"/>
            </w:pPr>
            <w:r/>
            <w:r>
              <w:rPr>
                <w:rFonts w:ascii="Arial" w:hAnsi="Arial" w:cs="Arial"/>
                <w:b w:val="0"/>
                <w:sz w:val="17"/>
              </w:rPr>
              <w:t>FIU-IND FINnet 2.0</w:t>
            </w:r>
          </w:p>
        </w:tc>
        <w:tc>
          <w:tcPr>
            <w:tcW w:type="dxa" w:w="1300"/>
          </w:tcPr>
          <w:p>
            <w:pPr>
              <w:spacing w:after="0" w:before="0"/>
            </w:pPr>
            <w:r/>
            <w:r>
              <w:rPr>
                <w:rFonts w:ascii="Arial" w:hAnsi="Arial" w:cs="Arial"/>
                <w:b w:val="0"/>
                <w:sz w:val="17"/>
              </w:rPr>
              <w:t>Regulatory</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Submission channel for CTR/STR/NTR/CCR (Section 16.2).</w:t>
            </w:r>
          </w:p>
        </w:tc>
      </w:tr>
    </w:tbl>
    <w:p>
      <w:pPr>
        <w:pStyle w:val="Heading1"/>
        <w:pageBreakBefore/>
      </w:pPr>
      <w:r>
        <w:t xml:space="preserve">13. Reports &amp; Dashboards (MIS)</w:t>
      </w:r>
    </w:p>
    <w:p>
      <w:pPr>
        <w:spacing w:after="60" w:before="160"/>
      </w:pPr>
      <w:r>
        <w:rPr>
          <w:b/>
          <w:bCs/>
          <w:color w:val="1F4E78"/>
          <w:sz w:val="19"/>
          <w:szCs w:val="19"/>
        </w:rPr>
        <w:t xml:space="preserve">Table 13.1 — 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Report / Tool</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Portfolio Dashboard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Disbursement, AUM, product mix, branch-wise, real-time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Delinquency / PAR (Portfolio at Risk)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product-wise, vintage/cohort analysis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Efficiency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Current-month and roll-back/roll-forward rates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NPA Trend &amp; Provisioning Summary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Feeds Section 9.4 and statutory disclosures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Profitability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Yield, cost of funds, opex allocation per product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Regulatory Return Status Tracker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Due dates, generation status, submission acknowledgement (Section 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 Submission Status Tracker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sent/rejected/accepted counts per bureau per month (Section 10)</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Ad-hoc Report Builder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Tool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Drag-and-drop query builder over the reporting data mart for Compliance/Finance self-service</w:t>
            </w:r>
          </w:p>
        </w:tc>
      </w:tr>
    </w:tbl>
    <w:p>
      <w:pPr>
        <w:pStyle w:val="Heading1"/>
        <w:pageBreakBefore/>
      </w:pPr>
      <w:r>
        <w:t xml:space="preserve">14. Security, Data Privacy &amp; Audit</w:t>
      </w:r>
    </w:p>
    <w:p>
      <w:pPr/>
      <w:r>
        <w:rPr>
          <w:rFonts w:ascii="Arial" w:hAnsi="Arial" w:cs="Arial"/>
          <w:i/>
          <w:color w:val="8B4513"/>
          <w:sz w:val="20"/>
        </w:rPr>
        <w:t xml:space="preserve">Note — retained from Version 1.0 for context. The authoritative security specification is Section 34 (with the control matrix in Section 50.2); see the Single-Source-of-Truth map.</w:t>
      </w:r>
    </w:p>
    <w:p>
      <w:pPr>
        <w:pStyle w:val="ListParagraph"/>
        <w:numPr>
          <w:ilvl w:val="0"/>
          <w:numId w:val="2"/>
        </w:numPr>
        <w:spacing w:after="60"/>
      </w:pPr>
      <w:r>
        <w:t xml:space="preserve">Role-Based Access Control (RBAC) at module, screen, and field level, layered with branch/region scoping (Section 1.4).</w:t>
      </w:r>
    </w:p>
    <w:p>
      <w:pPr>
        <w:pStyle w:val="ListParagraph"/>
        <w:numPr>
          <w:ilvl w:val="0"/>
          <w:numId w:val="2"/>
        </w:numPr>
        <w:spacing w:after="60"/>
      </w:pPr>
      <w:r>
        <w:t xml:space="preserve">Multi-Factor Authentication (MFA) for internal users; OTP-based authentication for the Borrower Self-Service Portal.</w:t>
      </w:r>
    </w:p>
    <w:p>
      <w:pPr>
        <w:pStyle w:val="ListParagraph"/>
        <w:numPr>
          <w:ilvl w:val="0"/>
          <w:numId w:val="2"/>
        </w:numPr>
        <w:spacing w:after="60"/>
      </w:pPr>
      <w:r>
        <w:t xml:space="preserve">Encryption in transit (TLS) and at rest for all PII and financial data; field-level masking/tokenisation for PAN, Aadhaar, and account numbers wherever displayed.</w:t>
      </w:r>
    </w:p>
    <w:p>
      <w:pPr>
        <w:pStyle w:val="ListParagraph"/>
        <w:numPr>
          <w:ilvl w:val="0"/>
          <w:numId w:val="2"/>
        </w:numPr>
        <w:spacing w:after="60"/>
      </w:pPr>
      <w:r>
        <w:t xml:space="preserve">Immutable audit trail — every create/update/delete on financial, KYC, and regulatory data logged with user, timestamp, before/after values.</w:t>
      </w:r>
    </w:p>
    <w:p>
      <w:pPr>
        <w:pStyle w:val="ListParagraph"/>
        <w:numPr>
          <w:ilvl w:val="0"/>
          <w:numId w:val="2"/>
        </w:numPr>
        <w:spacing w:after="60"/>
      </w:pPr>
      <w:r>
        <w:t xml:space="preserve">Compliance with the Digital Personal Data Protection (DPDP) Act, 2023 — consent capture for data processing/sharing, data-subject request handling, purpose limitation, and data retention/erasure schedules.</w:t>
      </w:r>
    </w:p>
    <w:p>
      <w:pPr>
        <w:pStyle w:val="ListParagraph"/>
        <w:numPr>
          <w:ilvl w:val="0"/>
          <w:numId w:val="2"/>
        </w:numPr>
        <w:spacing w:after="60"/>
      </w:pPr>
      <w:r>
        <w:t xml:space="preserve">Segregation of duties (maker-checker) enforced on disbursement, GL adjustment entries, regulatory return submission, and bureau file submission.</w:t>
      </w:r>
    </w:p>
    <w:p>
      <w:pPr>
        <w:pStyle w:val="ListParagraph"/>
        <w:numPr>
          <w:ilvl w:val="0"/>
          <w:numId w:val="2"/>
        </w:numPr>
        <w:spacing w:after="60"/>
      </w:pPr>
      <w:r>
        <w:t xml:space="preserve">Periodic VAPT (Vulnerability Assessment &amp; Penetration Testing) and secure SDLC practices, as expected of RBI-regulated entities' IT frameworks.</w:t>
      </w:r>
    </w:p>
    <w:p>
      <w:pPr>
        <w:pStyle w:val="Heading1"/>
        <w:pageBreakBefore/>
      </w:pPr>
      <w:r>
        <w:t xml:space="preserve">15. Non-Functional &amp; SaaS Multi-Tenancy Considerations</w:t>
      </w:r>
    </w:p>
    <w:p>
      <w:pPr/>
      <w:r>
        <w:rPr>
          <w:rFonts w:ascii="Arial" w:hAnsi="Arial" w:cs="Arial"/>
          <w:i/>
          <w:color w:val="8B4513"/>
          <w:sz w:val="20"/>
        </w:rPr>
        <w:t xml:space="preserve">Note — retained from Version 1.0 for context. Authoritative, testable NFRs are in Section 29 (catalogued with IDs in Section 50.1); see the Single-Source-of-Truth map.</w:t>
      </w:r>
    </w:p>
    <w:p>
      <w:pPr>
        <w:spacing w:after="60" w:before="160"/>
      </w:pPr>
      <w:r>
        <w:rPr>
          <w:b/>
          <w:bCs/>
          <w:color w:val="1F4E78"/>
          <w:sz w:val="19"/>
          <w:szCs w:val="19"/>
        </w:rPr>
        <w:t xml:space="preserve">Table 15.1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Tenant Isolation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Logical isolation (schema-per-tenant or row-level tenant_id) with strict query-layer enforcement; no cross-tenant data leakage even at the database layer</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Configurability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Product parameters, form fields, workflow stages, DOA matrix, COA, and regulatory-returns catalogue are all admin-configurable — new products/entity types should not require a code release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Scalability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Stateless application services behind a load balancer; database read-replicas for reporting workloads so MIS/regulatory queries do not impact transactional performance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Disaster Recovery / Business Continuity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Defined RPO/RTO; geographically separate DR site; periodic DR drills, consistent with RBI's IT governance expectations for regulated entities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API-First Design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Every module exposes documented REST/GraphQL APIs, enabling the Borrower Portal, mobile/PWA app, and future third-party integrations to consume the same services as the web application</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Observability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Centralised logging, metrics, and alerting across all services; SLA/TAT dashboards for both business and regulatory-submission timelines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Data Localisation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All storage and processing within India, per RBI's data-localisation requirements applicable to payment/financial data</w:t>
            </w:r>
          </w:p>
        </w:tc>
      </w:tr>
    </w:tbl>
    <w:p>
      <w:pPr>
        <w:pStyle w:val="Heading1"/>
        <w:pageBreakBefore/>
      </w:pPr>
      <w:r>
        <w:t xml:space="preserve">16. AML / CFT &amp; PMLA Compliance Module</w:t>
      </w:r>
    </w:p>
    <w:p>
      <w:pPr>
        <w:spacing w:after="140"/>
      </w:pPr>
      <w:r>
        <w:t xml:space="preserve">Distinct from RBI prudential/CIC reporting (Sections 9–10 &amp; 13), the Prevention of Money Laundering Act, 2002 (PMLA) and RBI's KYC/AML directions require the NBFC to monitor transactions and report specified items to the Financial Intelligence Unit-India (FIU-IND), independent of the borrower's credit performance.</w:t>
      </w:r>
    </w:p>
    <w:p>
      <w:pPr>
        <w:pStyle w:val="Heading2"/>
      </w:pPr>
      <w:r>
        <w:t xml:space="preserve">16.1 Transaction Monitoring &amp;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Sanctions/Watchlist Screening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Engine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Screens every Party (Section 2) at onboarding and periodically against UN/UAPA/OFAC and internal negative lists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Cash Transaction Monitoring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Flags cash disbursement/repayment above regulatory thresholds for Cash Transaction Report (CTR) aggregation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Suspicious Pattern Detection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Rules/Analytics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Structuring, rapid repayment/foreclosure inconsistent with income profile, third-party fund flows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PEP &amp; High-Risk Customer Overlay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Linked to Section 2.11 risk categorization</w:t>
            </w:r>
          </w:p>
        </w:tc>
      </w:tr>
    </w:tbl>
    <w:p>
      <w:pPr>
        <w:pStyle w:val="Heading2"/>
      </w:pPr>
      <w:r>
        <w:t xml:space="preserve">16.2 Statutory Reporting to FIU-IND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Report</w:t>
            </w:r>
          </w:p>
        </w:tc>
        <w:tc>
          <w:tcPr>
            <w:tcW w:type="dxa" w:w="2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Frequency</w:t>
            </w:r>
          </w:p>
        </w:tc>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Scope</w:t>
            </w:r>
          </w:p>
        </w:tc>
        <w:tc>
          <w:tcPr>
            <w:tcW w:type="dxa" w:w="19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Transaction Report (CTR)</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qualifying cash transactions</w:t>
            </w:r>
          </w:p>
        </w:tc>
        <w:tc>
          <w:tcPr>
            <w:tcW w:type="dxa" w:w="1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Aggregated per PMLA Rules; auto-compiled from Section 6 (Servicing) and Section 7 (Collections) cash entries</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Suspicious Transaction Report (STR)</w:t>
            </w:r>
          </w:p>
        </w:tc>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Event-based, within prescribed timeline of detection</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Flagged transactions/relationships</w:t>
            </w:r>
          </w:p>
        </w:tc>
        <w:tc>
          <w:tcPr>
            <w:tcW w:type="dxa" w:w="19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Maker-checker workflow: alert → investigation → Principal Officer sign-off → FIU-INDIA submission</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Non-Profit Organisation Transaction Report (NTR)</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Transactions with registered NPOs, if applicable</w:t>
            </w:r>
          </w:p>
        </w:tc>
        <w:tc>
          <w:tcPr>
            <w:tcW w:type="dxa" w:w="1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Counterfeit Currency Report (CCR)</w:t>
            </w:r>
          </w:p>
        </w:tc>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Event-based</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applicable to cash-heavy products (e.g. Gold Loan)</w:t>
            </w:r>
          </w:p>
        </w:tc>
        <w:tc>
          <w:tcPr>
            <w:tcW w:type="dxa" w:w="19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2"/>
      </w:pPr>
      <w:r>
        <w:t xml:space="preserve">16.3 Principal Officer &amp; Record-Keeping</w:t>
      </w:r>
    </w:p>
    <w:p>
      <w:pPr>
        <w:pStyle w:val="ListParagraph"/>
        <w:numPr>
          <w:ilvl w:val="0"/>
          <w:numId w:val="2"/>
        </w:numPr>
        <w:spacing w:after="60"/>
      </w:pPr>
      <w:r>
        <w:t xml:space="preserve">A designated Principal Officer role (Section 1.4) with a dedicated queue for STR/CTR review and FIU-IND submission sign-off.</w:t>
      </w:r>
      <w:r>
        <w:rPr>
          <w:rFonts w:ascii="Arial" w:hAnsi="Arial" w:cs="Arial"/>
          <w:sz w:val="22"/>
        </w:rPr>
        <w:t xml:space="preserve"> The Principal Officer’s decisions, the underlying alerts, and the FIU-IND acknowledgements are retained in an immutable case file so the end-to-end AML decision trail is reconstructable on inspection.</w:t>
      </w:r>
    </w:p>
    <w:p>
      <w:pPr>
        <w:pStyle w:val="ListParagraph"/>
        <w:numPr>
          <w:ilvl w:val="0"/>
          <w:numId w:val="2"/>
        </w:numPr>
        <w:spacing w:after="60"/>
      </w:pPr>
      <w:r>
        <w:t xml:space="preserve">Records of all transactions and KYC documents retained for the statutory minimum period (currently 5 years from the date of transaction/relationship closure) with tamper-evident audit logging.</w:t>
      </w:r>
    </w:p>
    <w:p>
      <w:pPr>
        <w:pStyle w:val="ListParagraph"/>
        <w:numPr>
          <w:ilvl w:val="0"/>
          <w:numId w:val="2"/>
        </w:numPr>
        <w:spacing w:after="60"/>
      </w:pPr>
      <w:r>
        <w:t xml:space="preserve">Annual AML/CFT policy review and staff training tracker, reportable to the Board.</w:t>
      </w:r>
    </w:p>
    <w:p>
      <w:pPr>
        <w:pStyle w:val="Heading1"/>
        <w:pageBreakBefore/>
      </w:pPr>
      <w:r>
        <w:t xml:space="preserve">17. Digital Lending Compliance (Key Fact Statement, APR &amp; Cooling-Off)</w:t>
      </w:r>
    </w:p>
    <w:p>
      <w:pPr>
        <w:spacing w:after="140"/>
      </w:pPr>
      <w:r>
        <w:t xml:space="preserve">Because the LMS is a digital/SaaS lending platform, the Loan Agreement stage (Section 4) must produce RBI's Digital Lending Directions disclosures for every retail and MSME loan, regardless of product.</w:t>
      </w:r>
    </w:p>
    <w:p>
      <w:pPr>
        <w:pStyle w:val="Heading2"/>
      </w:pPr>
      <w:r>
        <w:t xml:space="preserve">17.1 Key Fact Statement (KFS)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Percentage Rate (APR)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All-in cost of credit — interest plus all fees/charges — computed and disclosed in a standardised format before sanction acceptance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Itemised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Processing fee, insurance premium (if bundled), stamp duty, other charges, each shown separately from APR build-up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Recovery Mechanism Disclosure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Contact details, process, and grievance escalation for collections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Cooling-Off / Right-to-Exit Period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 +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may exit the loan by repaying principal and proportionate APR-based cost within the disclosed cooling-off window, without penalty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Grievance Redressal Officer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Named officer/contact for digital-lending-specific complaints</w:t>
            </w:r>
          </w:p>
        </w:tc>
      </w:tr>
    </w:tbl>
    <w:p>
      <w:pPr>
        <w:pStyle w:val="Heading2"/>
      </w:pPr>
      <w:r>
        <w:t xml:space="preserve">17.2 Lending Service Provider (LSP) &amp; Default Loss Guarantee (FLDG) Tagging</w:t>
      </w:r>
    </w:p>
    <w:p>
      <w:pPr>
        <w:spacing w:after="140"/>
      </w:pPr>
      <w:r>
        <w:t xml:space="preserve">Where a loan is sourced through a Lending Service Provider/fintech partner rather than the NBFC's own channel, the following are tracked so the arrangement stays within RBI's permitted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LSP/Partner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Vendor/Empanelment Master (Section 21)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Sourcing Channel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Direct/DSA/LSP-Digital Partner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First Loss Default Guarantee (FLDG) Cover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Capped per RBI's permitted structure; tracked against the NBFC's own-book exposure, not net-settled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Consent to Data Sharing with LSP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Explicit, revocable consent captured and logged</w:t>
            </w:r>
          </w:p>
        </w:tc>
      </w:tr>
    </w:tbl>
    <w:p>
      <w:pPr>
        <w:pStyle w:val="Heading2"/>
      </w:pPr>
      <w:r>
        <w:t xml:space="preserve">17.3 Algorithmic/Automated Decisioning Disclosure</w:t>
      </w:r>
    </w:p>
    <w:p>
      <w:pPr>
        <w:spacing w:after="140"/>
      </w:pPr>
      <w:r>
        <w:t xml:space="preserve">Where credit decisions (Section 5) are automated/algorithmic, the system logs the key input features considered, for regulatory inspection and for responding to borrower queries about an adverse decision.</w:t>
      </w:r>
    </w:p>
    <w:p>
      <w:pPr>
        <w:pStyle w:val="Heading1"/>
        <w:pageBreakBefore/>
      </w:pPr>
      <w:r>
        <w:t xml:space="preserve">18. Co-Lending, Loan Assignment &amp; Securitization Module</w:t>
      </w:r>
    </w:p>
    <w:p>
      <w:pPr>
        <w:spacing w:after="140"/>
      </w:pPr>
      <w:r>
        <w:t xml:space="preserve">Many NBFCs co-lend with banks under RBI's co-lending framework, or sell down loans via direct assignment or securitization for liquidity/capital management. This changes both the accounting treatment (Section 8) and the RBI/CIC reporting (Sections 9 &amp; 13), so it is modelled as its own module rather than bolted onto the core Loan Account entity.</w:t>
      </w:r>
    </w:p>
    <w:p>
      <w:pPr>
        <w:pStyle w:val="Heading2"/>
      </w:pPr>
      <w:r>
        <w:t xml:space="preserve">18.1 Co-Lending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Co-Lending Partner (Bank)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Master of partner banks with agreed sourcing/risk-sharing terms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Risk-Sharing Ratio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 split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80:20 — determines which entity books how much of the loan on its own balance sheet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Blended Interest Rate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the co-lending agreement's pricing formula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Partner-Bank Reporting Feed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Data exchange for the partner bank's own books/regulatory reporting</w:t>
            </w:r>
          </w:p>
        </w:tc>
      </w:tr>
    </w:tbl>
    <w:p>
      <w:pPr>
        <w:pStyle w:val="Heading2"/>
      </w:pPr>
      <w:r>
        <w:t xml:space="preserve">18.2 Direct Assignment / Loan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Pool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Groups loan accounts sold in a single assignment transaction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 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Bank/NBFC/ARC purchasing the pool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Retention Requirement (MRR)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NBFC's retained economic interest per RBI's assignment/securitization directions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True-Sale Accounting Treatment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De-recognition of the loan from the NBFC's book on satisfying true-sale conditions; gain/loss on sale computed and posted to the GL (Section 8.2)</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 Retained/Transferred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the NBFC continues to service the loan post-sale, servicing fee income is tracked separately</w:t>
            </w:r>
          </w:p>
        </w:tc>
      </w:tr>
    </w:tbl>
    <w:p>
      <w:pPr>
        <w:pStyle w:val="Heading2"/>
      </w:pPr>
      <w:r>
        <w:t xml:space="preserve">18.3 Securitization (Pass-Through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Special Purpose Entity (SPE)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Pass-Through Certificate (PTC) Series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Enhancement Provided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collateral/subordination retained by the originating NBFC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Investor Reporting Pack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Pool performance, collections waterfall, and delinquency reporting to PTC investors</w:t>
            </w:r>
          </w:p>
        </w:tc>
      </w:tr>
    </w:tbl>
    <w:p>
      <w:pPr>
        <w:spacing w:after="160"/>
      </w:pPr>
      <w:r>
        <w:rPr>
          <w:i/>
          <w:iCs/>
          <w:color w:val="555555"/>
          <w:sz w:val="19"/>
          <w:szCs w:val="19"/>
        </w:rPr>
        <w:t xml:space="preserve">Co-lending, assignment, and securitization each carry specific RBI disclosure and reporting obligations (including their own NBS/board-disclosure line items); the Regulatory Returns Catalogue in Section 9.2 should be extended to include the applicable co-lending/assignment/securitization returns as an additional configuration entry.</w:t>
      </w:r>
    </w:p>
    <w:p>
      <w:pPr>
        <w:pStyle w:val="Heading1"/>
        <w:pageBreakBefore/>
      </w:pPr>
      <w:r>
        <w:t xml:space="preserve">19. Insurance Module</w:t>
      </w:r>
    </w:p>
    <w:p>
      <w:pPr>
        <w:spacing w:after="140"/>
      </w:pPr>
      <w:r>
        <w:t xml:space="preserve">Credit life, asset (property/vehicle/gold), and group insurance are referenced individually within several product forms in Section 3; this module centralises policy issuance, premium handling, and claims so they are not re-built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Insurance Product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Insurer, product type (Credit Life/Asset/Group Credit Life for Microfinance), premium rate card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Issuance at 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Auto-offers/attaches the applicable policy based on product type (Section 3); borrower consent captured for bundled insurance per Fair Practices Code (no forced bundling)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Premium Financing vs. Upfront Payment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financed, added to the loan amount and disclosed in the KFS (Section 17.1)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Number &amp; Sum Assured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Claims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Intimation, document collection, insurer follow-up, settlement — settlement proceeds applied against outstanding loan balance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Insurer Reconciliation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Premium collected vs. remitted to insurer, commission earned</w:t>
            </w:r>
          </w:p>
        </w:tc>
      </w:tr>
    </w:tbl>
    <w:p>
      <w:pPr>
        <w:pStyle w:val="Heading1"/>
        <w:pageBreakBefore/>
      </w:pPr>
      <w:r>
        <w:t xml:space="preserve">20. Document Generation &amp; Templates</w:t>
      </w:r>
    </w:p>
    <w:p>
      <w:pPr>
        <w:spacing w:after="140"/>
      </w:pPr>
      <w:r>
        <w:t xml:space="preserve">Every document below is system-generated from a versioned template merged with live loan/borrower data, and stored in the Document Management module (Section 1.3) against the relevant Party/Application/Loan Account.</w:t>
      </w:r>
    </w:p>
    <w:p>
      <w:pPr>
        <w:spacing w:after="60" w:before="160"/>
      </w:pPr>
      <w:r>
        <w:rPr>
          <w:b/>
          <w:bCs/>
          <w:color w:val="1F4E78"/>
          <w:sz w:val="19"/>
          <w:szCs w:val="19"/>
        </w:rPr>
        <w:t xml:space="preserve">Table 20.1 — Standard Generated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Key Fact Statement (KFS)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Pre-sanction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17.1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Pre-agreement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Terms, conditions, validity period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Agreement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Execution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Product-specific clauses merged from Product Master (Section 3)</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Schedule / Amortisation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Welcome Kit / Loan Confirmation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Annual/On-demand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borrower tax-filing purposes where applicable (e.g. LAP used for eligible purposes)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Statement of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On-demand/periodic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 Statement &amp;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On foreclosure request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No-Objection Certificate (NOC) / Loan Closure Letter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 closure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Triggers collateral release (Section 3.1/3.3/3.4/3.6)</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Demand Notice / Legal Notices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Collections/Recovery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7 statutory timelines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 16A (TDS Certificate)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interest paid to lenders/NCD holders (Section 8)</w:t>
            </w:r>
          </w:p>
        </w:tc>
      </w:tr>
    </w:tbl>
    <w:p>
      <w:pPr>
        <w:pStyle w:val="Heading1"/>
        <w:pageBreakBefore/>
      </w:pPr>
      <w:r>
        <w:t xml:space="preserve">21. Vendor / Empanelment Management</w:t>
      </w:r>
    </w:p>
    <w:p>
      <w:pPr>
        <w:spacing w:after="140"/>
      </w:pPr>
      <w:r>
        <w:t xml:space="preserve">Centralises every external professional/agency the loan process depends on, replacing per-product vendor lists (Sections 3.3, 3.4, 3.6, 3.7) with one master and a performance-scoring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Vendor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Valuer/Legal Advocate/Gold Appraiser/Collection Agency/Recovery Agent/LSP Partner/Insurer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Empanelment Status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Coverage Area (Branch/Region)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Fee/Commission Structure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Performance Score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TAT adherence, quality/accuracy of reports, complaint history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Code of Conduct Acknowledgement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e-sign/Document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Especially for Recovery Agents and Collection Agencies, per RBI's fair-practices requirements for outsourced recovery</w:t>
            </w:r>
          </w:p>
        </w:tc>
      </w:tr>
    </w:tbl>
    <w:p>
      <w:pPr>
        <w:pStyle w:val="Heading1"/>
        <w:pageBreakBefore/>
      </w:pPr>
      <w:r>
        <w:t xml:space="preserve">22. API Contract Reference (Illustrative)</w:t>
      </w:r>
    </w:p>
    <w:p>
      <w:pPr/>
      <w:r>
        <w:rPr>
          <w:rFonts w:ascii="Arial" w:hAnsi="Arial" w:cs="Arial"/>
          <w:i/>
          <w:color w:val="8B4513"/>
          <w:sz w:val="20"/>
        </w:rPr>
        <w:t xml:space="preserve">Note — illustrative only. The authoritative API engineering standard is Section 40 and the OpenAPI extract in Section 63 (Appendix A); see the Single-Source-of-Truth map.</w:t>
      </w:r>
    </w:p>
    <w:p>
      <w:pPr>
        <w:spacing w:after="140"/>
      </w:pPr>
      <w:r>
        <w:t xml:space="preserve">A representative (non-exhaustive) set of endpoints per module, to anchor the API-first design principle in Section 15. Exact paths/payloads are for the IT team to finalise during technical design.</w:t>
      </w:r>
    </w:p>
    <w:p>
      <w:pPr>
        <w:spacing w:after="60" w:before="160"/>
      </w:pPr>
      <w:r>
        <w:rPr>
          <w:b/>
          <w:bCs/>
          <w:color w:val="1F4E78"/>
          <w:sz w:val="19"/>
          <w:szCs w:val="19"/>
        </w:rPr>
        <w:t xml:space="preserve">Table 22.1 — Illustrative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Endpoint</w:t>
            </w:r>
          </w:p>
        </w:tc>
        <w:tc>
          <w:tcPr>
            <w:tcW w:type="dxa" w:w="1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Module</w:t>
            </w:r>
          </w:p>
        </w:tc>
        <w:tc>
          <w:tcPr>
            <w:tcW w:type="dxa" w:w="4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/parties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Customer Mgmt</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Create a Party record from a Section 2 onboarding form</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/parties/{id}/kyc-verify</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 Mgmt</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 Aadhaar/PAN/CKYC verification (Section 12)</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/applications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LOS</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Create an application against a Product Master code (Section 3)</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/applications/{id}/bureau-pull</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Underwriting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Fetch bureau report/score (Section 5.1)</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/applications/{id}/sanction</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Underwriting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sanction decision against DOA matrix (Section 5.3)</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/loan-accounts/{id}/disburse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 sanctioned amount; triggers GL posting (Section 8.2)</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/loan-accounts/{id}/repayments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a repayment/part-payment transaction</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GET /loan-accounts/{id}/schedule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Retrieve current repayment schedule</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/collections/{loanId}/ptp</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Collections</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Log a Promise-to-Pay (Section 7)</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/regulatory-returns/{code}/generate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Reporting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Generate a configured return for a given period (Section 9.3)</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/bureau-submissions/{bureau}/generate</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CIC Reporting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Generate the monthly bureau file (Section 10.5)</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/aml/screen</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AML/CFT</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Run sanctions/PEP screening on a Party (Section 16.1)</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GET /documents/{ownerType}/{ownerId}</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 Mgmt</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Retrieve all documents for a Party/Application/Loan Account</w:t>
            </w:r>
          </w:p>
        </w:tc>
      </w:tr>
    </w:tbl>
    <w:p>
      <w:pPr>
        <w:pStyle w:val="Heading1"/>
        <w:pageBreakBefore/>
      </w:pPr>
      <w:r>
        <w:t xml:space="preserve">23. Data Migration &amp; UAT Strategy</w:t>
      </w:r>
    </w:p>
    <w:p>
      <w:pPr>
        <w:pStyle w:val="Heading2"/>
      </w:pPr>
      <w:r>
        <w:t xml:space="preserve">23.1 Legacy 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Migration Scope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Party/KYC records, active and closed loan accounts, repayment history, collateral records, GL opening balances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Data Mapping &amp; Cleansing 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Field-by-field mapping from legacy system(s) to the entities in Section 11, with de-duplication rules for Party records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Trial Migration &amp; Reconciliation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Process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At least two trial runs with full reconciliation of loan-count, outstanding-principal, and GL-balance totals against the legacy system before go-live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Cut-Over Approach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Parallel run window, freeze period for legacy data entry, and a defined rollback plan if reconciliation fails</w:t>
            </w:r>
          </w:p>
        </w:tc>
      </w:tr>
    </w:tbl>
    <w:p>
      <w:pPr>
        <w:pStyle w:val="Heading2"/>
      </w:pPr>
      <w:r>
        <w:t xml:space="preserve">23.2 UAT &amp; Go-Live</w:t>
      </w:r>
    </w:p>
    <w:p>
      <w:pPr>
        <w:pStyle w:val="ListParagraph"/>
        <w:numPr>
          <w:ilvl w:val="0"/>
          <w:numId w:val="2"/>
        </w:numPr>
        <w:spacing w:after="60"/>
      </w:pPr>
      <w:r>
        <w:t xml:space="preserve">UAT scripts derived directly from the forms and workflows in Sections 2–10, covering every borrower type, product, and regulatory return at least once.</w:t>
      </w:r>
    </w:p>
    <w:p>
      <w:pPr>
        <w:pStyle w:val="ListParagraph"/>
        <w:numPr>
          <w:ilvl w:val="0"/>
          <w:numId w:val="2"/>
        </w:numPr>
        <w:spacing w:after="60"/>
      </w:pPr>
      <w:r>
        <w:t xml:space="preserve">A dedicated regulatory-reporting UAT pass — generate and validate at least one full cycle of RBI returns (Section 9) and bureau files (Section 13) against sample data before go-live.</w:t>
      </w:r>
    </w:p>
    <w:p>
      <w:pPr>
        <w:pStyle w:val="ListParagraph"/>
        <w:numPr>
          <w:ilvl w:val="0"/>
          <w:numId w:val="2"/>
        </w:numPr>
        <w:spacing w:after="60"/>
      </w:pPr>
      <w:r>
        <w:t xml:space="preserve">Phased rollout by branch/product recommended over a single big-bang cut-over, given the number of loan products and borrower types in scope.</w:t>
      </w:r>
    </w:p>
    <w:p>
      <w:pPr>
        <w:pStyle w:val="ListParagraph"/>
        <w:numPr>
          <w:ilvl w:val="0"/>
          <w:numId w:val="2"/>
        </w:numPr>
        <w:spacing w:after="60"/>
      </w:pPr>
      <w:r>
        <w:t xml:space="preserve">Post-go-live hyper-care period with daily reconciliation checks for the first month.</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LMS — Architecture &amp; Functional Specification</w:t>
    </w:r>
    <w:r>
      <w:rPr>
        <w:color w:val="888888"/>
        <w:sz w:val="16"/>
        <w:szCs w:val="16"/>
      </w:rPr>
      <w:t xml:space="preserve">	LawDocs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444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27a516b922a8c75156a0f5dac6bfa1fbf9153.png"/><Relationship Id="rId10" Type="http://schemas.openxmlformats.org/officeDocument/2006/relationships/image" Target="media/dbc3daf2b01f223d6f6d44e0c495b277bcbe88ca.png"/><Relationship Id="rId11" Type="http://schemas.openxmlformats.org/officeDocument/2006/relationships/image" Target="media/373e9c6e9ba83c3703dcec6858bf479e165599a9.png"/><Relationship Id="rId12" Type="http://schemas.openxmlformats.org/officeDocument/2006/relationships/image" Target="media/761546f6c76e691cef636babc205053547d028b8.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2026-07-01T13:23:14.972Z</dcterms:created>
  <dcterms:modified xsi:type="dcterms:W3CDTF">2026-07-01T13:23:14.972Z</dcterms:modified>
</cp:coreProperties>
</file>

<file path=docProps/custom.xml><?xml version="1.0" encoding="utf-8"?>
<Properties xmlns="http://schemas.openxmlformats.org/officeDocument/2006/custom-properties" xmlns:vt="http://schemas.openxmlformats.org/officeDocument/2006/docPropsVTypes"/>
</file>