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8"/>
          <w:sz w:val="52"/>
          <w:szCs w:val="52"/>
        </w:rPr>
        <w:t xml:space="preserve">LOAN MANAGEMENT SYSTEM (LMS)</w:t>
      </w:r>
    </w:p>
    <w:p>
      <w:pPr>
        <w:spacing w:after="400" w:before="200"/>
        <w:jc w:val="center"/>
      </w:pPr>
      <w:r>
        <w:rPr>
          <w:b/>
          <w:bCs/>
          <w:color w:val="444444"/>
          <w:sz w:val="32"/>
          <w:szCs w:val="32"/>
        </w:rPr>
        <w:t xml:space="preserve">System Architecture &amp; Functional Specification</w:t>
      </w:r>
    </w:p>
    <w:p>
      <w:pPr>
        <w:spacing w:after="120"/>
        <w:jc w:val="center"/>
      </w:pPr>
      <w:r>
        <w:rPr>
          <w:i/>
          <w:iCs/>
          <w:sz w:val="24"/>
          <w:szCs w:val="24"/>
        </w:rPr>
        <w:t xml:space="preserve">For NBFC Lending &amp; Accounting Operations — SaaS Web Platform</w:t>
      </w:r>
    </w:p>
    <w:p>
      <w:pPr>
        <w:spacing w:before="800"/>
        <w:jc w:val="center"/>
      </w:pPr>
      <w:r>
        <w:rPr>
          <w:color w:val="555555"/>
          <w:sz w:val="20"/>
          <w:szCs w:val="20"/>
        </w:rPr>
        <w:t xml:space="preserve">Covers: Multi-product lending • Embedded accounting/GL • RBI regulatory reporting • Credit Information Company (CIC) reporting • Borrower onboarding forms • Product application forms</w:t>
      </w:r>
    </w:p>
    <w:p>
      <w:pPr>
        <w:spacing w:before="1200"/>
        <w:jc w:val="center"/>
      </w:pPr>
      <w:r>
        <w:rPr>
          <w:sz w:val="20"/>
          <w:szCs w:val="20"/>
        </w:rPr>
        <w:t xml:space="preserve">Prepared for: LawDocs</w:t>
      </w:r>
    </w:p>
    <w:p>
      <w:pPr>
        <w:spacing w:before="80"/>
        <w:jc w:val="center"/>
      </w:pPr>
      <w:r>
        <w:rPr>
          <w:sz w:val="20"/>
          <w:szCs w:val="20"/>
        </w:rPr>
        <w:t>Date: July 2, 2026 — Version 5.0</w:t>
      </w:r>
    </w:p>
    <w:p>
      <w:r>
        <w:br w:type="page"/>
      </w:r>
    </w:p>
    <w:p>
      <w:r>
        <w:rPr>
          <w:rFonts w:ascii="Arial" w:hAnsi="Arial" w:cs="Arial"/>
          <w:b/>
          <w:color w:val="1F4E78"/>
          <w:sz w:val="28"/>
        </w:rPr>
        <w:t xml:space="preserve">Volume 2 of 3 — Engineering Standards &amp; Calculation Engine (Sections 24–45)</w:t>
      </w:r>
    </w:p>
    <w:p>
      <w:r>
        <w:rPr>
          <w:rFonts w:ascii="Arial" w:hAnsi="Arial" w:cs="Arial"/>
          <w:i/>
          <w:sz w:val="20"/>
        </w:rPr>
        <w:t xml:space="preserve">Cross-references to Sections 1–23 resolve to Volume 1; Sections 46–98 to Volume 3. The master document remains LMS_Architecture_Specification_v8.docx.</w:t>
      </w:r>
    </w:p>
    <w:p>
      <w:pPr>
        <w:pStyle w:val="Heading1"/>
        <w:pageBreakBefore/>
      </w:pPr>
      <w:r>
        <w:t xml:space="preserve">24. Interest &amp; Charges Calculation Engine</w:t>
      </w:r>
    </w:p>
    <w:p>
      <w:pPr/>
      <w:r>
        <w:rPr>
          <w:rFonts w:ascii="Arial" w:hAnsi="Arial" w:cs="Arial"/>
          <w:i/>
          <w:color w:val="8B4513"/>
          <w:sz w:val="20"/>
        </w:rPr>
        <w:t xml:space="preserve">Note — retained for context and worked examples. The consolidated, authoritative calculation reference is Section 45; see the Single-Source-of-Truth map.</w:t>
      </w:r>
    </w:p>
    <w:p>
      <w:pPr>
        <w:spacing w:after="140"/>
      </w:pPr>
      <w:r>
        <w:t xml:space="preserve">This section gives the exact formulae behind every interest/charge computation referenced elsewhere in this document (Sections 3, 6, 8), plus a worked numeric example for each — so the calculation engine can be unit-tested against a known-correct answer before it is wired into the servicing module.</w:t>
      </w:r>
    </w:p>
    <w:p>
      <w:pPr>
        <w:pStyle w:val="Heading2"/>
      </w:pPr>
      <w:r>
        <w:t xml:space="preserve">24.1 Day-Count Conventions</w:t>
      </w:r>
    </w:p>
    <w:p>
      <w:pPr>
        <w:spacing w:after="140"/>
      </w:pPr>
      <w:r>
        <w:t xml:space="preserve">The day-count convention must be set once per product in the Product Master (Section 3) and used consistently by every formula below. Mixing conventions between origination and servicing is the most common source of EMI-schedule discrepancies in loan systems.</w:t>
      </w:r>
    </w:p>
    <w:p>
      <w:pPr>
        <w:spacing w:after="60" w:before="160"/>
      </w:pPr>
      <w:r>
        <w:rPr>
          <w:b/>
          <w:bCs/>
          <w:color w:val="1F4E78"/>
          <w:sz w:val="19"/>
          <w:szCs w:val="19"/>
        </w:rPr>
        <w:t xml:space="preserve">Table 24.1 — Day-Count Convention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Convention</w:t>
            </w:r>
          </w:p>
        </w:tc>
        <w:tc>
          <w:tcPr>
            <w:tcW w:type="dxa" w:w="75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Usage / Notes</w:t>
            </w:r>
          </w:p>
        </w:tc>
      </w:tr>
      <w:tr>
        <w:trPr>
          <w:tblHeader w:val="false"/>
        </w:trPr>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Actual/365 (Fixed)</w:t>
            </w:r>
          </w:p>
        </w:tc>
        <w:tc>
          <w:tcPr>
            <w:tcW w:type="dxa" w:w="7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Daily rate = Annual Rate ÷ 365, regardless of leap year. Recommended default for LAS, Smart Credit Line, Gold Loan, and daily-reducing LAP/Business Loans.</w:t>
            </w:r>
          </w:p>
        </w:tc>
      </w:tr>
      <w:tr>
        <w:trPr>
          <w:tblHeader w:val="false"/>
        </w:trPr>
        <w:tc>
          <w:tcPr>
            <w:tcW w:type="dxa" w:w="18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Actual/Actual</w:t>
            </w:r>
          </w:p>
        </w:tc>
        <w:tc>
          <w:tcPr>
            <w:tcW w:type="dxa" w:w="7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Daily rate = Annual Rate ÷ (365 or 366, per the actual calendar year). Used where the loan agreement explicitly references the actual year length.</w:t>
            </w:r>
          </w:p>
        </w:tc>
      </w:tr>
      <w:tr>
        <w:trPr>
          <w:tblHeader w:val="false"/>
        </w:trPr>
        <w:tc>
          <w:tcPr>
            <w:tcW w:type="dxa" w:w="18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30/360</w:t>
            </w:r>
          </w:p>
        </w:tc>
        <w:tc>
          <w:tcPr>
            <w:tcW w:type="dxa" w:w="7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Every month treated as exactly 30 days, year as 360 days. Used for monthly-rest EMI loans where the schedule is calendar-month based rather than day-based (e.g., standard Personal/Vehicle Loan EMI schedules).</w:t>
            </w:r>
          </w:p>
        </w:tc>
      </w:tr>
    </w:tbl>
    <w:p>
      <w:pPr>
        <w:spacing w:after="160"/>
      </w:pPr>
      <w:r>
        <w:rPr>
          <w:i/>
          <w:iCs/>
          <w:color w:val="555555"/>
          <w:sz w:val="19"/>
          <w:szCs w:val="19"/>
        </w:rPr>
        <w:t xml:space="preserve">Recommendation: use 30/360 for standard monthly-rest EMI products (Section 24.2) and Actual/365 (Fixed) for daily-interest products (Sections 24.3, 24.6, 24.9, 24.11). Whichever convention is chosen must be stated in the Key Fact Statement (Section 17.1) and the Loan Agreement, since it changes the exact rupee amount charged.</w:t>
      </w:r>
    </w:p>
    <w:p>
      <w:pPr>
        <w:pStyle w:val="Heading2"/>
      </w:pPr>
      <w:r>
        <w:t xml:space="preserve">24.2 EMI — Reducing Balance, Monthly Rest</w:t>
      </w:r>
    </w:p>
    <w:p>
      <w:pPr>
        <w:spacing w:after="140"/>
      </w:pPr>
      <w:r>
        <w:t xml:space="preserve">Used for standard amortizing products: Personal/Business Loan, Vehicle Loan, and LAP/Gold Loan where the borrower opts for EMI rather than bullet repayment.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EMI = P × r × (1 + r)^n / ((1 + r)^n − 1)</w:t>
            </w:r>
          </w:p>
          <w:p>
            <w:pPr>
              <w:spacing w:after="20"/>
            </w:pPr>
            <w:r>
              <w:rPr>
                <w:rFonts w:ascii="Consolas" w:cs="Consolas" w:eastAsia="Consolas" w:hAnsi="Consolas"/>
                <w:color w:val="1B4965"/>
                <w:sz w:val="19"/>
                <w:szCs w:val="19"/>
              </w:rPr>
              <w:t xml:space="preserve"> </w:t>
            </w:r>
          </w:p>
          <w:p>
            <w:pPr>
              <w:spacing w:after="20"/>
            </w:pPr>
            <w:r>
              <w:rPr>
                <w:rFonts w:ascii="Consolas" w:cs="Consolas" w:eastAsia="Consolas" w:hAnsi="Consolas"/>
                <w:color w:val="1B4965"/>
                <w:sz w:val="19"/>
                <w:szCs w:val="19"/>
              </w:rPr>
              <w:t xml:space="preserve">where:</w:t>
            </w:r>
          </w:p>
          <w:p>
            <w:pPr>
              <w:spacing w:after="20"/>
            </w:pPr>
            <w:r>
              <w:rPr>
                <w:rFonts w:ascii="Consolas" w:cs="Consolas" w:eastAsia="Consolas" w:hAnsi="Consolas"/>
                <w:color w:val="1B4965"/>
                <w:sz w:val="19"/>
                <w:szCs w:val="19"/>
              </w:rPr>
              <w:t xml:space="preserve">  P = principal (sanctioned/disbursed amount)</w:t>
            </w:r>
          </w:p>
          <w:p>
            <w:pPr>
              <w:spacing w:after="20"/>
            </w:pPr>
            <w:r>
              <w:rPr>
                <w:rFonts w:ascii="Consolas" w:cs="Consolas" w:eastAsia="Consolas" w:hAnsi="Consolas"/>
                <w:color w:val="1B4965"/>
                <w:sz w:val="19"/>
                <w:szCs w:val="19"/>
              </w:rPr>
              <w:t xml:space="preserve">  r = monthly interest rate = (Annual Rate ÷ 12) ÷ 100</w:t>
            </w:r>
          </w:p>
          <w:p>
            <w:pPr>
              <w:spacing w:after="20"/>
            </w:pPr>
            <w:r>
              <w:rPr>
                <w:rFonts w:ascii="Consolas" w:cs="Consolas" w:eastAsia="Consolas" w:hAnsi="Consolas"/>
                <w:color w:val="1B4965"/>
                <w:sz w:val="19"/>
                <w:szCs w:val="19"/>
              </w:rPr>
              <w:t xml:space="preserve">  n = tenure in months</w:t>
            </w:r>
          </w:p>
        </w:tc>
      </w:tr>
    </w:tbl>
    <w:p>
      <w:pPr>
        <w:spacing w:after="160"/>
      </w:pPr>
    </w:p>
    <w:p>
      <w:pPr>
        <w:spacing w:after="140"/>
      </w:pPr>
      <w:r>
        <w:t xml:space="preserve">For each installment i (i = 1 … n), starting from outstanding balance B₀ =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Interest_i = B_(i-1) × r</w:t>
            </w:r>
          </w:p>
          <w:p>
            <w:pPr>
              <w:spacing w:after="20"/>
            </w:pPr>
            <w:r>
              <w:rPr>
                <w:rFonts w:ascii="Consolas" w:cs="Consolas" w:eastAsia="Consolas" w:hAnsi="Consolas"/>
                <w:color w:val="1B4965"/>
                <w:sz w:val="19"/>
                <w:szCs w:val="19"/>
              </w:rPr>
              <w:t xml:space="preserve">Principal_i = EMI − Interest_i</w:t>
            </w:r>
          </w:p>
          <w:p>
            <w:pPr>
              <w:spacing w:after="20"/>
            </w:pPr>
            <w:r>
              <w:rPr>
                <w:rFonts w:ascii="Consolas" w:cs="Consolas" w:eastAsia="Consolas" w:hAnsi="Consolas"/>
                <w:color w:val="1B4965"/>
                <w:sz w:val="19"/>
                <w:szCs w:val="19"/>
              </w:rPr>
              <w:t xml:space="preserve">B_i = B_(i-1) − Principal_i</w:t>
            </w:r>
          </w:p>
        </w:tc>
      </w:tr>
    </w:tbl>
    <w:p>
      <w:pPr>
        <w:spacing w:after="160"/>
      </w:pPr>
    </w:p>
    <w:p>
      <w:pPr>
        <w:spacing w:after="60" w:before="160"/>
      </w:pPr>
      <w:r>
        <w:rPr>
          <w:b/>
          <w:bCs/>
          <w:color w:val="1F4E78"/>
          <w:sz w:val="19"/>
          <w:szCs w:val="19"/>
        </w:rPr>
        <w:t xml:space="preserve">Worked Example A — Personal Loan: P = ₹5,00,000, Rate = 14% p.a., Tenure = 36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r (monthly rate)</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14 ÷ 12 ÷ 100 = 0.011667</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EMI</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₹17,088.81</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Month 1</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Interest = ₹5,833.33 · Principal = ₹11,255.48 · Closing Balance = ₹4,88,744.52</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Month 2</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Interest = ₹5,702.02 · Principal = ₹11,386.80 · Closing Balance = ₹4,77,357.72</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Outstanding after 12 EMIs</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₹3,55,921.50 (used in Worked Examples E &amp; F below)</w:t>
            </w:r>
          </w:p>
        </w:tc>
      </w:tr>
    </w:tbl>
    <w:p>
      <w:pPr>
        <w:pStyle w:val="Heading2"/>
      </w:pPr>
      <w:r>
        <w:t xml:space="preserve">24.3 Daily Reducing Balance (Broken-Period Interest)</w:t>
      </w:r>
    </w:p>
    <w:p>
      <w:pPr>
        <w:spacing w:after="140"/>
      </w:pPr>
      <w:r>
        <w:t xml:space="preserve">Where the product's policy is 'daily reducing balance' (common for LAP and Business Loans), interest for any period — especially the first, broken period between disbursement and the first EMI date — is computed on actual elapsed days rather than assuming a uniform 30-day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Period_Interest = Outstanding_Principal × (Annual Rate ÷ 100 ÷ 365) × Actual_Days_Elapsed</w:t>
            </w:r>
          </w:p>
        </w:tc>
      </w:tr>
    </w:tbl>
    <w:p>
      <w:pPr>
        <w:spacing w:after="160"/>
      </w:pPr>
    </w:p>
    <w:p>
      <w:pPr>
        <w:spacing w:after="140"/>
      </w:pPr>
      <w:r>
        <w:t xml:space="preserve">The EMI amount itself is still computed once at sanction using the Section 24.2 formula; daily reducing balance only changes how the interest component of a given installment is derived when the period between two payment dates is not exactly one calendar month.</w:t>
      </w:r>
    </w:p>
    <w:p>
      <w:pPr>
        <w:spacing w:after="60" w:before="160"/>
      </w:pPr>
      <w:r>
        <w:rPr>
          <w:b/>
          <w:bCs/>
          <w:color w:val="1F4E78"/>
          <w:sz w:val="19"/>
          <w:szCs w:val="19"/>
        </w:rPr>
        <w:t xml:space="preserve">Worked Example B — LAP: P = ₹20,00,000, Rate = 11% p.a., Tenure = 180 months, disbursed with a 28-day first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Standard EMI (30/360, 180 months)</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₹22,731.94</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First-period interest (actual 28 days, Actual/365)</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₹20,00,000 × (11 ÷ 100 ÷ 365) × 28 = ₹16,876.71</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First-period principal component</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₹22,731.94 − ₹16,876.71 = ₹5,855.23</w:t>
            </w:r>
          </w:p>
        </w:tc>
      </w:tr>
    </w:tbl>
    <w:p>
      <w:pPr>
        <w:pStyle w:val="Heading2"/>
      </w:pPr>
      <w:r>
        <w:t xml:space="preserve">24.4 Flat Rate Interest Method</w:t>
      </w:r>
    </w:p>
    <w:p>
      <w:pPr>
        <w:spacing w:after="140"/>
      </w:pPr>
      <w:r>
        <w:t xml:space="preserve">Used only where the product is explicitly marketed/sanctioned on a flat-rate basis (some Gold Loan and legacy schemes). Flat rate produces a materially higher effective rate than the same nominal rate under reducing balance — this must be disclosed as the APR in the Key Fact Statement (Section 17.1), not the flat rate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Total_Interest = P × Annual_Flat_Rate ÷ 100 × Tenure_Years</w:t>
            </w:r>
          </w:p>
          <w:p>
            <w:pPr>
              <w:spacing w:after="20"/>
            </w:pPr>
            <w:r>
              <w:rPr>
                <w:rFonts w:ascii="Consolas" w:cs="Consolas" w:eastAsia="Consolas" w:hAnsi="Consolas"/>
                <w:color w:val="1B4965"/>
                <w:sz w:val="19"/>
                <w:szCs w:val="19"/>
              </w:rPr>
              <w:t xml:space="preserve">EMI = (P + Total_Interest) ÷ Number_of_Installments</w:t>
            </w:r>
          </w:p>
        </w:tc>
      </w:tr>
    </w:tbl>
    <w:p>
      <w:pPr>
        <w:spacing w:after="160"/>
      </w:pPr>
    </w:p>
    <w:p>
      <w:pPr>
        <w:pStyle w:val="Heading2"/>
      </w:pPr>
      <w:r>
        <w:t xml:space="preserve">24.5 Bullet / Interest-Only Repayment (Simple Interest)</w:t>
      </w:r>
    </w:p>
    <w:p>
      <w:pPr>
        <w:spacing w:after="140"/>
      </w:pPr>
      <w:r>
        <w:t xml:space="preserve">Used for Gold Loan bullet schemes and LAS/Smart Credit Line overdraft balances that are not converted to EMI.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Interest = Outstanding_Principal × (Annual_Rate ÷ 100 ÷ 365) × Days_Held</w:t>
            </w:r>
          </w:p>
        </w:tc>
      </w:tr>
    </w:tbl>
    <w:p>
      <w:pPr>
        <w:spacing w:after="160"/>
      </w:pPr>
    </w:p>
    <w:p>
      <w:pPr>
        <w:spacing w:after="60" w:before="160"/>
      </w:pPr>
      <w:r>
        <w:rPr>
          <w:b/>
          <w:bCs/>
          <w:color w:val="1F4E78"/>
          <w:sz w:val="19"/>
          <w:szCs w:val="19"/>
        </w:rPr>
        <w:t xml:space="preserve">Worked Example D — Gold Loan: P = ₹1,00,000, Rate = 12% p.a., held 180 days, redeemed in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Interest</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₹1,00,000 × (12 ÷ 100 ÷ 365) × 180 = ₹5,917.81</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Total amount payable at redemption</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₹1,00,000 + ₹5,917.81 = ₹1,05,917.81</w:t>
            </w:r>
          </w:p>
        </w:tc>
      </w:tr>
    </w:tbl>
    <w:p>
      <w:pPr>
        <w:pStyle w:val="Heading2"/>
      </w:pPr>
      <w:r>
        <w:t xml:space="preserve">24.6 LAS / Smart Credit Line — Daily Interest on Utilized Balance</w:t>
      </w:r>
    </w:p>
    <w:p>
      <w:pPr>
        <w:spacing w:after="140"/>
      </w:pPr>
      <w:r>
        <w:t xml:space="preserve">Interest accrues only on the amount actually drawn, recalculated every day the utilized balance changes, and totalled over the billing cycle for the monthly statement (Section 3.1,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Daily_Interest = Utilized_Balance_on_that_day × (Annual_Rate ÷ 100 ÷ 365)</w:t>
            </w:r>
          </w:p>
          <w:p>
            <w:pPr>
              <w:spacing w:after="20"/>
            </w:pPr>
            <w:r>
              <w:rPr>
                <w:rFonts w:ascii="Consolas" w:cs="Consolas" w:eastAsia="Consolas" w:hAnsi="Consolas"/>
                <w:color w:val="1B4965"/>
                <w:sz w:val="19"/>
                <w:szCs w:val="19"/>
              </w:rPr>
              <w:t xml:space="preserve">Cycle_Interest = Σ (Daily_Interest) for every day in the billing cycle</w:t>
            </w:r>
          </w:p>
        </w:tc>
      </w:tr>
    </w:tbl>
    <w:p>
      <w:pPr>
        <w:spacing w:after="160"/>
      </w:pPr>
    </w:p>
    <w:p>
      <w:pPr>
        <w:spacing w:after="60" w:before="160"/>
      </w:pPr>
      <w:r>
        <w:rPr>
          <w:b/>
          <w:bCs/>
          <w:color w:val="1F4E78"/>
          <w:sz w:val="19"/>
          <w:szCs w:val="19"/>
        </w:rPr>
        <w:t xml:space="preserve">Worked Example C — LAS: ₹2,00,000 utilized for 15 days, then ₹1,50,000 for the next 15 days, at 10.5% 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Days 1–15 interest</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₹2,00,000 × (10.5 ÷ 100 ÷ 365) × 15 = ₹863.01</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Days 16–30 interest</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₹1,50,000 × (10.5 ÷ 100 ÷ 365) × 15 = ₹647.26</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Total cycle interest</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₹863.01 + ₹647.26 = ₹1,510.27</w:t>
            </w:r>
          </w:p>
        </w:tc>
      </w:tr>
    </w:tbl>
    <w:p>
      <w:pPr>
        <w:pStyle w:val="Heading2"/>
      </w:pPr>
      <w:r>
        <w:t xml:space="preserve">24.7 Penal Charges (Not Penal Interest)</w:t>
      </w:r>
    </w:p>
    <w:p>
      <w:pPr>
        <w:spacing w:after="140"/>
      </w:pPr>
      <w:r>
        <w:t xml:space="preserve">Per RBI's Fair Lending Practice directions on penal charges, these must be levied as a flat fee or a fixed percentage of the overdue amount only (not the entire outstanding), must not be compounded, and must not be structured as an additional component of the interest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Penal_Charge = Overdue_Installment_Amount × Penal_Rate_%   (one-time, non-compounding)</w:t>
            </w:r>
          </w:p>
          <w:p>
            <w:pPr>
              <w:spacing w:after="20"/>
            </w:pPr>
            <w:r>
              <w:rPr>
                <w:rFonts w:ascii="Consolas" w:cs="Consolas" w:eastAsia="Consolas" w:hAnsi="Consolas"/>
                <w:color w:val="1B4965"/>
                <w:sz w:val="19"/>
                <w:szCs w:val="19"/>
              </w:rPr>
              <w:t xml:space="preserve">   — or a flat fee per overdue occurrence, whichever the Board-approved policy specifies —</w:t>
            </w:r>
          </w:p>
        </w:tc>
      </w:tr>
    </w:tbl>
    <w:p>
      <w:pPr>
        <w:spacing w:after="160"/>
      </w:pPr>
    </w:p>
    <w:p>
      <w:pPr>
        <w:spacing w:after="160"/>
      </w:pPr>
      <w:r>
        <w:rPr>
          <w:i/>
          <w:iCs/>
          <w:color w:val="555555"/>
          <w:sz w:val="19"/>
          <w:szCs w:val="19"/>
        </w:rPr>
        <w:t xml:space="preserve">The Penal Charge ledger (Section 8.2) must post this as a separate fee-income line, never blended into the Interest Income ledger, so that regulatory disclosures correctly separate interest from penal charges.</w:t>
      </w:r>
    </w:p>
    <w:p>
      <w:pPr>
        <w:pStyle w:val="Heading2"/>
      </w:pPr>
      <w:r>
        <w:t xml:space="preserve">24.8 Part-Payment / Prepayment Recalculation</w:t>
      </w:r>
    </w:p>
    <w:p>
      <w:pPr>
        <w:spacing w:after="140"/>
      </w:pPr>
      <w:r>
        <w:t xml:space="preserve">Two configurable options, selectable by the borrower at the time of part-payment (Section 6):</w:t>
      </w:r>
    </w:p>
    <w:p>
      <w:pPr>
        <w:pStyle w:val="Heading4"/>
      </w:pPr>
      <w:r>
        <w:rPr>
          <w:i/>
          <w:iCs/>
        </w:rPr>
        <w:t xml:space="preserve">Option A — Reduce Tenure (EMI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n_new = ln( EMI ÷ (EMI − r × P_new) ) ÷ ln(1 + r)     [round up to the next whole installment]</w:t>
            </w:r>
          </w:p>
        </w:tc>
      </w:tr>
    </w:tbl>
    <w:p>
      <w:pPr>
        <w:spacing w:after="160"/>
      </w:pPr>
    </w:p>
    <w:p>
      <w:pPr>
        <w:pStyle w:val="Heading4"/>
      </w:pPr>
      <w:r>
        <w:rPr>
          <w:i/>
          <w:iCs/>
        </w:rPr>
        <w:t xml:space="preserve">Option B — Reduce EMI (remaining tenure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EMI_new = P_new × r × (1 + r)^n_remaining ÷ ((1 + r)^n_remaining − 1)</w:t>
            </w:r>
          </w:p>
        </w:tc>
      </w:tr>
    </w:tbl>
    <w:p>
      <w:pPr>
        <w:spacing w:after="160"/>
      </w:pPr>
    </w:p>
    <w:p>
      <w:pPr>
        <w:spacing w:after="60" w:before="160"/>
      </w:pPr>
      <w:r>
        <w:rPr>
          <w:b/>
          <w:bCs/>
          <w:color w:val="1F4E78"/>
          <w:sz w:val="19"/>
          <w:szCs w:val="19"/>
        </w:rPr>
        <w:t xml:space="preserve">Worked Example F — continuing Example A: part-payment of ₹1,00,000 at the end of month 12 (outstanding ₹3,55,921.50)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Principal after part-payment (P_new)</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₹3,55,921.50 − ₹1,00,000 = ₹2,55,921.45</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Option A — new tenure (EMI stays ₹17,088.81)</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16.56 → 17 remaining months (down from 24)</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Option B — new EMI (tenure stays 24 remaining months)</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₹12,287.53 (down from ₹17,088.81)</w:t>
            </w:r>
          </w:p>
        </w:tc>
      </w:tr>
    </w:tbl>
    <w:p>
      <w:pPr>
        <w:pStyle w:val="Heading2"/>
      </w:pPr>
      <w:r>
        <w:t xml:space="preserve">24.9 Foreclosure Payoff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Foreclosure_Amount = Outstanding_Principal</w:t>
            </w:r>
          </w:p>
          <w:p>
            <w:pPr>
              <w:spacing w:after="20"/>
            </w:pPr>
            <w:r>
              <w:rPr>
                <w:rFonts w:ascii="Consolas" w:cs="Consolas" w:eastAsia="Consolas" w:hAnsi="Consolas"/>
                <w:color w:val="1B4965"/>
                <w:sz w:val="19"/>
                <w:szCs w:val="19"/>
              </w:rPr>
              <w:t xml:space="preserve">                    + Accrued_Interest_Since_Last_Installment</w:t>
            </w:r>
          </w:p>
          <w:p>
            <w:pPr>
              <w:spacing w:after="20"/>
            </w:pPr>
            <w:r>
              <w:rPr>
                <w:rFonts w:ascii="Consolas" w:cs="Consolas" w:eastAsia="Consolas" w:hAnsi="Consolas"/>
                <w:color w:val="1B4965"/>
                <w:sz w:val="19"/>
                <w:szCs w:val="19"/>
              </w:rPr>
              <w:t xml:space="preserve">                    + Foreclosure/Prepayment_Charge  (% of Outstanding_Principal, per product policy)</w:t>
            </w:r>
          </w:p>
          <w:p>
            <w:pPr>
              <w:spacing w:after="20"/>
            </w:pPr>
            <w:r>
              <w:rPr>
                <w:rFonts w:ascii="Consolas" w:cs="Consolas" w:eastAsia="Consolas" w:hAnsi="Consolas"/>
                <w:color w:val="1B4965"/>
                <w:sz w:val="19"/>
                <w:szCs w:val="19"/>
              </w:rPr>
              <w:t xml:space="preserve">                    + Any_Unpaid_Penal_Charges</w:t>
            </w:r>
          </w:p>
        </w:tc>
      </w:tr>
    </w:tbl>
    <w:p>
      <w:pPr>
        <w:spacing w:after="160"/>
      </w:pPr>
    </w:p>
    <w:p>
      <w:pPr>
        <w:spacing w:after="60" w:before="160"/>
      </w:pPr>
      <w:r>
        <w:rPr>
          <w:b/>
          <w:bCs/>
          <w:color w:val="1F4E78"/>
          <w:sz w:val="19"/>
          <w:szCs w:val="19"/>
        </w:rPr>
        <w:t xml:space="preserve">Worked Example E — continuing Example A: foreclosure immediately after the 12th EMI, charge = 4% of outstanding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Outstanding principal</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₹3,55,921.50</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Accrued interest since last EMI</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₹0 (foreclosed exactly on the due date, for simplicity)</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Foreclosure charge (4%)</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₹3,55,921.50 × 4% = ₹14,236.86</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Total foreclosure payoff</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₹3,55,921.50 + ₹14,236.86 = ₹3,70,158.31</w:t>
            </w:r>
          </w:p>
        </w:tc>
      </w:tr>
    </w:tbl>
    <w:p>
      <w:pPr>
        <w:pStyle w:val="Heading2"/>
      </w:pPr>
      <w:r>
        <w:t xml:space="preserve">24.10 Effective Interest Rate (EIR) for Ind AS 109 Amortized Cost</w:t>
      </w:r>
    </w:p>
    <w:p>
      <w:pPr>
        <w:spacing w:after="140"/>
      </w:pPr>
      <w:r>
        <w:t xml:space="preserve">Required for the accounting entries in Section 8.2 (fee income recognition) — the EIR is the discount rate that equates the loan's estimated future cash flows to its gross carrying amount at initial recognition, and has no closed-form solution; it must be solved iteratively (Newton-Raphson or bisection).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Gross_Carrying_Amount = Σ (t = 1 to n)  CF_t ÷ (1 + EIR)^t</w:t>
            </w:r>
          </w:p>
          <w:p>
            <w:pPr>
              <w:spacing w:after="20"/>
            </w:pPr>
            <w:r>
              <w:rPr>
                <w:rFonts w:ascii="Consolas" w:cs="Consolas" w:eastAsia="Consolas" w:hAnsi="Consolas"/>
                <w:color w:val="1B4965"/>
                <w:sz w:val="19"/>
                <w:szCs w:val="19"/>
              </w:rPr>
              <w:t xml:space="preserve"> </w:t>
            </w:r>
          </w:p>
          <w:p>
            <w:pPr>
              <w:spacing w:after="20"/>
            </w:pPr>
            <w:r>
              <w:rPr>
                <w:rFonts w:ascii="Consolas" w:cs="Consolas" w:eastAsia="Consolas" w:hAnsi="Consolas"/>
                <w:color w:val="1B4965"/>
                <w:sz w:val="19"/>
                <w:szCs w:val="19"/>
              </w:rPr>
              <w:t xml:space="preserve">where CF_0 = Net amount disbursed (Disbursed Amount − directly attributable transaction costs</w:t>
            </w:r>
          </w:p>
          <w:p>
            <w:pPr>
              <w:spacing w:after="20"/>
            </w:pPr>
            <w:r>
              <w:rPr>
                <w:rFonts w:ascii="Consolas" w:cs="Consolas" w:eastAsia="Consolas" w:hAnsi="Consolas"/>
                <w:color w:val="1B4965"/>
                <w:sz w:val="19"/>
                <w:szCs w:val="19"/>
              </w:rPr>
              <w:t xml:space="preserve">             + upfront fee income received), and CF_1..n = contractual principal + interest</w:t>
            </w:r>
          </w:p>
          <w:p>
            <w:pPr>
              <w:spacing w:after="20"/>
            </w:pPr>
            <w:r>
              <w:rPr>
                <w:rFonts w:ascii="Consolas" w:cs="Consolas" w:eastAsia="Consolas" w:hAnsi="Consolas"/>
                <w:color w:val="1B4965"/>
                <w:sz w:val="19"/>
                <w:szCs w:val="19"/>
              </w:rPr>
              <w:t xml:space="preserve">             cash flows (i.e., the EMI schedule from Section 24.2).</w:t>
            </w:r>
          </w:p>
        </w:tc>
      </w:tr>
    </w:tbl>
    <w:p>
      <w:pPr>
        <w:spacing w:after="160"/>
      </w:pPr>
    </w:p>
    <w:p>
      <w:pPr>
        <w:spacing w:after="160"/>
      </w:pPr>
      <w:r>
        <w:rPr>
          <w:i/>
          <w:iCs/>
          <w:color w:val="555555"/>
          <w:sz w:val="19"/>
          <w:szCs w:val="19"/>
        </w:rPr>
        <w:t xml:space="preserve">This is mathematically the same problem as computing a bond's yield-to-maturity or a cash-flow stream's IRR/XIRR; most languages have a library function (e.g., Excel/Sheets XIRR, numpy-financial irr, or a custom Newton-Raphson solver) that can be reused directly.</w:t>
      </w:r>
    </w:p>
    <w:p>
      <w:pPr>
        <w:pStyle w:val="Heading2"/>
      </w:pPr>
      <w:r>
        <w:t xml:space="preserve">24.11 Interest Recomputation on Partial Redemption (Gold Loan)</w:t>
      </w:r>
    </w:p>
    <w:p>
      <w:pPr>
        <w:spacing w:after="140"/>
      </w:pPr>
      <w:r>
        <w:t xml:space="preserve">When a borrower redeems part of the pledged ornaments (Section 3.4) and proportionately repays part of the principal, interest on the remaining principal is recomputed from the redemption date using the Section 24.5 simple-interest formula, applied to the reduced principal for the remaining holding period.</w:t>
      </w:r>
    </w:p>
    <w:p>
      <w:pPr>
        <w:pStyle w:val="Heading2"/>
      </w:pPr>
      <w:r>
        <w:t xml:space="preserve">24.12 Standard Asset &amp; NPA Provisioning — Worked Example</w:t>
      </w:r>
    </w:p>
    <w:p>
      <w:pPr>
        <w:spacing w:after="140"/>
      </w:pPr>
      <w:r>
        <w:t xml:space="preserve">Applying the classification and rates configured in Section 9.4 to a sample ₹50,00,000 portfolio:</w:t>
      </w:r>
    </w:p>
    <w:p>
      <w:pPr>
        <w:spacing w:after="60" w:before="160"/>
      </w:pPr>
      <w:r>
        <w:rPr>
          <w:b/>
          <w:bCs/>
          <w:color w:val="1F4E78"/>
          <w:sz w:val="19"/>
          <w:szCs w:val="19"/>
        </w:rPr>
        <w:t xml:space="preserve">Table 24.2 — Illustrative Provisioning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Standard assets: ₹42,00,000 outstanding</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Provision @ 0.40% (Middle Layer overlay) = ₹16,800</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Sub-standard assets: ₹5,00,000 outstanding</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Provision @ 10% = ₹50,000</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Doubtful (D1) assets: ₹2,00,000 outstanding, secured</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Provision @ 20% of secured portion = ₹40,000</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Loss assets: ₹1,00,000 outstanding</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Provision @ 100% = ₹1,00,000</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Total provisioning requirement</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₹16,800 + ₹50,000 + ₹40,000 + ₹1,00,000 = ₹2,06,800</w:t>
            </w:r>
          </w:p>
        </w:tc>
      </w:tr>
    </w:tbl>
    <w:p>
      <w:pPr>
        <w:spacing w:after="160"/>
      </w:pPr>
      <w:r>
        <w:rPr>
          <w:i/>
          <w:iCs/>
          <w:color w:val="555555"/>
          <w:sz w:val="19"/>
          <w:szCs w:val="19"/>
        </w:rPr>
        <w:t xml:space="preserve">Rates shown are illustrative per Section 9.4's configurable table; Compliance must confirm the exact rates in force under the extant RBI Prudential Norms Directions before this is used for actual provisioning.</w:t>
      </w:r>
    </w:p>
    <w:p>
      <w:pPr>
        <w:pStyle w:val="Heading1"/>
        <w:pageBreakBefore/>
      </w:pPr>
      <w:r>
        <w:t xml:space="preserve">25. Field-Level Developer Specifications</w:t>
      </w:r>
    </w:p>
    <w:p>
      <w:pPr>
        <w:spacing w:after="140"/>
      </w:pPr>
      <w:r>
        <w:t xml:space="preserve">Consolidated validation patterns and state-machine enumerations referenced (but not spelled out) by the forms in Sections 2–3 and the workflow in Section 4 — provided here once, centrally, for reuse across every form and API.</w:t>
      </w:r>
    </w:p>
    <w:p>
      <w:pPr>
        <w:pStyle w:val="Heading2"/>
      </w:pPr>
      <w:r>
        <w:t xml:space="preserve">25.1 Regex / Format Validation for Regulated Fields</w:t>
      </w:r>
    </w:p>
    <w:p>
      <w:pPr>
        <w:spacing w:after="60" w:before="160"/>
      </w:pPr>
      <w:r>
        <w:rPr>
          <w:b/>
          <w:bCs/>
          <w:color w:val="1F4E78"/>
          <w:sz w:val="19"/>
          <w:szCs w:val="19"/>
        </w:rPr>
        <w:t xml:space="preserve">Table 25.1 — Validation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Field</w:t>
            </w:r>
          </w:p>
        </w:tc>
        <w:tc>
          <w:tcPr>
            <w:tcW w:type="dxa" w:w="34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Pattern (regex)</w:t>
            </w:r>
          </w:p>
        </w:tc>
        <w:tc>
          <w:tcPr>
            <w:tcW w:type="dxa" w:w="356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Notes</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PAN</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^[A-Z]{5}[0-9]{4}[A-Z]{1}$</w:t>
            </w:r>
          </w:p>
        </w:tc>
        <w:tc>
          <w:tcPr>
            <w:tcW w:type="dxa" w:w="3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10 chars, e.g. ABCDE1234F</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Aadhaar Number</w:t>
            </w:r>
          </w:p>
        </w:tc>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^[2-9]{1}[0-9]{11}$</w:t>
            </w:r>
          </w:p>
        </w:tc>
        <w:tc>
          <w:tcPr>
            <w:tcW w:type="dxa" w:w="3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12 digits, does not start with 0 or 1; store masked/hashed, never in plaintext</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GSTIN</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^[0-9]{2}[A-Z]{5}[0-9]{4}[A-Z]{1}[1-9A-Z]{1}Z[0-9A-Z]{1}$</w:t>
            </w:r>
          </w:p>
        </w:tc>
        <w:tc>
          <w:tcPr>
            <w:tcW w:type="dxa" w:w="3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15 chars</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CIN</w:t>
            </w:r>
          </w:p>
        </w:tc>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^[LU]{1}[0-9]{5}[A-Z]{2}[0-9]{4}[A-Z]{3}[0-9]{6}$</w:t>
            </w:r>
          </w:p>
        </w:tc>
        <w:tc>
          <w:tcPr>
            <w:tcW w:type="dxa" w:w="3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21 chars</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LLPIN</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^[A-Z]{3}-[0-9]{4}$</w:t>
            </w:r>
          </w:p>
        </w:tc>
        <w:tc>
          <w:tcPr>
            <w:tcW w:type="dxa" w:w="3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7 chars, e.g. AAA-1234</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IFSC Code</w:t>
            </w:r>
          </w:p>
        </w:tc>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^[A-Z]{4}0[A-Z0-9]{6}$</w:t>
            </w:r>
          </w:p>
        </w:tc>
        <w:tc>
          <w:tcPr>
            <w:tcW w:type="dxa" w:w="3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11 chars, 5th character is always 0</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Mobile Number (India)</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^[6-9][0-9]{9}$</w:t>
            </w:r>
          </w:p>
        </w:tc>
        <w:tc>
          <w:tcPr>
            <w:tcW w:type="dxa" w:w="3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10 digits, starts 6–9</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Email</w:t>
            </w:r>
          </w:p>
        </w:tc>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^[^\s@]+@[^\s@]+\.[^\s@]+$</w:t>
            </w:r>
          </w:p>
        </w:tc>
        <w:tc>
          <w:tcPr>
            <w:tcW w:type="dxa" w:w="3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Standard email format check</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PIN Code (India)</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^[1-9][0-9]{5}$</w:t>
            </w:r>
          </w:p>
        </w:tc>
        <w:tc>
          <w:tcPr>
            <w:tcW w:type="dxa" w:w="3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6 digits, does not start with 0</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Voter ID (EPIC)</w:t>
            </w:r>
          </w:p>
        </w:tc>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^[A-Z]{3}[0-9]{7}$</w:t>
            </w:r>
          </w:p>
        </w:tc>
        <w:tc>
          <w:tcPr>
            <w:tcW w:type="dxa" w:w="3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10 chars</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Driving Licence</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^[A-Z]{2}[0-9]{2}\s?[0-9]{11}$</w:t>
            </w:r>
          </w:p>
        </w:tc>
        <w:tc>
          <w:tcPr>
            <w:tcW w:type="dxa" w:w="3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State-code-prefixed; format varies slightly by issuing state, validate length 15–16</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Vehicle Registration Number</w:t>
            </w:r>
          </w:p>
        </w:tc>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^[A-Z]{2}[0-9]{1,2}[A-Z]{0,3}[0-9]{4}$</w:t>
            </w:r>
          </w:p>
        </w:tc>
        <w:tc>
          <w:tcPr>
            <w:tcW w:type="dxa" w:w="3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e.g. MH12AB1234</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Udyam Registration Number</w:t>
            </w:r>
          </w:p>
        </w:tc>
        <w:tc>
          <w:tcPr>
            <w:tcW w:type="dxa" w:w="3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^UDYAM-[A-Z]{2}-[0-9]{2}-[0-9]{7}$</w:t>
            </w:r>
          </w:p>
        </w:tc>
        <w:tc>
          <w:tcPr>
            <w:tcW w:type="dxa" w:w="35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IRN (GST e-Invoice)</w:t>
            </w:r>
          </w:p>
        </w:tc>
        <w:tc>
          <w:tcPr>
            <w:tcW w:type="dxa" w:w="3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^[a-f0-9]{64}$</w:t>
            </w:r>
          </w:p>
        </w:tc>
        <w:tc>
          <w:tcPr>
            <w:tcW w:type="dxa" w:w="356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64-character hash, used in Section 3.7</w:t>
            </w:r>
          </w:p>
        </w:tc>
      </w:tr>
      <w:tr>
        <w:tc>
          <w:tcPr>
            <w:tcW w:type="dxa" w:w="2400"/>
          </w:tcPr>
          <w:p>
            <w:pPr>
              <w:spacing w:after="0" w:before="0"/>
            </w:pPr>
            <w:r/>
            <w:r>
              <w:rPr>
                <w:rFonts w:ascii="Arial" w:hAnsi="Arial" w:cs="Arial"/>
                <w:b w:val="0"/>
                <w:sz w:val="17"/>
              </w:rPr>
              <w:t>LEI (Legal Entity Identifier)</w:t>
            </w:r>
          </w:p>
        </w:tc>
        <w:tc>
          <w:tcPr>
            <w:tcW w:type="dxa" w:w="3400"/>
          </w:tcPr>
          <w:p>
            <w:pPr>
              <w:spacing w:after="0" w:before="0"/>
            </w:pPr>
            <w:r/>
            <w:r>
              <w:rPr>
                <w:rFonts w:ascii="Arial" w:hAnsi="Arial" w:cs="Arial"/>
                <w:b w:val="0"/>
                <w:sz w:val="17"/>
              </w:rPr>
              <w:t>^[A-Z0-9]{18}[0-9]{2}$</w:t>
            </w:r>
          </w:p>
        </w:tc>
        <w:tc>
          <w:tcPr>
            <w:tcW w:type="dxa" w:w="3560"/>
          </w:tcPr>
          <w:p>
            <w:pPr>
              <w:spacing w:after="0" w:before="0"/>
            </w:pPr>
            <w:r/>
            <w:r>
              <w:rPr>
                <w:rFonts w:ascii="Arial" w:hAnsi="Arial" w:cs="Arial"/>
                <w:b w:val="0"/>
                <w:sz w:val="17"/>
              </w:rPr>
              <w:t>20 chars (ISO 17442). Mandatory for non-individual borrowers with aggregate exposure ≥ ₹5 crore, per RBI; validate via an accredited LEI issuer (LEIL/CCIL).</w:t>
            </w:r>
          </w:p>
        </w:tc>
      </w:tr>
      <w:tr>
        <w:tc>
          <w:tcPr>
            <w:tcW w:type="dxa" w:w="2400"/>
          </w:tcPr>
          <w:p>
            <w:pPr>
              <w:spacing w:after="0" w:before="0"/>
            </w:pPr>
            <w:r/>
            <w:r>
              <w:rPr>
                <w:rFonts w:ascii="Arial" w:hAnsi="Arial" w:cs="Arial"/>
                <w:b w:val="0"/>
                <w:sz w:val="17"/>
              </w:rPr>
              <w:t>DIN (Director Identification No.)</w:t>
            </w:r>
          </w:p>
        </w:tc>
        <w:tc>
          <w:tcPr>
            <w:tcW w:type="dxa" w:w="3400"/>
          </w:tcPr>
          <w:p>
            <w:pPr>
              <w:spacing w:after="0" w:before="0"/>
            </w:pPr>
            <w:r/>
            <w:r>
              <w:rPr>
                <w:rFonts w:ascii="Arial" w:hAnsi="Arial" w:cs="Arial"/>
                <w:b w:val="0"/>
                <w:sz w:val="17"/>
              </w:rPr>
              <w:t>^[0-9]{8}$</w:t>
            </w:r>
          </w:p>
        </w:tc>
        <w:tc>
          <w:tcPr>
            <w:tcW w:type="dxa" w:w="3560"/>
          </w:tcPr>
          <w:p>
            <w:pPr>
              <w:spacing w:after="0" w:before="0"/>
            </w:pPr>
            <w:r/>
            <w:r>
              <w:rPr>
                <w:rFonts w:ascii="Arial" w:hAnsi="Arial" w:cs="Arial"/>
                <w:b w:val="0"/>
                <w:sz w:val="17"/>
              </w:rPr>
              <w:t>8 digits; for company directors / LLP designated partners — verify via MCA21.</w:t>
            </w:r>
          </w:p>
        </w:tc>
      </w:tr>
      <w:tr>
        <w:tc>
          <w:tcPr>
            <w:tcW w:type="dxa" w:w="2400"/>
          </w:tcPr>
          <w:p>
            <w:pPr>
              <w:spacing w:after="0" w:before="0"/>
            </w:pPr>
            <w:r/>
            <w:r>
              <w:rPr>
                <w:rFonts w:ascii="Arial" w:hAnsi="Arial" w:cs="Arial"/>
                <w:b w:val="0"/>
                <w:sz w:val="17"/>
              </w:rPr>
              <w:t>CKYC Identifier</w:t>
            </w:r>
          </w:p>
        </w:tc>
        <w:tc>
          <w:tcPr>
            <w:tcW w:type="dxa" w:w="3400"/>
          </w:tcPr>
          <w:p>
            <w:pPr>
              <w:spacing w:after="0" w:before="0"/>
            </w:pPr>
            <w:r/>
            <w:r>
              <w:rPr>
                <w:rFonts w:ascii="Arial" w:hAnsi="Arial" w:cs="Arial"/>
                <w:b w:val="0"/>
                <w:sz w:val="17"/>
              </w:rPr>
              <w:t>^[0-9]{14}$</w:t>
            </w:r>
          </w:p>
        </w:tc>
        <w:tc>
          <w:tcPr>
            <w:tcW w:type="dxa" w:w="3560"/>
          </w:tcPr>
          <w:p>
            <w:pPr>
              <w:spacing w:after="0" w:before="0"/>
            </w:pPr>
            <w:r/>
            <w:r>
              <w:rPr>
                <w:rFonts w:ascii="Arial" w:hAnsi="Arial" w:cs="Arial"/>
                <w:b w:val="0"/>
                <w:sz w:val="17"/>
              </w:rPr>
              <w:t>14-digit CKYC number from CERSAI CKYCR; carried on every applicant record.</w:t>
            </w:r>
          </w:p>
        </w:tc>
      </w:tr>
      <w:tr>
        <w:tc>
          <w:tcPr>
            <w:tcW w:type="dxa" w:w="2400"/>
          </w:tcPr>
          <w:p>
            <w:pPr>
              <w:spacing w:after="0" w:before="0"/>
            </w:pPr>
            <w:r/>
            <w:r>
              <w:rPr>
                <w:rFonts w:ascii="Arial" w:hAnsi="Arial" w:cs="Arial"/>
                <w:b w:val="0"/>
                <w:sz w:val="17"/>
              </w:rPr>
              <w:t>Bank Account Number</w:t>
            </w:r>
          </w:p>
        </w:tc>
        <w:tc>
          <w:tcPr>
            <w:tcW w:type="dxa" w:w="3400"/>
          </w:tcPr>
          <w:p>
            <w:pPr>
              <w:spacing w:after="0" w:before="0"/>
            </w:pPr>
            <w:r/>
            <w:r>
              <w:rPr>
                <w:rFonts w:ascii="Arial" w:hAnsi="Arial" w:cs="Arial"/>
                <w:b w:val="0"/>
                <w:sz w:val="17"/>
              </w:rPr>
              <w:t>^[0-9]{9,18}$</w:t>
            </w:r>
          </w:p>
        </w:tc>
        <w:tc>
          <w:tcPr>
            <w:tcW w:type="dxa" w:w="3560"/>
          </w:tcPr>
          <w:p>
            <w:pPr>
              <w:spacing w:after="0" w:before="0"/>
            </w:pPr>
            <w:r/>
            <w:r>
              <w:rPr>
                <w:rFonts w:ascii="Arial" w:hAnsi="Arial" w:cs="Arial"/>
                <w:b w:val="0"/>
                <w:sz w:val="17"/>
              </w:rPr>
              <w:t>9–18 digits; format check only — always confirm via penny-drop + account-name-match.</w:t>
            </w:r>
          </w:p>
        </w:tc>
      </w:tr>
    </w:tbl>
    <w:p>
      <w:pPr>
        <w:spacing w:after="160"/>
      </w:pPr>
      <w:r>
        <w:rPr>
          <w:i/>
          <w:iCs/>
          <w:color w:val="555555"/>
          <w:sz w:val="19"/>
          <w:szCs w:val="19"/>
        </w:rPr>
        <w:t xml:space="preserve">Patterns above are practical validation baselines; always cross-verify via the respective issuing authority's API (NSDL for PAN, UIDAI/CKYC for Aadhaar, GSTN for GSTIN, MCA21 for CIN, Vahan for vehicle registration — see Section 12) rather than relying on format-validation alone.</w:t>
      </w:r>
    </w:p>
    <w:p>
      <w:pPr>
        <w:pStyle w:val="Heading2"/>
      </w:pPr>
      <w:r>
        <w:t xml:space="preserve">25.2 Entity Status Enumerations (State Machines)</w:t>
      </w:r>
    </w:p>
    <w:p>
      <w:pPr>
        <w:spacing w:after="60" w:before="160"/>
      </w:pPr>
      <w:r>
        <w:rPr>
          <w:b/>
          <w:bCs/>
          <w:color w:val="1F4E78"/>
          <w:sz w:val="19"/>
          <w:szCs w:val="19"/>
        </w:rPr>
        <w:t xml:space="preserve">Table 25.2 — Application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Enum values (ordered)</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DRAFT → SUBMITTED → DOCS_PENDING → UNDER_APPRAISAL → APPROVED → SANCTIONED → AGREEMENT_PENDING → DISBURSED</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Terminal/exception states</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REJECTED, WITHDRAWN, CANCELLED (reachable from any pre-DISBURSED state)</w:t>
            </w:r>
          </w:p>
        </w:tc>
      </w:tr>
    </w:tbl>
    <w:p>
      <w:pPr>
        <w:spacing w:after="60" w:before="160"/>
      </w:pPr>
      <w:r>
        <w:rPr>
          <w:b/>
          <w:bCs/>
          <w:color w:val="1F4E78"/>
          <w:sz w:val="19"/>
          <w:szCs w:val="19"/>
        </w:rPr>
        <w:t xml:space="preserve">Table 25.3 — Loan Account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Enum values</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ACTIVE, OVERDUE_BUCKET_1 (1–30 DPD), OVERDUE_BUCKET_2 (31–60 DPD), OVERDUE_BUCKET_3 (61–90 DPD), NPA_SUBSTANDARD, NPA_DOUBTFUL, NPA_LOSS, RESTRUCTURED, WRITTEN_OFF, SETTLED, FORECLOSED, CLOSED</w:t>
            </w:r>
          </w:p>
        </w:tc>
      </w:tr>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Transition source</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Driven automatically by the DPD-to-classification mapping in Section 9.4; manual override requires maker-checker (Section 14)</w:t>
            </w:r>
          </w:p>
        </w:tc>
      </w:tr>
    </w:tbl>
    <w:p>
      <w:pPr>
        <w:spacing w:after="60" w:before="160"/>
      </w:pPr>
      <w:r>
        <w:rPr>
          <w:b/>
          <w:bCs/>
          <w:color w:val="1F4E78"/>
          <w:sz w:val="19"/>
          <w:szCs w:val="19"/>
        </w:rPr>
        <w:t xml:space="preserve">Table 25.4 — Collateral Status (generic, applies across Section 3 collateral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Enum values</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PENDING_VERIFICATION, VERIFIED, PLEDGED/REGISTERED, ACTIVE, PARTIALLY_RELEASED, RELEASED, INVOKED, AUCTIONED, REPOSSESSED</w:t>
            </w:r>
          </w:p>
        </w:tc>
      </w:tr>
    </w:tbl>
    <w:p>
      <w:pPr>
        <w:spacing w:after="60" w:before="160"/>
      </w:pPr>
      <w:r>
        <w:rPr>
          <w:b/>
          <w:bCs/>
          <w:color w:val="1F4E78"/>
          <w:sz w:val="19"/>
          <w:szCs w:val="19"/>
        </w:rPr>
        <w:t xml:space="preserve">Table 25.5 — Document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Enum values</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PENDING_UPLOAD, UPLOADED, UNDER_REVIEW, VERIFIED, REJECTED, EXPIRED</w:t>
            </w:r>
          </w:p>
        </w:tc>
      </w:tr>
    </w:tbl>
    <w:p>
      <w:pPr>
        <w:spacing w:after="60" w:before="160"/>
      </w:pPr>
      <w:r>
        <w:rPr>
          <w:b/>
          <w:bCs/>
          <w:color w:val="1F4E78"/>
          <w:sz w:val="19"/>
          <w:szCs w:val="19"/>
        </w:rPr>
        <w:t xml:space="preserve">Table 25.6 — Bureau Submission Status (Section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Enum values</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QUEUED, GENERATED, SENT, ACKNOWLEDGED, PARTIALLY_REJECTED, REJECTED, RESUBMITTED</w:t>
            </w:r>
          </w:p>
        </w:tc>
      </w:tr>
    </w:tbl>
    <w:p>
      <w:pPr>
        <w:spacing w:after="60" w:before="160"/>
      </w:pPr>
      <w:r>
        <w:rPr>
          <w:b/>
          <w:bCs/>
          <w:color w:val="1F4E78"/>
          <w:sz w:val="19"/>
          <w:szCs w:val="19"/>
        </w:rPr>
        <w:t xml:space="preserve">Table 25.7 — Regulatory Return Status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E7EEF5" w:val="clear"/>
            <w:tcMar>
              <w:top w:type="dxa" w:w="50"/>
              <w:left w:type="dxa" w:w="90"/>
              <w:bottom w:type="dxa" w:w="50"/>
              <w:right w:type="dxa" w:w="90"/>
            </w:tcMar>
            <w:vAlign w:val="center"/>
          </w:tcPr>
          <w:p>
            <w:r>
              <w:rPr>
                <w:b/>
                <w:bCs/>
                <w:sz w:val="18"/>
                <w:szCs w:val="18"/>
              </w:rPr>
              <w:t xml:space="preserve">Enum values</w:t>
            </w:r>
          </w:p>
        </w:tc>
        <w:tc>
          <w:tcPr>
            <w:tcW w:type="dxa" w:w="616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sz w:val="18"/>
                <w:szCs w:val="18"/>
              </w:rPr>
              <w:t xml:space="preserve">DATA_AGGREGATING, GENERATED, VALIDATION_FAILED, PENDING_APPROVAL, APPROVED, SUBMITTED, ACKNOWLEDGED</w:t>
            </w:r>
          </w:p>
        </w:tc>
      </w:tr>
    </w:tbl>
    <w:p>
      <w:pPr>
        <w:pStyle w:val="Heading2"/>
      </w:pPr>
      <w:r>
        <w:t xml:space="preserve">25.3 Product-Wise Business Rule Limits (Consolidated)</w:t>
      </w:r>
    </w:p>
    <w:p>
      <w:pPr>
        <w:spacing w:after="140"/>
      </w:pPr>
      <w:r>
        <w:t xml:space="preserve">Pulls the min/max fields scattered across each product's configuration table in Section 3 into one reference for form-level validation.</w:t>
      </w:r>
    </w:p>
    <w:p>
      <w:pPr>
        <w:spacing w:after="60" w:before="160"/>
      </w:pPr>
      <w:r>
        <w:rPr>
          <w:b/>
          <w:bCs/>
          <w:color w:val="1F4E78"/>
          <w:sz w:val="19"/>
          <w:szCs w:val="19"/>
        </w:rPr>
        <w:t xml:space="preserve">Table 25.8 — Cross-Product Limits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1180"/>
        <w:gridCol w:w="2180"/>
      </w:tblGrid>
      <w:tr>
        <w:trPr>
          <w:tblHeader/>
        </w:trPr>
        <w:tc>
          <w:tcPr>
            <w:tcW w:type="dxa" w:w="24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Product</w:t>
            </w:r>
          </w:p>
        </w:tc>
        <w:tc>
          <w:tcPr>
            <w:tcW w:type="dxa" w:w="20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Loan Amount Band</w:t>
            </w:r>
          </w:p>
        </w:tc>
        <w:tc>
          <w:tcPr>
            <w:tcW w:type="dxa" w:w="160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Tenure Band</w:t>
            </w:r>
          </w:p>
        </w:tc>
        <w:tc>
          <w:tcPr>
            <w:tcW w:type="dxa" w:w="118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Applicant Age</w:t>
            </w:r>
          </w:p>
        </w:tc>
        <w:tc>
          <w:tcPr>
            <w:tcW w:type="dxa" w:w="2180"/>
            <w:tcBorders>
              <w:top w:val="single" w:color="BFBFBF" w:sz="1"/>
              <w:left w:val="single" w:color="BFBFBF" w:sz="1"/>
              <w:bottom w:val="single" w:color="BFBFBF" w:sz="1"/>
              <w:right w:val="single" w:color="BFBFBF" w:sz="1"/>
            </w:tcBorders>
            <w:shd w:fill="1F4E78" w:val="clear"/>
            <w:tcMar>
              <w:top w:type="dxa" w:w="50"/>
              <w:left w:type="dxa" w:w="90"/>
              <w:bottom w:type="dxa" w:w="50"/>
              <w:right w:type="dxa" w:w="90"/>
            </w:tcMar>
            <w:vAlign w:val="center"/>
          </w:tcPr>
          <w:p>
            <w:r>
              <w:rPr>
                <w:b/>
                <w:bCs/>
                <w:color w:val="FFFFFF"/>
                <w:sz w:val="17"/>
                <w:szCs w:val="17"/>
              </w:rPr>
              <w:t xml:space="preserve">LTV</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Against Securities</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Configurable by security category</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12 months (renewable)</w:t>
            </w:r>
          </w:p>
        </w:tc>
        <w:tc>
          <w:tcPr>
            <w:tcW w:type="dxa" w:w="11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18–70</w:t>
            </w:r>
          </w:p>
        </w:tc>
        <w:tc>
          <w:tcPr>
            <w:tcW w:type="dxa" w:w="21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3.1 LTV table</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Smart Credit Line</w:t>
            </w:r>
          </w:p>
        </w:tc>
        <w:tc>
          <w:tcPr>
            <w:tcW w:type="dxa" w:w="20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Configurable by risk grade</w:t>
            </w:r>
          </w:p>
        </w:tc>
        <w:tc>
          <w:tcPr>
            <w:tcW w:type="dxa" w:w="1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Revolving, annual review</w:t>
            </w:r>
          </w:p>
        </w:tc>
        <w:tc>
          <w:tcPr>
            <w:tcW w:type="dxa" w:w="118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21–60</w:t>
            </w:r>
          </w:p>
        </w:tc>
        <w:tc>
          <w:tcPr>
            <w:tcW w:type="dxa" w:w="218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N/A (unsecured)</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Loan Against Property</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Configurable, typically ₹5L–₹5Cr</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Up to 180 months</w:t>
            </w:r>
          </w:p>
        </w:tc>
        <w:tc>
          <w:tcPr>
            <w:tcW w:type="dxa" w:w="11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21–65 (at maturity)</w:t>
            </w:r>
          </w:p>
        </w:tc>
        <w:tc>
          <w:tcPr>
            <w:tcW w:type="dxa" w:w="21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Per Section 3.3 LTV table</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Gold Loan</w:t>
            </w:r>
          </w:p>
        </w:tc>
        <w:tc>
          <w:tcPr>
            <w:tcW w:type="dxa" w:w="20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 gram-rate table</w:t>
            </w:r>
          </w:p>
        </w:tc>
        <w:tc>
          <w:tcPr>
            <w:tcW w:type="dxa" w:w="1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Up to 12 months</w:t>
            </w:r>
          </w:p>
        </w:tc>
        <w:tc>
          <w:tcPr>
            <w:tcW w:type="dxa" w:w="118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18–70</w:t>
            </w:r>
          </w:p>
        </w:tc>
        <w:tc>
          <w:tcPr>
            <w:tcW w:type="dxa" w:w="218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Capped per RBI ceiling (Section 3.4)</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Unsecured Personal/Business Loan</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Configurable, typically ₹50K–₹25L</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12–60 months</w:t>
            </w:r>
          </w:p>
        </w:tc>
        <w:tc>
          <w:tcPr>
            <w:tcW w:type="dxa" w:w="11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21–60</w:t>
            </w:r>
          </w:p>
        </w:tc>
        <w:tc>
          <w:tcPr>
            <w:tcW w:type="dxa" w:w="21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N/A (unsecured)</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Vehicle/Two-Wheeler Loan</w:t>
            </w:r>
          </w:p>
        </w:tc>
        <w:tc>
          <w:tcPr>
            <w:tcW w:type="dxa" w:w="20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Up to on-road price less down payment</w:t>
            </w:r>
          </w:p>
        </w:tc>
        <w:tc>
          <w:tcPr>
            <w:tcW w:type="dxa" w:w="1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12–84 months</w:t>
            </w:r>
          </w:p>
        </w:tc>
        <w:tc>
          <w:tcPr>
            <w:tcW w:type="dxa" w:w="118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21–65 (at maturity)</w:t>
            </w:r>
          </w:p>
        </w:tc>
        <w:tc>
          <w:tcPr>
            <w:tcW w:type="dxa" w:w="218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 Section 3.6 LTV table</w:t>
            </w:r>
          </w:p>
        </w:tc>
      </w:tr>
      <w:tr>
        <w:trPr>
          <w:tblHeader w:val="false"/>
        </w:trPr>
        <w:tc>
          <w:tcPr>
            <w:tcW w:type="dxa" w:w="24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Supply Chain Finance/Invoice Discounting</w:t>
            </w:r>
          </w:p>
        </w:tc>
        <w:tc>
          <w:tcPr>
            <w:tcW w:type="dxa" w:w="20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Configurable per Anchor program</w:t>
            </w:r>
          </w:p>
        </w:tc>
        <w:tc>
          <w:tcPr>
            <w:tcW w:type="dxa" w:w="160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Invoice tenor (typically 30–180 days)</w:t>
            </w:r>
          </w:p>
        </w:tc>
        <w:tc>
          <w:tcPr>
            <w:tcW w:type="dxa" w:w="11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N/A (entity)</w:t>
            </w:r>
          </w:p>
        </w:tc>
        <w:tc>
          <w:tcPr>
            <w:tcW w:type="dxa" w:w="2180"/>
            <w:tcBorders>
              <w:top w:val="single" w:color="BFBFBF" w:sz="1"/>
              <w:left w:val="single" w:color="BFBFBF" w:sz="1"/>
              <w:bottom w:val="single" w:color="BFBFBF" w:sz="1"/>
              <w:right w:val="single" w:color="BFBFBF" w:sz="1"/>
            </w:tcBorders>
            <w:tcMar>
              <w:top w:type="dxa" w:w="50"/>
              <w:left w:type="dxa" w:w="90"/>
              <w:bottom w:type="dxa" w:w="50"/>
              <w:right w:type="dxa" w:w="90"/>
            </w:tcMar>
            <w:vAlign w:val="center"/>
          </w:tcPr>
          <w:p>
            <w:r>
              <w:rPr>
                <w:b w:val="false"/>
                <w:bCs w:val="false"/>
                <w:color w:val="222222"/>
                <w:sz w:val="17"/>
                <w:szCs w:val="17"/>
              </w:rPr>
              <w:t xml:space="preserve">N/A</w:t>
            </w:r>
          </w:p>
        </w:tc>
      </w:tr>
      <w:tr>
        <w:trPr>
          <w:tblHeader w:val="false"/>
        </w:trPr>
        <w:tc>
          <w:tcPr>
            <w:tcW w:type="dxa" w:w="24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Microfinance (JLG/SHG)</w:t>
            </w:r>
          </w:p>
        </w:tc>
        <w:tc>
          <w:tcPr>
            <w:tcW w:type="dxa" w:w="20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Per RBI qualifying-asset cap</w:t>
            </w:r>
          </w:p>
        </w:tc>
        <w:tc>
          <w:tcPr>
            <w:tcW w:type="dxa" w:w="160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12–36 months</w:t>
            </w:r>
          </w:p>
        </w:tc>
        <w:tc>
          <w:tcPr>
            <w:tcW w:type="dxa" w:w="118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18–60</w:t>
            </w:r>
          </w:p>
        </w:tc>
        <w:tc>
          <w:tcPr>
            <w:tcW w:type="dxa" w:w="2180"/>
            <w:tcBorders>
              <w:top w:val="single" w:color="BFBFBF" w:sz="1"/>
              <w:left w:val="single" w:color="BFBFBF" w:sz="1"/>
              <w:bottom w:val="single" w:color="BFBFBF" w:sz="1"/>
              <w:right w:val="single" w:color="BFBFBF" w:sz="1"/>
            </w:tcBorders>
            <w:shd w:fill="F2F6FA" w:val="clear"/>
            <w:tcMar>
              <w:top w:type="dxa" w:w="50"/>
              <w:left w:type="dxa" w:w="90"/>
              <w:bottom w:type="dxa" w:w="50"/>
              <w:right w:type="dxa" w:w="90"/>
            </w:tcMar>
            <w:vAlign w:val="center"/>
          </w:tcPr>
          <w:p>
            <w:r>
              <w:rPr>
                <w:b w:val="false"/>
                <w:bCs w:val="false"/>
                <w:color w:val="222222"/>
                <w:sz w:val="17"/>
                <w:szCs w:val="17"/>
              </w:rPr>
              <w:t xml:space="preserve">N/A (unsecured, group-guaranteed)</w:t>
            </w:r>
          </w:p>
        </w:tc>
      </w:tr>
    </w:tbl>
    <w:p>
      <w:pPr>
        <w:pStyle w:val="Heading1"/>
        <w:pageBreakBefore/>
      </w:pPr>
      <w:r>
        <w:t xml:space="preserve">26. API Request/Response Payload Samples</w:t>
      </w:r>
    </w:p>
    <w:p>
      <w:pPr/>
      <w:r>
        <w:rPr>
          <w:rFonts w:ascii="Arial" w:hAnsi="Arial" w:cs="Arial"/>
          <w:i/>
          <w:color w:val="8B4513"/>
          <w:sz w:val="20"/>
        </w:rPr>
        <w:t xml:space="preserve">Note — happy-path samples only. Production semantics (idempotency, errors, versioning, async) are authoritative in Section 40; the full contract is Section 63.</w:t>
      </w:r>
    </w:p>
    <w:p>
      <w:pPr>
        <w:spacing w:after="140"/>
      </w:pPr>
      <w:r>
        <w:t xml:space="preserve">Illustrative JSON payloads for the endpoints listed in Section 22, to anchor the request/response contract shape. Field names and structure should be finalised during technical design, but the shape below reflects the data model in Section 11.</w:t>
      </w:r>
    </w:p>
    <w:p>
      <w:pPr>
        <w:pStyle w:val="Heading2"/>
      </w:pPr>
      <w:r>
        <w:t xml:space="preserve">26.1 POST /applications</w:t>
      </w:r>
    </w:p>
    <w:p>
      <w:pPr>
        <w:pStyle w:val="Heading4"/>
      </w:pPr>
      <w:r>
        <w:rPr>
          <w:i/>
          <w:iCs/>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w:t>
            </w:r>
          </w:p>
          <w:p>
            <w:pPr>
              <w:spacing w:after="20"/>
            </w:pPr>
            <w:r>
              <w:rPr>
                <w:rFonts w:ascii="Consolas" w:cs="Consolas" w:eastAsia="Consolas" w:hAnsi="Consolas"/>
                <w:color w:val="1B4965"/>
                <w:sz w:val="19"/>
                <w:szCs w:val="19"/>
              </w:rPr>
              <w:t xml:space="preserve">  "partyId": "PTY-00019284",</w:t>
            </w:r>
          </w:p>
          <w:p>
            <w:pPr>
              <w:spacing w:after="20"/>
            </w:pPr>
            <w:r>
              <w:rPr>
                <w:rFonts w:ascii="Consolas" w:cs="Consolas" w:eastAsia="Consolas" w:hAnsi="Consolas"/>
                <w:color w:val="1B4965"/>
                <w:sz w:val="19"/>
                <w:szCs w:val="19"/>
              </w:rPr>
              <w:t xml:space="preserve">  "productCode": "LAP",</w:t>
            </w:r>
          </w:p>
          <w:p>
            <w:pPr>
              <w:spacing w:after="20"/>
            </w:pPr>
            <w:r>
              <w:rPr>
                <w:rFonts w:ascii="Consolas" w:cs="Consolas" w:eastAsia="Consolas" w:hAnsi="Consolas"/>
                <w:color w:val="1B4965"/>
                <w:sz w:val="19"/>
                <w:szCs w:val="19"/>
              </w:rPr>
              <w:t xml:space="preserve">  "requestedAmount": 2000000,</w:t>
            </w:r>
          </w:p>
          <w:p>
            <w:pPr>
              <w:spacing w:after="20"/>
            </w:pPr>
            <w:r>
              <w:rPr>
                <w:rFonts w:ascii="Consolas" w:cs="Consolas" w:eastAsia="Consolas" w:hAnsi="Consolas"/>
                <w:color w:val="1B4965"/>
                <w:sz w:val="19"/>
                <w:szCs w:val="19"/>
              </w:rPr>
              <w:t xml:space="preserve">  "requestedTenureMonths": 180,</w:t>
            </w:r>
          </w:p>
          <w:p>
            <w:pPr>
              <w:spacing w:after="20"/>
            </w:pPr>
            <w:r>
              <w:rPr>
                <w:rFonts w:ascii="Consolas" w:cs="Consolas" w:eastAsia="Consolas" w:hAnsi="Consolas"/>
                <w:color w:val="1B4965"/>
                <w:sz w:val="19"/>
                <w:szCs w:val="19"/>
              </w:rPr>
              <w:t xml:space="preserve">  "purpose": "BUSINESS_EXPANSION",</w:t>
            </w:r>
          </w:p>
          <w:p>
            <w:pPr>
              <w:spacing w:after="20"/>
            </w:pPr>
            <w:r>
              <w:rPr>
                <w:rFonts w:ascii="Consolas" w:cs="Consolas" w:eastAsia="Consolas" w:hAnsi="Consolas"/>
                <w:color w:val="1B4965"/>
                <w:sz w:val="19"/>
                <w:szCs w:val="19"/>
              </w:rPr>
              <w:t xml:space="preserve">  "coApplicantPartyIds": ["PTY-00019285"],</w:t>
            </w:r>
          </w:p>
          <w:p>
            <w:pPr>
              <w:spacing w:after="20"/>
            </w:pPr>
            <w:r>
              <w:rPr>
                <w:rFonts w:ascii="Consolas" w:cs="Consolas" w:eastAsia="Consolas" w:hAnsi="Consolas"/>
                <w:color w:val="1B4965"/>
                <w:sz w:val="19"/>
                <w:szCs w:val="19"/>
              </w:rPr>
              <w:t xml:space="preserve">  "collateral": {</w:t>
            </w:r>
          </w:p>
          <w:p>
            <w:pPr>
              <w:spacing w:after="20"/>
            </w:pPr>
            <w:r>
              <w:rPr>
                <w:rFonts w:ascii="Consolas" w:cs="Consolas" w:eastAsia="Consolas" w:hAnsi="Consolas"/>
                <w:color w:val="1B4965"/>
                <w:sz w:val="19"/>
                <w:szCs w:val="19"/>
              </w:rPr>
              <w:t xml:space="preserve">    "type": "PROPERTY",</w:t>
            </w:r>
          </w:p>
          <w:p>
            <w:pPr>
              <w:spacing w:after="20"/>
            </w:pPr>
            <w:r>
              <w:rPr>
                <w:rFonts w:ascii="Consolas" w:cs="Consolas" w:eastAsia="Consolas" w:hAnsi="Consolas"/>
                <w:color w:val="1B4965"/>
                <w:sz w:val="19"/>
                <w:szCs w:val="19"/>
              </w:rPr>
              <w:t xml:space="preserve">    "propertyType": "RESIDENTIAL",</w:t>
            </w:r>
          </w:p>
          <w:p>
            <w:pPr>
              <w:spacing w:after="20"/>
            </w:pPr>
            <w:r>
              <w:rPr>
                <w:rFonts w:ascii="Consolas" w:cs="Consolas" w:eastAsia="Consolas" w:hAnsi="Consolas"/>
                <w:color w:val="1B4965"/>
                <w:sz w:val="19"/>
                <w:szCs w:val="19"/>
              </w:rPr>
              <w:t xml:space="preserve">    "address": { "line1": "...", "city": "Pune", "state": "MH", "pincode": "411001" }</w:t>
            </w:r>
          </w:p>
          <w:p>
            <w:pPr>
              <w:spacing w:after="20"/>
            </w:pPr>
            <w:r>
              <w:rPr>
                <w:rFonts w:ascii="Consolas" w:cs="Consolas" w:eastAsia="Consolas" w:hAnsi="Consolas"/>
                <w:color w:val="1B4965"/>
                <w:sz w:val="19"/>
                <w:szCs w:val="19"/>
              </w:rPr>
              <w:t xml:space="preserve">  }</w:t>
            </w:r>
          </w:p>
          <w:p>
            <w:pPr>
              <w:spacing w:after="20"/>
            </w:pPr>
            <w:r>
              <w:rPr>
                <w:rFonts w:ascii="Consolas" w:cs="Consolas" w:eastAsia="Consolas" w:hAnsi="Consolas"/>
                <w:color w:val="1B4965"/>
                <w:sz w:val="19"/>
                <w:szCs w:val="19"/>
              </w:rPr>
              <w:t xml:space="preserve">}</w:t>
            </w:r>
          </w:p>
        </w:tc>
      </w:tr>
    </w:tbl>
    <w:p>
      <w:pPr>
        <w:spacing w:after="160"/>
      </w:pPr>
    </w:p>
    <w:p>
      <w:pPr>
        <w:pStyle w:val="Heading4"/>
      </w:pPr>
      <w:r>
        <w:rPr>
          <w:i/>
          <w:iCs/>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w:t>
            </w:r>
          </w:p>
          <w:p>
            <w:pPr>
              <w:spacing w:after="20"/>
            </w:pPr>
            <w:r>
              <w:rPr>
                <w:rFonts w:ascii="Consolas" w:cs="Consolas" w:eastAsia="Consolas" w:hAnsi="Consolas"/>
                <w:color w:val="1B4965"/>
                <w:sz w:val="19"/>
                <w:szCs w:val="19"/>
              </w:rPr>
              <w:t xml:space="preserve">  "applicationId": "APP-2026-000481",</w:t>
            </w:r>
          </w:p>
          <w:p>
            <w:pPr>
              <w:spacing w:after="20"/>
            </w:pPr>
            <w:r>
              <w:rPr>
                <w:rFonts w:ascii="Consolas" w:cs="Consolas" w:eastAsia="Consolas" w:hAnsi="Consolas"/>
                <w:color w:val="1B4965"/>
                <w:sz w:val="19"/>
                <w:szCs w:val="19"/>
              </w:rPr>
              <w:t xml:space="preserve">  "status": "SUBMITTED",</w:t>
            </w:r>
          </w:p>
          <w:p>
            <w:pPr>
              <w:spacing w:after="20"/>
            </w:pPr>
            <w:r>
              <w:rPr>
                <w:rFonts w:ascii="Consolas" w:cs="Consolas" w:eastAsia="Consolas" w:hAnsi="Consolas"/>
                <w:color w:val="1B4965"/>
                <w:sz w:val="19"/>
                <w:szCs w:val="19"/>
              </w:rPr>
              <w:t xml:space="preserve">  "createdAt": "2026-07-01T10:15:00+05:30",</w:t>
            </w:r>
          </w:p>
          <w:p>
            <w:pPr>
              <w:spacing w:after="20"/>
            </w:pPr>
            <w:r>
              <w:rPr>
                <w:rFonts w:ascii="Consolas" w:cs="Consolas" w:eastAsia="Consolas" w:hAnsi="Consolas"/>
                <w:color w:val="1B4965"/>
                <w:sz w:val="19"/>
                <w:szCs w:val="19"/>
              </w:rPr>
              <w:t xml:space="preserve">  "nextStage": "DOCS_PENDING",</w:t>
            </w:r>
          </w:p>
          <w:p>
            <w:pPr>
              <w:spacing w:after="20"/>
            </w:pPr>
            <w:r>
              <w:rPr>
                <w:rFonts w:ascii="Consolas" w:cs="Consolas" w:eastAsia="Consolas" w:hAnsi="Consolas"/>
                <w:color w:val="1B4965"/>
                <w:sz w:val="19"/>
                <w:szCs w:val="19"/>
              </w:rPr>
              <w:t xml:space="preserve">  "documentChecklist": ["PAN", "PROPERTY_TITLE_DEED", "BANK_STATEMENT_12M"]</w:t>
            </w:r>
          </w:p>
          <w:p>
            <w:pPr>
              <w:spacing w:after="20"/>
            </w:pPr>
            <w:r>
              <w:rPr>
                <w:rFonts w:ascii="Consolas" w:cs="Consolas" w:eastAsia="Consolas" w:hAnsi="Consolas"/>
                <w:color w:val="1B4965"/>
                <w:sz w:val="19"/>
                <w:szCs w:val="19"/>
              </w:rPr>
              <w:t xml:space="preserve">}</w:t>
            </w:r>
          </w:p>
        </w:tc>
      </w:tr>
    </w:tbl>
    <w:p>
      <w:pPr>
        <w:spacing w:after="160"/>
      </w:pPr>
    </w:p>
    <w:p>
      <w:pPr>
        <w:pStyle w:val="Heading2"/>
      </w:pPr>
      <w:r>
        <w:t xml:space="preserve">26.2 POST /applications/{id}/bureau-pull</w:t>
      </w:r>
    </w:p>
    <w:p>
      <w:pPr>
        <w:pStyle w:val="Heading4"/>
      </w:pPr>
      <w:r>
        <w:rPr>
          <w:i/>
          <w:iCs/>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w:t>
            </w:r>
          </w:p>
          <w:p>
            <w:pPr>
              <w:spacing w:after="20"/>
            </w:pPr>
            <w:r>
              <w:rPr>
                <w:rFonts w:ascii="Consolas" w:cs="Consolas" w:eastAsia="Consolas" w:hAnsi="Consolas"/>
                <w:color w:val="1B4965"/>
                <w:sz w:val="19"/>
                <w:szCs w:val="19"/>
              </w:rPr>
              <w:t xml:space="preserve">  "consentReference": "CNS-88213",</w:t>
            </w:r>
          </w:p>
          <w:p>
            <w:pPr>
              <w:spacing w:after="20"/>
            </w:pPr>
            <w:r>
              <w:rPr>
                <w:rFonts w:ascii="Consolas" w:cs="Consolas" w:eastAsia="Consolas" w:hAnsi="Consolas"/>
                <w:color w:val="1B4965"/>
                <w:sz w:val="19"/>
                <w:szCs w:val="19"/>
              </w:rPr>
              <w:t xml:space="preserve">  "bureau": "CIBIL",</w:t>
            </w:r>
          </w:p>
          <w:p>
            <w:pPr>
              <w:spacing w:after="20"/>
            </w:pPr>
            <w:r>
              <w:rPr>
                <w:rFonts w:ascii="Consolas" w:cs="Consolas" w:eastAsia="Consolas" w:hAnsi="Consolas"/>
                <w:color w:val="1B4965"/>
                <w:sz w:val="19"/>
                <w:szCs w:val="19"/>
              </w:rPr>
              <w:t xml:space="preserve">  "pullType": "HARD"</w:t>
            </w:r>
          </w:p>
          <w:p>
            <w:pPr>
              <w:spacing w:after="20"/>
            </w:pPr>
            <w:r>
              <w:rPr>
                <w:rFonts w:ascii="Consolas" w:cs="Consolas" w:eastAsia="Consolas" w:hAnsi="Consolas"/>
                <w:color w:val="1B4965"/>
                <w:sz w:val="19"/>
                <w:szCs w:val="19"/>
              </w:rPr>
              <w:t xml:space="preserve">}</w:t>
            </w:r>
          </w:p>
        </w:tc>
      </w:tr>
    </w:tbl>
    <w:p>
      <w:pPr>
        <w:spacing w:after="160"/>
      </w:pPr>
    </w:p>
    <w:p>
      <w:pPr>
        <w:pStyle w:val="Heading4"/>
      </w:pPr>
      <w:r>
        <w:rPr>
          <w:i/>
          <w:iCs/>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w:t>
            </w:r>
          </w:p>
          <w:p>
            <w:pPr>
              <w:spacing w:after="20"/>
            </w:pPr>
            <w:r>
              <w:rPr>
                <w:rFonts w:ascii="Consolas" w:cs="Consolas" w:eastAsia="Consolas" w:hAnsi="Consolas"/>
                <w:color w:val="1B4965"/>
                <w:sz w:val="19"/>
                <w:szCs w:val="19"/>
              </w:rPr>
              <w:t xml:space="preserve">  "bureauReportId": "BUR-77213",</w:t>
            </w:r>
          </w:p>
          <w:p>
            <w:pPr>
              <w:spacing w:after="20"/>
            </w:pPr>
            <w:r>
              <w:rPr>
                <w:rFonts w:ascii="Consolas" w:cs="Consolas" w:eastAsia="Consolas" w:hAnsi="Consolas"/>
                <w:color w:val="1B4965"/>
                <w:sz w:val="19"/>
                <w:szCs w:val="19"/>
              </w:rPr>
              <w:t xml:space="preserve">  "score": 742,</w:t>
            </w:r>
          </w:p>
          <w:p>
            <w:pPr>
              <w:spacing w:after="20"/>
            </w:pPr>
            <w:r>
              <w:rPr>
                <w:rFonts w:ascii="Consolas" w:cs="Consolas" w:eastAsia="Consolas" w:hAnsi="Consolas"/>
                <w:color w:val="1B4965"/>
                <w:sz w:val="19"/>
                <w:szCs w:val="19"/>
              </w:rPr>
              <w:t xml:space="preserve">  "reportDate": "2026-07-01",</w:t>
            </w:r>
          </w:p>
          <w:p>
            <w:pPr>
              <w:spacing w:after="20"/>
            </w:pPr>
            <w:r>
              <w:rPr>
                <w:rFonts w:ascii="Consolas" w:cs="Consolas" w:eastAsia="Consolas" w:hAnsi="Consolas"/>
                <w:color w:val="1B4965"/>
                <w:sz w:val="19"/>
                <w:szCs w:val="19"/>
              </w:rPr>
              <w:t xml:space="preserve">  "existingObligationsMonthly": 18500,</w:t>
            </w:r>
          </w:p>
          <w:p>
            <w:pPr>
              <w:spacing w:after="20"/>
            </w:pPr>
            <w:r>
              <w:rPr>
                <w:rFonts w:ascii="Consolas" w:cs="Consolas" w:eastAsia="Consolas" w:hAnsi="Consolas"/>
                <w:color w:val="1B4965"/>
                <w:sz w:val="19"/>
                <w:szCs w:val="19"/>
              </w:rPr>
              <w:t xml:space="preserve">  "flags": { "suitFiled": false, "writtenOff": false }</w:t>
            </w:r>
          </w:p>
          <w:p>
            <w:pPr>
              <w:spacing w:after="20"/>
            </w:pPr>
            <w:r>
              <w:rPr>
                <w:rFonts w:ascii="Consolas" w:cs="Consolas" w:eastAsia="Consolas" w:hAnsi="Consolas"/>
                <w:color w:val="1B4965"/>
                <w:sz w:val="19"/>
                <w:szCs w:val="19"/>
              </w:rPr>
              <w:t xml:space="preserve">}</w:t>
            </w:r>
          </w:p>
        </w:tc>
      </w:tr>
    </w:tbl>
    <w:p>
      <w:pPr>
        <w:spacing w:after="160"/>
      </w:pPr>
    </w:p>
    <w:p>
      <w:pPr>
        <w:pStyle w:val="Heading2"/>
      </w:pPr>
      <w:r>
        <w:t xml:space="preserve">26.3 POST /loan-accounts/{id}/disburse</w:t>
      </w:r>
    </w:p>
    <w:p>
      <w:pPr>
        <w:pStyle w:val="Heading4"/>
      </w:pPr>
      <w:r>
        <w:rPr>
          <w:i/>
          <w:iCs/>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w:t>
            </w:r>
          </w:p>
          <w:p>
            <w:pPr>
              <w:spacing w:after="20"/>
            </w:pPr>
            <w:r>
              <w:rPr>
                <w:rFonts w:ascii="Consolas" w:cs="Consolas" w:eastAsia="Consolas" w:hAnsi="Consolas"/>
                <w:color w:val="1B4965"/>
                <w:sz w:val="19"/>
                <w:szCs w:val="19"/>
              </w:rPr>
              <w:t xml:space="preserve">  "disbursementAmount": 2000000,</w:t>
            </w:r>
          </w:p>
          <w:p>
            <w:pPr>
              <w:spacing w:after="20"/>
            </w:pPr>
            <w:r>
              <w:rPr>
                <w:rFonts w:ascii="Consolas" w:cs="Consolas" w:eastAsia="Consolas" w:hAnsi="Consolas"/>
                <w:color w:val="1B4965"/>
                <w:sz w:val="19"/>
                <w:szCs w:val="19"/>
              </w:rPr>
              <w:t xml:space="preserve">  "disbursementMode": "FULL",</w:t>
            </w:r>
          </w:p>
          <w:p>
            <w:pPr>
              <w:spacing w:after="20"/>
            </w:pPr>
            <w:r>
              <w:rPr>
                <w:rFonts w:ascii="Consolas" w:cs="Consolas" w:eastAsia="Consolas" w:hAnsi="Consolas"/>
                <w:color w:val="1B4965"/>
                <w:sz w:val="19"/>
                <w:szCs w:val="19"/>
              </w:rPr>
              <w:t xml:space="preserve">  "beneficiaryAccount": { "accountNumber": "XXXXXXXXXX1234", "ifsc": "HDFC0001234" },</w:t>
            </w:r>
          </w:p>
          <w:p>
            <w:pPr>
              <w:spacing w:after="20"/>
            </w:pPr>
            <w:r>
              <w:rPr>
                <w:rFonts w:ascii="Consolas" w:cs="Consolas" w:eastAsia="Consolas" w:hAnsi="Consolas"/>
                <w:color w:val="1B4965"/>
                <w:sz w:val="19"/>
                <w:szCs w:val="19"/>
              </w:rPr>
              <w:t xml:space="preserve">  "valueDate": "2026-07-05"</w:t>
            </w:r>
          </w:p>
          <w:p>
            <w:pPr>
              <w:spacing w:after="20"/>
            </w:pPr>
            <w:r>
              <w:rPr>
                <w:rFonts w:ascii="Consolas" w:cs="Consolas" w:eastAsia="Consolas" w:hAnsi="Consolas"/>
                <w:color w:val="1B4965"/>
                <w:sz w:val="19"/>
                <w:szCs w:val="19"/>
              </w:rPr>
              <w:t xml:space="preserve">}</w:t>
            </w:r>
          </w:p>
        </w:tc>
      </w:tr>
    </w:tbl>
    <w:p>
      <w:pPr>
        <w:spacing w:after="160"/>
      </w:pPr>
    </w:p>
    <w:p>
      <w:pPr>
        <w:pStyle w:val="Heading4"/>
      </w:pPr>
      <w:r>
        <w:rPr>
          <w:i/>
          <w:iCs/>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w:t>
            </w:r>
          </w:p>
          <w:p>
            <w:pPr>
              <w:spacing w:after="20"/>
            </w:pPr>
            <w:r>
              <w:rPr>
                <w:rFonts w:ascii="Consolas" w:cs="Consolas" w:eastAsia="Consolas" w:hAnsi="Consolas"/>
                <w:color w:val="1B4965"/>
                <w:sz w:val="19"/>
                <w:szCs w:val="19"/>
              </w:rPr>
              <w:t xml:space="preserve">  "loanAccountId": "LN-2026-004417",</w:t>
            </w:r>
          </w:p>
          <w:p>
            <w:pPr>
              <w:spacing w:after="20"/>
            </w:pPr>
            <w:r>
              <w:rPr>
                <w:rFonts w:ascii="Consolas" w:cs="Consolas" w:eastAsia="Consolas" w:hAnsi="Consolas"/>
                <w:color w:val="1B4965"/>
                <w:sz w:val="19"/>
                <w:szCs w:val="19"/>
              </w:rPr>
              <w:t xml:space="preserve">  "status": "ACTIVE",</w:t>
            </w:r>
          </w:p>
          <w:p>
            <w:pPr>
              <w:spacing w:after="20"/>
            </w:pPr>
            <w:r>
              <w:rPr>
                <w:rFonts w:ascii="Consolas" w:cs="Consolas" w:eastAsia="Consolas" w:hAnsi="Consolas"/>
                <w:color w:val="1B4965"/>
                <w:sz w:val="19"/>
                <w:szCs w:val="19"/>
              </w:rPr>
              <w:t xml:space="preserve">  "emiAmount": 22731.94,</w:t>
            </w:r>
          </w:p>
          <w:p>
            <w:pPr>
              <w:spacing w:after="20"/>
            </w:pPr>
            <w:r>
              <w:rPr>
                <w:rFonts w:ascii="Consolas" w:cs="Consolas" w:eastAsia="Consolas" w:hAnsi="Consolas"/>
                <w:color w:val="1B4965"/>
                <w:sz w:val="19"/>
                <w:szCs w:val="19"/>
              </w:rPr>
              <w:t xml:space="preserve">  "firstEmiDate": "2026-08-05",</w:t>
            </w:r>
          </w:p>
          <w:p>
            <w:pPr>
              <w:spacing w:after="20"/>
            </w:pPr>
            <w:r>
              <w:rPr>
                <w:rFonts w:ascii="Consolas" w:cs="Consolas" w:eastAsia="Consolas" w:hAnsi="Consolas"/>
                <w:color w:val="1B4965"/>
                <w:sz w:val="19"/>
                <w:szCs w:val="19"/>
              </w:rPr>
              <w:t xml:space="preserve">  "glPostingReference": "JV-2026-091823"</w:t>
            </w:r>
          </w:p>
          <w:p>
            <w:pPr>
              <w:spacing w:after="20"/>
            </w:pPr>
            <w:r>
              <w:rPr>
                <w:rFonts w:ascii="Consolas" w:cs="Consolas" w:eastAsia="Consolas" w:hAnsi="Consolas"/>
                <w:color w:val="1B4965"/>
                <w:sz w:val="19"/>
                <w:szCs w:val="19"/>
              </w:rPr>
              <w:t xml:space="preserve">}</w:t>
            </w:r>
          </w:p>
        </w:tc>
      </w:tr>
    </w:tbl>
    <w:p>
      <w:pPr>
        <w:spacing w:after="160"/>
      </w:pPr>
    </w:p>
    <w:p>
      <w:pPr>
        <w:pStyle w:val="Heading2"/>
      </w:pPr>
      <w:r>
        <w:t xml:space="preserve">26.4 POST /loan-accounts/{id}/repayments</w:t>
      </w:r>
    </w:p>
    <w:p>
      <w:pPr>
        <w:pStyle w:val="Heading4"/>
      </w:pPr>
      <w:r>
        <w:rPr>
          <w:i/>
          <w:iCs/>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w:t>
            </w:r>
          </w:p>
          <w:p>
            <w:pPr>
              <w:spacing w:after="20"/>
            </w:pPr>
            <w:r>
              <w:rPr>
                <w:rFonts w:ascii="Consolas" w:cs="Consolas" w:eastAsia="Consolas" w:hAnsi="Consolas"/>
                <w:color w:val="1B4965"/>
                <w:sz w:val="19"/>
                <w:szCs w:val="19"/>
              </w:rPr>
              <w:t xml:space="preserve">  "amount": 22731.94,</w:t>
            </w:r>
          </w:p>
          <w:p>
            <w:pPr>
              <w:spacing w:after="20"/>
            </w:pPr>
            <w:r>
              <w:rPr>
                <w:rFonts w:ascii="Consolas" w:cs="Consolas" w:eastAsia="Consolas" w:hAnsi="Consolas"/>
                <w:color w:val="1B4965"/>
                <w:sz w:val="19"/>
                <w:szCs w:val="19"/>
              </w:rPr>
              <w:t xml:space="preserve">  "mode": "NACH",</w:t>
            </w:r>
          </w:p>
          <w:p>
            <w:pPr>
              <w:spacing w:after="20"/>
            </w:pPr>
            <w:r>
              <w:rPr>
                <w:rFonts w:ascii="Consolas" w:cs="Consolas" w:eastAsia="Consolas" w:hAnsi="Consolas"/>
                <w:color w:val="1B4965"/>
                <w:sz w:val="19"/>
                <w:szCs w:val="19"/>
              </w:rPr>
              <w:t xml:space="preserve">  "valueDate": "2026-08-05",</w:t>
            </w:r>
          </w:p>
          <w:p>
            <w:pPr>
              <w:spacing w:after="20"/>
            </w:pPr>
            <w:r>
              <w:rPr>
                <w:rFonts w:ascii="Consolas" w:cs="Consolas" w:eastAsia="Consolas" w:hAnsi="Consolas"/>
                <w:color w:val="1B4965"/>
                <w:sz w:val="19"/>
                <w:szCs w:val="19"/>
              </w:rPr>
              <w:t xml:space="preserve">  "referenceNumber": "NACH-88213-08"</w:t>
            </w:r>
          </w:p>
          <w:p>
            <w:pPr>
              <w:spacing w:after="20"/>
            </w:pPr>
            <w:r>
              <w:rPr>
                <w:rFonts w:ascii="Consolas" w:cs="Consolas" w:eastAsia="Consolas" w:hAnsi="Consolas"/>
                <w:color w:val="1B4965"/>
                <w:sz w:val="19"/>
                <w:szCs w:val="19"/>
              </w:rPr>
              <w:t xml:space="preserve">}</w:t>
            </w:r>
          </w:p>
        </w:tc>
      </w:tr>
    </w:tbl>
    <w:p>
      <w:pPr>
        <w:spacing w:after="160"/>
      </w:pPr>
    </w:p>
    <w:p>
      <w:pPr>
        <w:pStyle w:val="Heading4"/>
      </w:pPr>
      <w:r>
        <w:rPr>
          <w:i/>
          <w:iCs/>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w:t>
            </w:r>
          </w:p>
          <w:p>
            <w:pPr>
              <w:spacing w:after="20"/>
            </w:pPr>
            <w:r>
              <w:rPr>
                <w:rFonts w:ascii="Consolas" w:cs="Consolas" w:eastAsia="Consolas" w:hAnsi="Consolas"/>
                <w:color w:val="1B4965"/>
                <w:sz w:val="19"/>
                <w:szCs w:val="19"/>
              </w:rPr>
              <w:t xml:space="preserve">  "transactionId": "TXN-2026-119284",</w:t>
            </w:r>
          </w:p>
          <w:p>
            <w:pPr>
              <w:spacing w:after="20"/>
            </w:pPr>
            <w:r>
              <w:rPr>
                <w:rFonts w:ascii="Consolas" w:cs="Consolas" w:eastAsia="Consolas" w:hAnsi="Consolas"/>
                <w:color w:val="1B4965"/>
                <w:sz w:val="19"/>
                <w:szCs w:val="19"/>
              </w:rPr>
              <w:t xml:space="preserve">  "principalComponent": 5855.23,</w:t>
            </w:r>
          </w:p>
          <w:p>
            <w:pPr>
              <w:spacing w:after="20"/>
            </w:pPr>
            <w:r>
              <w:rPr>
                <w:rFonts w:ascii="Consolas" w:cs="Consolas" w:eastAsia="Consolas" w:hAnsi="Consolas"/>
                <w:color w:val="1B4965"/>
                <w:sz w:val="19"/>
                <w:szCs w:val="19"/>
              </w:rPr>
              <w:t xml:space="preserve">  "interestComponent": 16876.71,</w:t>
            </w:r>
          </w:p>
          <w:p>
            <w:pPr>
              <w:spacing w:after="20"/>
            </w:pPr>
            <w:r>
              <w:rPr>
                <w:rFonts w:ascii="Consolas" w:cs="Consolas" w:eastAsia="Consolas" w:hAnsi="Consolas"/>
                <w:color w:val="1B4965"/>
                <w:sz w:val="19"/>
                <w:szCs w:val="19"/>
              </w:rPr>
              <w:t xml:space="preserve">  "outstandingBalance": 1994144.77,</w:t>
            </w:r>
          </w:p>
          <w:p>
            <w:pPr>
              <w:spacing w:after="20"/>
            </w:pPr>
            <w:r>
              <w:rPr>
                <w:rFonts w:ascii="Consolas" w:cs="Consolas" w:eastAsia="Consolas" w:hAnsi="Consolas"/>
                <w:color w:val="1B4965"/>
                <w:sz w:val="19"/>
                <w:szCs w:val="19"/>
              </w:rPr>
              <w:t xml:space="preserve">  "status": "POSTED"</w:t>
            </w:r>
          </w:p>
          <w:p>
            <w:pPr>
              <w:spacing w:after="20"/>
            </w:pPr>
            <w:r>
              <w:rPr>
                <w:rFonts w:ascii="Consolas" w:cs="Consolas" w:eastAsia="Consolas" w:hAnsi="Consolas"/>
                <w:color w:val="1B4965"/>
                <w:sz w:val="19"/>
                <w:szCs w:val="19"/>
              </w:rPr>
              <w:t xml:space="preserve">}</w:t>
            </w:r>
          </w:p>
        </w:tc>
      </w:tr>
    </w:tbl>
    <w:p>
      <w:pPr>
        <w:spacing w:after="160"/>
      </w:pPr>
    </w:p>
    <w:p>
      <w:pPr>
        <w:pStyle w:val="Heading2"/>
      </w:pPr>
      <w:r>
        <w:t xml:space="preserve">26.5 GET /loan-accounts/{id}/schedule</w:t>
      </w:r>
    </w:p>
    <w:p>
      <w:pPr>
        <w:pStyle w:val="Heading4"/>
      </w:pPr>
      <w:r>
        <w:rPr>
          <w:i/>
          <w:iCs/>
        </w:rPr>
        <w:t xml:space="preserve">Response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w:t>
            </w:r>
          </w:p>
          <w:p>
            <w:pPr>
              <w:spacing w:after="20"/>
            </w:pPr>
            <w:r>
              <w:rPr>
                <w:rFonts w:ascii="Consolas" w:cs="Consolas" w:eastAsia="Consolas" w:hAnsi="Consolas"/>
                <w:color w:val="1B4965"/>
                <w:sz w:val="19"/>
                <w:szCs w:val="19"/>
              </w:rPr>
              <w:t xml:space="preserve">  "loanAccountId": "LN-2026-004417",</w:t>
            </w:r>
          </w:p>
          <w:p>
            <w:pPr>
              <w:spacing w:after="20"/>
            </w:pPr>
            <w:r>
              <w:rPr>
                <w:rFonts w:ascii="Consolas" w:cs="Consolas" w:eastAsia="Consolas" w:hAnsi="Consolas"/>
                <w:color w:val="1B4965"/>
                <w:sz w:val="19"/>
                <w:szCs w:val="19"/>
              </w:rPr>
              <w:t xml:space="preserve">  "schedule": [</w:t>
            </w:r>
          </w:p>
          <w:p>
            <w:pPr>
              <w:spacing w:after="20"/>
            </w:pPr>
            <w:r>
              <w:rPr>
                <w:rFonts w:ascii="Consolas" w:cs="Consolas" w:eastAsia="Consolas" w:hAnsi="Consolas"/>
                <w:color w:val="1B4965"/>
                <w:sz w:val="19"/>
                <w:szCs w:val="19"/>
              </w:rPr>
              <w:t xml:space="preserve">    { "installmentNo": 1, "dueDate": "2026-08-05", "emi": 22731.94,</w:t>
            </w:r>
          </w:p>
          <w:p>
            <w:pPr>
              <w:spacing w:after="20"/>
            </w:pPr>
            <w:r>
              <w:rPr>
                <w:rFonts w:ascii="Consolas" w:cs="Consolas" w:eastAsia="Consolas" w:hAnsi="Consolas"/>
                <w:color w:val="1B4965"/>
                <w:sz w:val="19"/>
                <w:szCs w:val="19"/>
              </w:rPr>
              <w:t xml:space="preserve">      "principal": 5855.23, "interest": 16876.71, "balance": 1994144.77 },</w:t>
            </w:r>
          </w:p>
          <w:p>
            <w:pPr>
              <w:spacing w:after="20"/>
            </w:pPr>
            <w:r>
              <w:rPr>
                <w:rFonts w:ascii="Consolas" w:cs="Consolas" w:eastAsia="Consolas" w:hAnsi="Consolas"/>
                <w:color w:val="1B4965"/>
                <w:sz w:val="19"/>
                <w:szCs w:val="19"/>
              </w:rPr>
              <w:t xml:space="preserve">    { "installmentNo": 2, "dueDate": "2026-09-05", "emi": 22731.94,</w:t>
            </w:r>
          </w:p>
          <w:p>
            <w:pPr>
              <w:spacing w:after="20"/>
            </w:pPr>
            <w:r>
              <w:rPr>
                <w:rFonts w:ascii="Consolas" w:cs="Consolas" w:eastAsia="Consolas" w:hAnsi="Consolas"/>
                <w:color w:val="1B4965"/>
                <w:sz w:val="19"/>
                <w:szCs w:val="19"/>
              </w:rPr>
              <w:t xml:space="preserve">      "principal": 5910.44, "interest": 16821.50, "balance": 1988234.33 }</w:t>
            </w:r>
          </w:p>
          <w:p>
            <w:pPr>
              <w:spacing w:after="20"/>
            </w:pPr>
            <w:r>
              <w:rPr>
                <w:rFonts w:ascii="Consolas" w:cs="Consolas" w:eastAsia="Consolas" w:hAnsi="Consolas"/>
                <w:color w:val="1B4965"/>
                <w:sz w:val="19"/>
                <w:szCs w:val="19"/>
              </w:rPr>
              <w:t xml:space="preserve">  ]</w:t>
            </w:r>
          </w:p>
          <w:p>
            <w:pPr>
              <w:spacing w:after="20"/>
            </w:pPr>
            <w:r>
              <w:rPr>
                <w:rFonts w:ascii="Consolas" w:cs="Consolas" w:eastAsia="Consolas" w:hAnsi="Consolas"/>
                <w:color w:val="1B4965"/>
                <w:sz w:val="19"/>
                <w:szCs w:val="19"/>
              </w:rPr>
              <w:t xml:space="preserve">}</w:t>
            </w:r>
          </w:p>
        </w:tc>
      </w:tr>
    </w:tbl>
    <w:p>
      <w:pPr>
        <w:spacing w:after="160"/>
      </w:pPr>
    </w:p>
    <w:p>
      <w:pPr>
        <w:pStyle w:val="Heading2"/>
      </w:pPr>
      <w:r>
        <w:t xml:space="preserve">26.6 POST /collections/{loanId}/ptp</w:t>
      </w:r>
    </w:p>
    <w:p>
      <w:pPr>
        <w:pStyle w:val="Heading4"/>
      </w:pPr>
      <w:r>
        <w:rPr>
          <w:i/>
          <w:iCs/>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w:t>
            </w:r>
          </w:p>
          <w:p>
            <w:pPr>
              <w:spacing w:after="20"/>
            </w:pPr>
            <w:r>
              <w:rPr>
                <w:rFonts w:ascii="Consolas" w:cs="Consolas" w:eastAsia="Consolas" w:hAnsi="Consolas"/>
                <w:color w:val="1B4965"/>
                <w:sz w:val="19"/>
                <w:szCs w:val="19"/>
              </w:rPr>
              <w:t xml:space="preserve">  "promisedAmount": 22731.94,</w:t>
            </w:r>
          </w:p>
          <w:p>
            <w:pPr>
              <w:spacing w:after="20"/>
            </w:pPr>
            <w:r>
              <w:rPr>
                <w:rFonts w:ascii="Consolas" w:cs="Consolas" w:eastAsia="Consolas" w:hAnsi="Consolas"/>
                <w:color w:val="1B4965"/>
                <w:sz w:val="19"/>
                <w:szCs w:val="19"/>
              </w:rPr>
              <w:t xml:space="preserve">  "promisedDate": "2026-09-10",</w:t>
            </w:r>
          </w:p>
          <w:p>
            <w:pPr>
              <w:spacing w:after="20"/>
            </w:pPr>
            <w:r>
              <w:rPr>
                <w:rFonts w:ascii="Consolas" w:cs="Consolas" w:eastAsia="Consolas" w:hAnsi="Consolas"/>
                <w:color w:val="1B4965"/>
                <w:sz w:val="19"/>
                <w:szCs w:val="19"/>
              </w:rPr>
              <w:t xml:space="preserve">  "channel": "TELE_CALLING",</w:t>
            </w:r>
          </w:p>
          <w:p>
            <w:pPr>
              <w:spacing w:after="20"/>
            </w:pPr>
            <w:r>
              <w:rPr>
                <w:rFonts w:ascii="Consolas" w:cs="Consolas" w:eastAsia="Consolas" w:hAnsi="Consolas"/>
                <w:color w:val="1B4965"/>
                <w:sz w:val="19"/>
                <w:szCs w:val="19"/>
              </w:rPr>
              <w:t xml:space="preserve">  "remarks": "Borrower confirmed salary credit on 8th"</w:t>
            </w:r>
          </w:p>
          <w:p>
            <w:pPr>
              <w:spacing w:after="20"/>
            </w:pPr>
            <w:r>
              <w:rPr>
                <w:rFonts w:ascii="Consolas" w:cs="Consolas" w:eastAsia="Consolas" w:hAnsi="Consolas"/>
                <w:color w:val="1B4965"/>
                <w:sz w:val="19"/>
                <w:szCs w:val="19"/>
              </w:rPr>
              <w:t xml:space="preserve">}</w:t>
            </w:r>
          </w:p>
        </w:tc>
      </w:tr>
    </w:tbl>
    <w:p>
      <w:pPr>
        <w:spacing w:after="160"/>
      </w:pPr>
    </w:p>
    <w:p>
      <w:pPr>
        <w:pStyle w:val="Heading4"/>
      </w:pPr>
      <w:r>
        <w:rPr>
          <w:i/>
          <w:iCs/>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2F2F2" w:val="clear"/>
            <w:tcMar>
              <w:top w:type="dxa" w:w="100"/>
              <w:left w:type="dxa" w:w="160"/>
              <w:bottom w:type="dxa" w:w="100"/>
              <w:right w:type="dxa" w:w="120"/>
            </w:tcMar>
          </w:tcPr>
          <w:p>
            <w:pPr>
              <w:spacing w:after="20"/>
            </w:pPr>
            <w:r>
              <w:rPr>
                <w:rFonts w:ascii="Consolas" w:cs="Consolas" w:eastAsia="Consolas" w:hAnsi="Consolas"/>
                <w:color w:val="1B4965"/>
                <w:sz w:val="19"/>
                <w:szCs w:val="19"/>
              </w:rPr>
              <w:t xml:space="preserve">{</w:t>
            </w:r>
          </w:p>
          <w:p>
            <w:pPr>
              <w:spacing w:after="20"/>
            </w:pPr>
            <w:r>
              <w:rPr>
                <w:rFonts w:ascii="Consolas" w:cs="Consolas" w:eastAsia="Consolas" w:hAnsi="Consolas"/>
                <w:color w:val="1B4965"/>
                <w:sz w:val="19"/>
                <w:szCs w:val="19"/>
              </w:rPr>
              <w:t xml:space="preserve">  "ptpId": "PTP-2026-002917",</w:t>
            </w:r>
          </w:p>
          <w:p>
            <w:pPr>
              <w:spacing w:after="20"/>
            </w:pPr>
            <w:r>
              <w:rPr>
                <w:rFonts w:ascii="Consolas" w:cs="Consolas" w:eastAsia="Consolas" w:hAnsi="Consolas"/>
                <w:color w:val="1B4965"/>
                <w:sz w:val="19"/>
                <w:szCs w:val="19"/>
              </w:rPr>
              <w:t xml:space="preserve">  "status": "OPEN",</w:t>
            </w:r>
          </w:p>
          <w:p>
            <w:pPr>
              <w:spacing w:after="20"/>
            </w:pPr>
            <w:r>
              <w:rPr>
                <w:rFonts w:ascii="Consolas" w:cs="Consolas" w:eastAsia="Consolas" w:hAnsi="Consolas"/>
                <w:color w:val="1B4965"/>
                <w:sz w:val="19"/>
                <w:szCs w:val="19"/>
              </w:rPr>
              <w:t xml:space="preserve">  "loanAccountId": "LN-2026-004417"</w:t>
            </w:r>
          </w:p>
          <w:p>
            <w:pPr>
              <w:spacing w:after="20"/>
            </w:pPr>
            <w:r>
              <w:rPr>
                <w:rFonts w:ascii="Consolas" w:cs="Consolas" w:eastAsia="Consolas" w:hAnsi="Consolas"/>
                <w:color w:val="1B4965"/>
                <w:sz w:val="19"/>
                <w:szCs w:val="19"/>
              </w:rPr>
              <w:t xml:space="preserve">}</w:t>
            </w:r>
          </w:p>
        </w:tc>
      </w:tr>
    </w:tbl>
    <w:p>
      <w:pPr>
        <w:spacing w:after="160"/>
      </w:pPr>
    </w:p>
    <w:p>
      <w:r>
        <w:br w:type="page"/>
      </w:r>
    </w:p>
    <w:p>
      <w:r>
        <w:rPr>
          <w:rFonts w:ascii="Arial" w:hAnsi="Arial" w:cs="Arial"/>
          <w:rFonts w:ascii="Arial" w:hAnsi="Arial"/>
          <w:b w:val="0"/>
          <w:i/>
          <w:sz w:val="22"/>
        </w:rPr>
        <w:t>Sections 27–44 below extend Version 1.0 with the additional depth and compliance detail identified in architecture review. Each new section is cross-referenced to the base section(s) it augments. Regulatory names, thresholds, and formats cited here are per the extant RBI Master Directions/statutes as of this revision and must be re-validated by Compliance before go-live, consistent with the convention used throughout Version 1.0.</w:t>
      </w:r>
    </w:p>
    <w:p>
      <w:pPr>
        <w:pStyle w:val="Heading1"/>
      </w:pPr>
      <w:r>
        <w:t>27. Reference Technology Architecture &amp; Decision Criteria</w:t>
      </w:r>
    </w:p>
    <w:p>
      <w:r>
        <w:rPr>
          <w:rFonts w:ascii="Arial" w:hAnsi="Arial" w:cs="Arial"/>
          <w:rFonts w:ascii="Arial" w:hAnsi="Arial"/>
          <w:b w:val="0"/>
          <w:i w:val="0"/>
          <w:sz w:val="22"/>
        </w:rPr>
        <w:t>Version 1.0 deliberately kept the stack technology-agnostic (Section 1.2). This section adds a recommended reference architecture and the decision criteria behind it, so the IT team has a concrete, defensible starting point rather than an open field. The reference choices are illustrative; any equivalent that meets the criteria in Table 27.2 and the data-residency/security requirements of Sections 14, 34–35 is acceptable.</w:t>
      </w:r>
    </w:p>
    <w:p>
      <w:pPr>
        <w:pStyle w:val="Heading2"/>
      </w:pPr>
      <w:r>
        <w:t>27.1 Reference Stack</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Layer</w:t>
            </w:r>
          </w:p>
        </w:tc>
        <w:tc>
          <w:tcPr>
            <w:tcW w:w="1300" w:type="dxa"/>
            <w:shd w:val="clear" w:color="auto" w:fill="1F4E78"/>
          </w:tcPr>
          <w:p>
            <w:pPr>
              <w:spacing w:after="0" w:before="0"/>
            </w:pPr>
            <w:r/>
            <w:r>
              <w:rPr>
                <w:rFonts w:ascii="Arial" w:hAnsi="Arial" w:cs="Arial"/>
                <w:b/>
                <w:color w:val="FFFFFF"/>
                <w:sz w:val="17"/>
              </w:rPr>
              <w:t>Reference Choice</w:t>
            </w:r>
          </w:p>
        </w:tc>
        <w:tc>
          <w:tcPr>
            <w:tcW w:w="1300" w:type="dxa"/>
            <w:shd w:val="clear" w:color="auto" w:fill="1F4E78"/>
          </w:tcPr>
          <w:p>
            <w:pPr>
              <w:spacing w:after="0" w:before="0"/>
            </w:pPr>
            <w:r/>
            <w:r>
              <w:rPr>
                <w:rFonts w:ascii="Arial" w:hAnsi="Arial" w:cs="Arial"/>
                <w:b/>
                <w:color w:val="FFFFFF"/>
                <w:sz w:val="17"/>
              </w:rPr>
              <w:t>Rationale</w:t>
            </w:r>
          </w:p>
        </w:tc>
        <w:tc>
          <w:tcPr>
            <w:tcW w:w="3860" w:type="dxa"/>
            <w:shd w:val="clear" w:color="auto" w:fill="1F4E78"/>
          </w:tcPr>
          <w:p>
            <w:pPr>
              <w:spacing w:after="0" w:before="0"/>
            </w:pPr>
            <w:r/>
            <w:r>
              <w:rPr>
                <w:rFonts w:ascii="Arial" w:hAnsi="Arial" w:cs="Arial"/>
                <w:b/>
                <w:color w:val="FFFFFF"/>
                <w:sz w:val="17"/>
              </w:rPr>
              <w:t>Viable Alternatives</w:t>
            </w:r>
          </w:p>
        </w:tc>
      </w:tr>
      <w:tr>
        <w:tc>
          <w:tcPr>
            <w:tcW w:w="2900" w:type="dxa"/>
          </w:tcPr>
          <w:p>
            <w:pPr>
              <w:spacing w:after="0" w:before="0"/>
            </w:pPr>
            <w:r/>
            <w:r>
              <w:rPr>
                <w:rFonts w:ascii="Arial" w:hAnsi="Arial" w:cs="Arial"/>
                <w:b w:val="0"/>
                <w:sz w:val="17"/>
              </w:rPr>
              <w:t>Language / runtime</w:t>
            </w:r>
          </w:p>
        </w:tc>
        <w:tc>
          <w:tcPr>
            <w:tcW w:w="1300" w:type="dxa"/>
          </w:tcPr>
          <w:p>
            <w:pPr>
              <w:spacing w:after="0" w:before="0"/>
            </w:pPr>
            <w:r/>
            <w:r>
              <w:rPr>
                <w:rFonts w:ascii="Arial" w:hAnsi="Arial" w:cs="Arial"/>
                <w:b w:val="0"/>
                <w:sz w:val="17"/>
              </w:rPr>
              <w:t>JVM (Java 21 / Kotlin) or .NET 8</w:t>
            </w:r>
          </w:p>
        </w:tc>
        <w:tc>
          <w:tcPr>
            <w:tcW w:w="1300" w:type="dxa"/>
          </w:tcPr>
          <w:p>
            <w:pPr>
              <w:spacing w:after="0" w:before="0"/>
            </w:pPr>
            <w:r/>
            <w:r>
              <w:rPr>
                <w:rFonts w:ascii="Arial" w:hAnsi="Arial" w:cs="Arial"/>
                <w:b w:val="0"/>
                <w:sz w:val="17"/>
              </w:rPr>
              <w:t>Mature decimal &amp; date libraries, strong concurrency, deep hiring pool in India, first-class RBI-audit tooling</w:t>
            </w:r>
          </w:p>
        </w:tc>
        <w:tc>
          <w:tcPr>
            <w:tcW w:w="3860" w:type="dxa"/>
          </w:tcPr>
          <w:p>
            <w:pPr>
              <w:spacing w:after="0" w:before="0"/>
            </w:pPr>
            <w:r/>
            <w:r>
              <w:rPr>
                <w:rFonts w:ascii="Arial" w:hAnsi="Arial" w:cs="Arial"/>
                <w:b w:val="0"/>
                <w:sz w:val="17"/>
              </w:rPr>
              <w:t>Go, Node.js (TypeScript)</w:t>
            </w:r>
          </w:p>
        </w:tc>
      </w:tr>
      <w:tr>
        <w:tc>
          <w:tcPr>
            <w:tcW w:w="2900" w:type="dxa"/>
          </w:tcPr>
          <w:p>
            <w:pPr>
              <w:spacing w:after="0" w:before="0"/>
            </w:pPr>
            <w:r/>
            <w:r>
              <w:rPr>
                <w:rFonts w:ascii="Arial" w:hAnsi="Arial" w:cs="Arial"/>
                <w:b w:val="0"/>
                <w:sz w:val="17"/>
              </w:rPr>
              <w:t>Service style</w:t>
            </w:r>
          </w:p>
        </w:tc>
        <w:tc>
          <w:tcPr>
            <w:tcW w:w="1300" w:type="dxa"/>
          </w:tcPr>
          <w:p>
            <w:pPr>
              <w:spacing w:after="0" w:before="0"/>
            </w:pPr>
            <w:r/>
            <w:r>
              <w:rPr>
                <w:rFonts w:ascii="Arial" w:hAnsi="Arial" w:cs="Arial"/>
                <w:b w:val="0"/>
                <w:sz w:val="17"/>
              </w:rPr>
              <w:t>Modular monolith at launch; carve out Servicing, Reporting, Collections as services later</w:t>
            </w:r>
          </w:p>
        </w:tc>
        <w:tc>
          <w:tcPr>
            <w:tcW w:w="1300" w:type="dxa"/>
          </w:tcPr>
          <w:p>
            <w:pPr>
              <w:spacing w:after="0" w:before="0"/>
            </w:pPr>
            <w:r/>
            <w:r>
              <w:rPr>
                <w:rFonts w:ascii="Arial" w:hAnsi="Arial" w:cs="Arial"/>
                <w:b w:val="0"/>
                <w:sz w:val="17"/>
              </w:rPr>
              <w:t>Avoids premature distributed-systems complexity while preserving Section 15 API-first boundaries</w:t>
            </w:r>
          </w:p>
        </w:tc>
        <w:tc>
          <w:tcPr>
            <w:tcW w:w="3860" w:type="dxa"/>
          </w:tcPr>
          <w:p>
            <w:pPr>
              <w:spacing w:after="0" w:before="0"/>
            </w:pPr>
            <w:r/>
            <w:r>
              <w:rPr>
                <w:rFonts w:ascii="Arial" w:hAnsi="Arial" w:cs="Arial"/>
                <w:b w:val="0"/>
                <w:sz w:val="17"/>
              </w:rPr>
              <w:t>Full microservices from day one (only if team is experienced)</w:t>
            </w:r>
          </w:p>
        </w:tc>
      </w:tr>
      <w:tr>
        <w:tc>
          <w:tcPr>
            <w:tcW w:w="2900" w:type="dxa"/>
          </w:tcPr>
          <w:p>
            <w:pPr>
              <w:spacing w:after="0" w:before="0"/>
            </w:pPr>
            <w:r/>
            <w:r>
              <w:rPr>
                <w:rFonts w:ascii="Arial" w:hAnsi="Arial" w:cs="Arial"/>
                <w:b w:val="0"/>
                <w:sz w:val="17"/>
              </w:rPr>
              <w:t>Sync API</w:t>
            </w:r>
          </w:p>
        </w:tc>
        <w:tc>
          <w:tcPr>
            <w:tcW w:w="1300" w:type="dxa"/>
          </w:tcPr>
          <w:p>
            <w:pPr>
              <w:spacing w:after="0" w:before="0"/>
            </w:pPr>
            <w:r/>
            <w:r>
              <w:rPr>
                <w:rFonts w:ascii="Arial" w:hAnsi="Arial" w:cs="Arial"/>
                <w:b w:val="0"/>
                <w:sz w:val="17"/>
              </w:rPr>
              <w:t>REST + JSON (OpenAPI 3.1) external; gRPC internal</w:t>
            </w:r>
          </w:p>
        </w:tc>
        <w:tc>
          <w:tcPr>
            <w:tcW w:w="1300" w:type="dxa"/>
          </w:tcPr>
          <w:p>
            <w:pPr>
              <w:spacing w:after="0" w:before="0"/>
            </w:pPr>
            <w:r/>
            <w:r>
              <w:rPr>
                <w:rFonts w:ascii="Arial" w:hAnsi="Arial" w:cs="Arial"/>
                <w:b w:val="0"/>
                <w:sz w:val="17"/>
              </w:rPr>
              <w:t>Ubiquity, tooling, contract testing; gRPC for low-latency internal calls</w:t>
            </w:r>
          </w:p>
        </w:tc>
        <w:tc>
          <w:tcPr>
            <w:tcW w:w="3860" w:type="dxa"/>
          </w:tcPr>
          <w:p>
            <w:pPr>
              <w:spacing w:after="0" w:before="0"/>
            </w:pPr>
            <w:r/>
            <w:r>
              <w:rPr>
                <w:rFonts w:ascii="Arial" w:hAnsi="Arial" w:cs="Arial"/>
                <w:b w:val="0"/>
                <w:sz w:val="17"/>
              </w:rPr>
              <w:t>GraphQL gateway for the borrower portal</w:t>
            </w:r>
          </w:p>
        </w:tc>
      </w:tr>
      <w:tr>
        <w:tc>
          <w:tcPr>
            <w:tcW w:w="2900" w:type="dxa"/>
          </w:tcPr>
          <w:p>
            <w:pPr>
              <w:spacing w:after="0" w:before="0"/>
            </w:pPr>
            <w:r/>
            <w:r>
              <w:rPr>
                <w:rFonts w:ascii="Arial" w:hAnsi="Arial" w:cs="Arial"/>
                <w:b w:val="0"/>
                <w:sz w:val="17"/>
              </w:rPr>
              <w:t>Primary datastore</w:t>
            </w:r>
          </w:p>
        </w:tc>
        <w:tc>
          <w:tcPr>
            <w:tcW w:w="1300" w:type="dxa"/>
          </w:tcPr>
          <w:p>
            <w:pPr>
              <w:spacing w:after="0" w:before="0"/>
            </w:pPr>
            <w:r/>
            <w:r>
              <w:rPr>
                <w:rFonts w:ascii="Arial" w:hAnsi="Arial" w:cs="Arial"/>
                <w:b w:val="0"/>
                <w:sz w:val="17"/>
              </w:rPr>
              <w:t>PostgreSQL 16 (partitioned, logical replication)</w:t>
            </w:r>
          </w:p>
        </w:tc>
        <w:tc>
          <w:tcPr>
            <w:tcW w:w="1300" w:type="dxa"/>
          </w:tcPr>
          <w:p>
            <w:pPr>
              <w:spacing w:after="0" w:before="0"/>
            </w:pPr>
            <w:r/>
            <w:r>
              <w:rPr>
                <w:rFonts w:ascii="Arial" w:hAnsi="Arial" w:cs="Arial"/>
                <w:b w:val="0"/>
                <w:sz w:val="17"/>
              </w:rPr>
              <w:t>ACID, native DECIMAL, table partitioning, row-level security for tenant isolation, mature India-region managed offerings</w:t>
            </w:r>
          </w:p>
        </w:tc>
        <w:tc>
          <w:tcPr>
            <w:tcW w:w="3860" w:type="dxa"/>
          </w:tcPr>
          <w:p>
            <w:pPr>
              <w:spacing w:after="0" w:before="0"/>
            </w:pPr>
            <w:r/>
            <w:r>
              <w:rPr>
                <w:rFonts w:ascii="Arial" w:hAnsi="Arial" w:cs="Arial"/>
                <w:b w:val="0"/>
                <w:sz w:val="17"/>
              </w:rPr>
              <w:t>Oracle, SQL Server, YugabyteDB</w:t>
            </w:r>
          </w:p>
        </w:tc>
      </w:tr>
      <w:tr>
        <w:tc>
          <w:tcPr>
            <w:tcW w:w="2900" w:type="dxa"/>
          </w:tcPr>
          <w:p>
            <w:pPr>
              <w:spacing w:after="0" w:before="0"/>
            </w:pPr>
            <w:r/>
            <w:r>
              <w:rPr>
                <w:rFonts w:ascii="Arial" w:hAnsi="Arial" w:cs="Arial"/>
                <w:b w:val="0"/>
                <w:sz w:val="17"/>
              </w:rPr>
              <w:t>Event backbone</w:t>
            </w:r>
          </w:p>
        </w:tc>
        <w:tc>
          <w:tcPr>
            <w:tcW w:w="1300" w:type="dxa"/>
          </w:tcPr>
          <w:p>
            <w:pPr>
              <w:spacing w:after="0" w:before="0"/>
            </w:pPr>
            <w:r/>
            <w:r>
              <w:rPr>
                <w:rFonts w:ascii="Arial" w:hAnsi="Arial" w:cs="Arial"/>
                <w:b w:val="0"/>
                <w:sz w:val="17"/>
              </w:rPr>
              <w:t>Apache Kafka</w:t>
            </w:r>
          </w:p>
        </w:tc>
        <w:tc>
          <w:tcPr>
            <w:tcW w:w="1300" w:type="dxa"/>
          </w:tcPr>
          <w:p>
            <w:pPr>
              <w:spacing w:after="0" w:before="0"/>
            </w:pPr>
            <w:r/>
            <w:r>
              <w:rPr>
                <w:rFonts w:ascii="Arial" w:hAnsi="Arial" w:cs="Arial"/>
                <w:b w:val="0"/>
                <w:sz w:val="17"/>
              </w:rPr>
              <w:t>Durable event log for accrual, disbursement, reporting; supports outbox/exactly-once (Section 38)</w:t>
            </w:r>
          </w:p>
        </w:tc>
        <w:tc>
          <w:tcPr>
            <w:tcW w:w="3860" w:type="dxa"/>
          </w:tcPr>
          <w:p>
            <w:pPr>
              <w:spacing w:after="0" w:before="0"/>
            </w:pPr>
            <w:r/>
            <w:r>
              <w:rPr>
                <w:rFonts w:ascii="Arial" w:hAnsi="Arial" w:cs="Arial"/>
                <w:b w:val="0"/>
                <w:sz w:val="17"/>
              </w:rPr>
              <w:t>RabbitMQ, cloud-native queues</w:t>
            </w:r>
          </w:p>
        </w:tc>
      </w:tr>
      <w:tr>
        <w:tc>
          <w:tcPr>
            <w:tcW w:w="2900" w:type="dxa"/>
          </w:tcPr>
          <w:p>
            <w:pPr>
              <w:spacing w:after="0" w:before="0"/>
            </w:pPr>
            <w:r/>
            <w:r>
              <w:rPr>
                <w:rFonts w:ascii="Arial" w:hAnsi="Arial" w:cs="Arial"/>
                <w:b w:val="0"/>
                <w:sz w:val="17"/>
              </w:rPr>
              <w:t>Cache / session</w:t>
            </w:r>
          </w:p>
        </w:tc>
        <w:tc>
          <w:tcPr>
            <w:tcW w:w="1300" w:type="dxa"/>
          </w:tcPr>
          <w:p>
            <w:pPr>
              <w:spacing w:after="0" w:before="0"/>
            </w:pPr>
            <w:r/>
            <w:r>
              <w:rPr>
                <w:rFonts w:ascii="Arial" w:hAnsi="Arial" w:cs="Arial"/>
                <w:b w:val="0"/>
                <w:sz w:val="17"/>
              </w:rPr>
              <w:t>Redis</w:t>
            </w:r>
          </w:p>
        </w:tc>
        <w:tc>
          <w:tcPr>
            <w:tcW w:w="1300" w:type="dxa"/>
          </w:tcPr>
          <w:p>
            <w:pPr>
              <w:spacing w:after="0" w:before="0"/>
            </w:pPr>
            <w:r/>
            <w:r>
              <w:rPr>
                <w:rFonts w:ascii="Arial" w:hAnsi="Arial" w:cs="Arial"/>
                <w:b w:val="0"/>
                <w:sz w:val="17"/>
              </w:rPr>
              <w:t>Rate-limiting, DP/limit hot-state, idempotency-key store (Section 40)</w:t>
            </w:r>
          </w:p>
        </w:tc>
        <w:tc>
          <w:tcPr>
            <w:tcW w:w="3860" w:type="dxa"/>
          </w:tcPr>
          <w:p>
            <w:pPr>
              <w:spacing w:after="0" w:before="0"/>
            </w:pPr>
            <w:r/>
            <w:r>
              <w:rPr>
                <w:rFonts w:ascii="Arial" w:hAnsi="Arial" w:cs="Arial"/>
                <w:b w:val="0"/>
                <w:sz w:val="17"/>
              </w:rPr>
              <w:t>Memcached, Valkey</w:t>
            </w:r>
          </w:p>
        </w:tc>
      </w:tr>
      <w:tr>
        <w:tc>
          <w:tcPr>
            <w:tcW w:w="2900" w:type="dxa"/>
          </w:tcPr>
          <w:p>
            <w:pPr>
              <w:spacing w:after="0" w:before="0"/>
            </w:pPr>
            <w:r/>
            <w:r>
              <w:rPr>
                <w:rFonts w:ascii="Arial" w:hAnsi="Arial" w:cs="Arial"/>
                <w:b w:val="0"/>
                <w:sz w:val="17"/>
              </w:rPr>
              <w:t>Search</w:t>
            </w:r>
          </w:p>
        </w:tc>
        <w:tc>
          <w:tcPr>
            <w:tcW w:w="1300" w:type="dxa"/>
          </w:tcPr>
          <w:p>
            <w:pPr>
              <w:spacing w:after="0" w:before="0"/>
            </w:pPr>
            <w:r/>
            <w:r>
              <w:rPr>
                <w:rFonts w:ascii="Arial" w:hAnsi="Arial" w:cs="Arial"/>
                <w:b w:val="0"/>
                <w:sz w:val="17"/>
              </w:rPr>
              <w:t>OpenSearch</w:t>
            </w:r>
          </w:p>
        </w:tc>
        <w:tc>
          <w:tcPr>
            <w:tcW w:w="1300" w:type="dxa"/>
          </w:tcPr>
          <w:p>
            <w:pPr>
              <w:spacing w:after="0" w:before="0"/>
            </w:pPr>
            <w:r/>
            <w:r>
              <w:rPr>
                <w:rFonts w:ascii="Arial" w:hAnsi="Arial" w:cs="Arial"/>
                <w:b w:val="0"/>
                <w:sz w:val="17"/>
              </w:rPr>
              <w:t>Fast borrower/loan lookup, audit-log search</w:t>
            </w:r>
          </w:p>
        </w:tc>
        <w:tc>
          <w:tcPr>
            <w:tcW w:w="3860" w:type="dxa"/>
          </w:tcPr>
          <w:p>
            <w:pPr>
              <w:spacing w:after="0" w:before="0"/>
            </w:pPr>
            <w:r/>
            <w:r>
              <w:rPr>
                <w:rFonts w:ascii="Arial" w:hAnsi="Arial" w:cs="Arial"/>
                <w:b w:val="0"/>
                <w:sz w:val="17"/>
              </w:rPr>
              <w:t>Elasticsearch, Typesense</w:t>
            </w:r>
          </w:p>
        </w:tc>
      </w:tr>
      <w:tr>
        <w:tc>
          <w:tcPr>
            <w:tcW w:w="2900" w:type="dxa"/>
          </w:tcPr>
          <w:p>
            <w:pPr>
              <w:spacing w:after="0" w:before="0"/>
            </w:pPr>
            <w:r/>
            <w:r>
              <w:rPr>
                <w:rFonts w:ascii="Arial" w:hAnsi="Arial" w:cs="Arial"/>
                <w:b w:val="0"/>
                <w:sz w:val="17"/>
              </w:rPr>
              <w:t>Object store</w:t>
            </w:r>
          </w:p>
        </w:tc>
        <w:tc>
          <w:tcPr>
            <w:tcW w:w="1300" w:type="dxa"/>
          </w:tcPr>
          <w:p>
            <w:pPr>
              <w:spacing w:after="0" w:before="0"/>
            </w:pPr>
            <w:r/>
            <w:r>
              <w:rPr>
                <w:rFonts w:ascii="Arial" w:hAnsi="Arial" w:cs="Arial"/>
                <w:b w:val="0"/>
                <w:sz w:val="17"/>
              </w:rPr>
              <w:t>S3-compatible with Object-Lock (WORM)</w:t>
            </w:r>
          </w:p>
        </w:tc>
        <w:tc>
          <w:tcPr>
            <w:tcW w:w="1300" w:type="dxa"/>
          </w:tcPr>
          <w:p>
            <w:pPr>
              <w:spacing w:after="0" w:before="0"/>
            </w:pPr>
            <w:r/>
            <w:r>
              <w:rPr>
                <w:rFonts w:ascii="Arial" w:hAnsi="Arial" w:cs="Arial"/>
                <w:b w:val="0"/>
                <w:sz w:val="17"/>
              </w:rPr>
              <w:t>Scanned KYC/agreements with immutable retention (Sections 35, 42)</w:t>
            </w:r>
          </w:p>
        </w:tc>
        <w:tc>
          <w:tcPr>
            <w:tcW w:w="3860" w:type="dxa"/>
          </w:tcPr>
          <w:p>
            <w:pPr>
              <w:spacing w:after="0" w:before="0"/>
            </w:pPr>
            <w:r/>
            <w:r>
              <w:rPr>
                <w:rFonts w:ascii="Arial" w:hAnsi="Arial" w:cs="Arial"/>
                <w:b w:val="0"/>
                <w:sz w:val="17"/>
              </w:rPr>
              <w:t>Azure Blob (immutability), MinIO on-prem</w:t>
            </w:r>
          </w:p>
        </w:tc>
      </w:tr>
      <w:tr>
        <w:tc>
          <w:tcPr>
            <w:tcW w:w="2900" w:type="dxa"/>
          </w:tcPr>
          <w:p>
            <w:pPr>
              <w:spacing w:after="0" w:before="0"/>
            </w:pPr>
            <w:r/>
            <w:r>
              <w:rPr>
                <w:rFonts w:ascii="Arial" w:hAnsi="Arial" w:cs="Arial"/>
                <w:b w:val="0"/>
                <w:sz w:val="17"/>
              </w:rPr>
              <w:t>Reporting mart</w:t>
            </w:r>
          </w:p>
        </w:tc>
        <w:tc>
          <w:tcPr>
            <w:tcW w:w="1300" w:type="dxa"/>
          </w:tcPr>
          <w:p>
            <w:pPr>
              <w:spacing w:after="0" w:before="0"/>
            </w:pPr>
            <w:r/>
            <w:r>
              <w:rPr>
                <w:rFonts w:ascii="Arial" w:hAnsi="Arial" w:cs="Arial"/>
                <w:b w:val="0"/>
                <w:sz w:val="17"/>
              </w:rPr>
              <w:t>Columnar store (ClickHouse or Postgres+Citus)</w:t>
            </w:r>
          </w:p>
        </w:tc>
        <w:tc>
          <w:tcPr>
            <w:tcW w:w="1300" w:type="dxa"/>
          </w:tcPr>
          <w:p>
            <w:pPr>
              <w:spacing w:after="0" w:before="0"/>
            </w:pPr>
            <w:r/>
            <w:r>
              <w:rPr>
                <w:rFonts w:ascii="Arial" w:hAnsi="Arial" w:cs="Arial"/>
                <w:b w:val="0"/>
                <w:sz w:val="17"/>
              </w:rPr>
              <w:t>Heavy regulatory/MIS queries isolated from OLTP (Section 9.3)</w:t>
            </w:r>
          </w:p>
        </w:tc>
        <w:tc>
          <w:tcPr>
            <w:tcW w:w="3860" w:type="dxa"/>
          </w:tcPr>
          <w:p>
            <w:pPr>
              <w:spacing w:after="0" w:before="0"/>
            </w:pPr>
            <w:r/>
            <w:r>
              <w:rPr>
                <w:rFonts w:ascii="Arial" w:hAnsi="Arial" w:cs="Arial"/>
                <w:b w:val="0"/>
                <w:sz w:val="17"/>
              </w:rPr>
              <w:t>Managed warehouse in an India region</w:t>
            </w:r>
          </w:p>
        </w:tc>
      </w:tr>
      <w:tr>
        <w:tc>
          <w:tcPr>
            <w:tcW w:w="2900" w:type="dxa"/>
          </w:tcPr>
          <w:p>
            <w:pPr>
              <w:spacing w:after="0" w:before="0"/>
            </w:pPr>
            <w:r/>
            <w:r>
              <w:rPr>
                <w:rFonts w:ascii="Arial" w:hAnsi="Arial" w:cs="Arial"/>
                <w:b w:val="0"/>
                <w:sz w:val="17"/>
              </w:rPr>
              <w:t>Runtime platform</w:t>
            </w:r>
          </w:p>
        </w:tc>
        <w:tc>
          <w:tcPr>
            <w:tcW w:w="1300" w:type="dxa"/>
          </w:tcPr>
          <w:p>
            <w:pPr>
              <w:spacing w:after="0" w:before="0"/>
            </w:pPr>
            <w:r/>
            <w:r>
              <w:rPr>
                <w:rFonts w:ascii="Arial" w:hAnsi="Arial" w:cs="Arial"/>
                <w:b w:val="0"/>
                <w:sz w:val="17"/>
              </w:rPr>
              <w:t>Kubernetes + Terraform (IaC)</w:t>
            </w:r>
          </w:p>
        </w:tc>
        <w:tc>
          <w:tcPr>
            <w:tcW w:w="1300" w:type="dxa"/>
          </w:tcPr>
          <w:p>
            <w:pPr>
              <w:spacing w:after="0" w:before="0"/>
            </w:pPr>
            <w:r/>
            <w:r>
              <w:rPr>
                <w:rFonts w:ascii="Arial" w:hAnsi="Arial" w:cs="Arial"/>
                <w:b w:val="0"/>
                <w:sz w:val="17"/>
              </w:rPr>
              <w:t>Blue-green/canary (Section 1.1), reproducible per-tenant infra</w:t>
            </w:r>
          </w:p>
        </w:tc>
        <w:tc>
          <w:tcPr>
            <w:tcW w:w="3860" w:type="dxa"/>
          </w:tcPr>
          <w:p>
            <w:pPr>
              <w:spacing w:after="0" w:before="0"/>
            </w:pPr>
            <w:r/>
            <w:r>
              <w:rPr>
                <w:rFonts w:ascii="Arial" w:hAnsi="Arial" w:cs="Arial"/>
                <w:b w:val="0"/>
                <w:sz w:val="17"/>
              </w:rPr>
              <w:t>VM + Ansible for smaller deployments</w:t>
            </w:r>
          </w:p>
        </w:tc>
      </w:tr>
      <w:tr>
        <w:tc>
          <w:tcPr>
            <w:tcW w:w="2900" w:type="dxa"/>
          </w:tcPr>
          <w:p>
            <w:pPr>
              <w:spacing w:after="0" w:before="0"/>
            </w:pPr>
            <w:r/>
            <w:r>
              <w:rPr>
                <w:rFonts w:ascii="Arial" w:hAnsi="Arial" w:cs="Arial"/>
                <w:b w:val="0"/>
                <w:sz w:val="17"/>
              </w:rPr>
              <w:t>Secrets / keys</w:t>
            </w:r>
          </w:p>
        </w:tc>
        <w:tc>
          <w:tcPr>
            <w:tcW w:w="1300" w:type="dxa"/>
          </w:tcPr>
          <w:p>
            <w:pPr>
              <w:spacing w:after="0" w:before="0"/>
            </w:pPr>
            <w:r/>
            <w:r>
              <w:rPr>
                <w:rFonts w:ascii="Arial" w:hAnsi="Arial" w:cs="Arial"/>
                <w:b w:val="0"/>
                <w:sz w:val="17"/>
              </w:rPr>
              <w:t>HSM-backed KMS + Vault</w:t>
            </w:r>
          </w:p>
        </w:tc>
        <w:tc>
          <w:tcPr>
            <w:tcW w:w="1300" w:type="dxa"/>
          </w:tcPr>
          <w:p>
            <w:pPr>
              <w:spacing w:after="0" w:before="0"/>
            </w:pPr>
            <w:r/>
            <w:r>
              <w:rPr>
                <w:rFonts w:ascii="Arial" w:hAnsi="Arial" w:cs="Arial"/>
                <w:b w:val="0"/>
                <w:sz w:val="17"/>
              </w:rPr>
              <w:t>FIPS-grade key management for PII/field encryption (Sections 34)</w:t>
            </w:r>
          </w:p>
        </w:tc>
        <w:tc>
          <w:tcPr>
            <w:tcW w:w="3860" w:type="dxa"/>
          </w:tcPr>
          <w:p>
            <w:pPr>
              <w:spacing w:after="0" w:before="0"/>
            </w:pPr>
            <w:r/>
            <w:r>
              <w:rPr>
                <w:rFonts w:ascii="Arial" w:hAnsi="Arial" w:cs="Arial"/>
                <w:b w:val="0"/>
                <w:sz w:val="17"/>
              </w:rPr>
              <w:t>Cloud KMS with dedicated HSM</w:t>
            </w:r>
          </w:p>
        </w:tc>
      </w:tr>
      <w:tr>
        <w:tc>
          <w:tcPr>
            <w:tcW w:w="2900" w:type="dxa"/>
          </w:tcPr>
          <w:p>
            <w:pPr>
              <w:spacing w:after="0" w:before="0"/>
            </w:pPr>
            <w:r/>
            <w:r>
              <w:rPr>
                <w:rFonts w:ascii="Arial" w:hAnsi="Arial" w:cs="Arial"/>
                <w:b w:val="0"/>
                <w:sz w:val="17"/>
              </w:rPr>
              <w:t>Observability</w:t>
            </w:r>
          </w:p>
        </w:tc>
        <w:tc>
          <w:tcPr>
            <w:tcW w:w="1300" w:type="dxa"/>
          </w:tcPr>
          <w:p>
            <w:pPr>
              <w:spacing w:after="0" w:before="0"/>
            </w:pPr>
            <w:r/>
            <w:r>
              <w:rPr>
                <w:rFonts w:ascii="Arial" w:hAnsi="Arial" w:cs="Arial"/>
                <w:b w:val="0"/>
                <w:sz w:val="17"/>
              </w:rPr>
              <w:t>OpenTelemetry + Prometheus/Grafana + centralised logs</w:t>
            </w:r>
          </w:p>
        </w:tc>
        <w:tc>
          <w:tcPr>
            <w:tcW w:w="1300" w:type="dxa"/>
          </w:tcPr>
          <w:p>
            <w:pPr>
              <w:spacing w:after="0" w:before="0"/>
            </w:pPr>
            <w:r/>
            <w:r>
              <w:rPr>
                <w:rFonts w:ascii="Arial" w:hAnsi="Arial" w:cs="Arial"/>
                <w:b w:val="0"/>
                <w:sz w:val="17"/>
              </w:rPr>
              <w:t>Traces, RED/USE metrics, SLA/TAT dashboards (Section 42)</w:t>
            </w:r>
          </w:p>
        </w:tc>
        <w:tc>
          <w:tcPr>
            <w:tcW w:w="3860" w:type="dxa"/>
          </w:tcPr>
          <w:p>
            <w:pPr>
              <w:spacing w:after="0" w:before="0"/>
            </w:pPr>
            <w:r/>
            <w:r>
              <w:rPr>
                <w:rFonts w:ascii="Arial" w:hAnsi="Arial" w:cs="Arial"/>
                <w:b w:val="0"/>
                <w:sz w:val="17"/>
              </w:rPr>
              <w:t>Managed APM suites</w:t>
            </w:r>
          </w:p>
        </w:tc>
      </w:tr>
    </w:tbl>
    <w:p/>
    <w:p>
      <w:pPr>
        <w:pStyle w:val="Heading2"/>
      </w:pPr>
      <w:r>
        <w:t>27.2 Decision Criteria</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400"/>
        <w:gridCol w:w="1300"/>
        <w:gridCol w:w="4660"/>
      </w:tblGrid>
      <w:tr>
        <w:tc>
          <w:tcPr>
            <w:tcW w:w="3400" w:type="dxa"/>
            <w:shd w:val="clear" w:color="auto" w:fill="1F4E78"/>
          </w:tcPr>
          <w:p>
            <w:pPr>
              <w:spacing w:after="0" w:before="0"/>
            </w:pPr>
            <w:r/>
            <w:r>
              <w:rPr>
                <w:rFonts w:ascii="Arial" w:hAnsi="Arial" w:cs="Arial"/>
                <w:b/>
                <w:color w:val="FFFFFF"/>
                <w:sz w:val="17"/>
              </w:rPr>
              <w:t>Criterion</w:t>
            </w:r>
          </w:p>
        </w:tc>
        <w:tc>
          <w:tcPr>
            <w:tcW w:w="1300" w:type="dxa"/>
            <w:shd w:val="clear" w:color="auto" w:fill="1F4E78"/>
          </w:tcPr>
          <w:p>
            <w:pPr>
              <w:spacing w:after="0" w:before="0"/>
            </w:pPr>
            <w:r/>
            <w:r>
              <w:rPr>
                <w:rFonts w:ascii="Arial" w:hAnsi="Arial" w:cs="Arial"/>
                <w:b/>
                <w:color w:val="FFFFFF"/>
                <w:sz w:val="17"/>
              </w:rPr>
              <w:t>Weight</w:t>
            </w:r>
          </w:p>
        </w:tc>
        <w:tc>
          <w:tcPr>
            <w:tcW w:w="4660" w:type="dxa"/>
            <w:shd w:val="clear" w:color="auto" w:fill="1F4E78"/>
          </w:tcPr>
          <w:p>
            <w:pPr>
              <w:spacing w:after="0" w:before="0"/>
            </w:pPr>
            <w:r/>
            <w:r>
              <w:rPr>
                <w:rFonts w:ascii="Arial" w:hAnsi="Arial" w:cs="Arial"/>
                <w:b/>
                <w:color w:val="FFFFFF"/>
                <w:sz w:val="17"/>
              </w:rPr>
              <w:t>What to check</w:t>
            </w:r>
          </w:p>
        </w:tc>
      </w:tr>
      <w:tr>
        <w:tc>
          <w:tcPr>
            <w:tcW w:w="3400" w:type="dxa"/>
          </w:tcPr>
          <w:p>
            <w:pPr>
              <w:spacing w:after="0" w:before="0"/>
            </w:pPr>
            <w:r/>
            <w:r>
              <w:rPr>
                <w:rFonts w:ascii="Arial" w:hAnsi="Arial" w:cs="Arial"/>
                <w:b w:val="0"/>
                <w:sz w:val="17"/>
              </w:rPr>
              <w:t>Data residency (India)</w:t>
            </w:r>
          </w:p>
        </w:tc>
        <w:tc>
          <w:tcPr>
            <w:tcW w:w="1300" w:type="dxa"/>
          </w:tcPr>
          <w:p>
            <w:pPr>
              <w:spacing w:after="0" w:before="0"/>
            </w:pPr>
            <w:r/>
            <w:r>
              <w:rPr>
                <w:rFonts w:ascii="Arial" w:hAnsi="Arial" w:cs="Arial"/>
                <w:b w:val="0"/>
                <w:sz w:val="17"/>
              </w:rPr>
              <w:t>Must-have</w:t>
            </w:r>
          </w:p>
        </w:tc>
        <w:tc>
          <w:tcPr>
            <w:tcW w:w="4660" w:type="dxa"/>
          </w:tcPr>
          <w:p>
            <w:pPr>
              <w:spacing w:after="0" w:before="0"/>
            </w:pPr>
            <w:r/>
            <w:r>
              <w:rPr>
                <w:rFonts w:ascii="Arial" w:hAnsi="Arial" w:cs="Arial"/>
                <w:b w:val="0"/>
                <w:sz w:val="17"/>
              </w:rPr>
              <w:t>All storage/processing in an India region per RBI localisation (Sections 14–15)</w:t>
            </w:r>
          </w:p>
        </w:tc>
      </w:tr>
      <w:tr>
        <w:tc>
          <w:tcPr>
            <w:tcW w:w="3400" w:type="dxa"/>
          </w:tcPr>
          <w:p>
            <w:pPr>
              <w:spacing w:after="0" w:before="0"/>
            </w:pPr>
            <w:r/>
            <w:r>
              <w:rPr>
                <w:rFonts w:ascii="Arial" w:hAnsi="Arial" w:cs="Arial"/>
                <w:b w:val="0"/>
                <w:sz w:val="17"/>
              </w:rPr>
              <w:t>Money correctness</w:t>
            </w:r>
          </w:p>
        </w:tc>
        <w:tc>
          <w:tcPr>
            <w:tcW w:w="1300" w:type="dxa"/>
          </w:tcPr>
          <w:p>
            <w:pPr>
              <w:spacing w:after="0" w:before="0"/>
            </w:pPr>
            <w:r/>
            <w:r>
              <w:rPr>
                <w:rFonts w:ascii="Arial" w:hAnsi="Arial" w:cs="Arial"/>
                <w:b w:val="0"/>
                <w:sz w:val="17"/>
              </w:rPr>
              <w:t>Must-have</w:t>
            </w:r>
          </w:p>
        </w:tc>
        <w:tc>
          <w:tcPr>
            <w:tcW w:w="4660" w:type="dxa"/>
          </w:tcPr>
          <w:p>
            <w:pPr>
              <w:spacing w:after="0" w:before="0"/>
            </w:pPr>
            <w:r/>
            <w:r>
              <w:rPr>
                <w:rFonts w:ascii="Arial" w:hAnsi="Arial" w:cs="Arial"/>
                <w:b w:val="0"/>
                <w:sz w:val="17"/>
              </w:rPr>
              <w:t>Native fixed-precision DECIMAL; no float in money paths (Section 28)</w:t>
            </w:r>
          </w:p>
        </w:tc>
      </w:tr>
      <w:tr>
        <w:tc>
          <w:tcPr>
            <w:tcW w:w="3400" w:type="dxa"/>
          </w:tcPr>
          <w:p>
            <w:pPr>
              <w:spacing w:after="0" w:before="0"/>
            </w:pPr>
            <w:r/>
            <w:r>
              <w:rPr>
                <w:rFonts w:ascii="Arial" w:hAnsi="Arial" w:cs="Arial"/>
                <w:b w:val="0"/>
                <w:sz w:val="17"/>
              </w:rPr>
              <w:t>ACID &amp; auditability</w:t>
            </w:r>
          </w:p>
        </w:tc>
        <w:tc>
          <w:tcPr>
            <w:tcW w:w="1300" w:type="dxa"/>
          </w:tcPr>
          <w:p>
            <w:pPr>
              <w:spacing w:after="0" w:before="0"/>
            </w:pPr>
            <w:r/>
            <w:r>
              <w:rPr>
                <w:rFonts w:ascii="Arial" w:hAnsi="Arial" w:cs="Arial"/>
                <w:b w:val="0"/>
                <w:sz w:val="17"/>
              </w:rPr>
              <w:t>Must-have</w:t>
            </w:r>
          </w:p>
        </w:tc>
        <w:tc>
          <w:tcPr>
            <w:tcW w:w="4660" w:type="dxa"/>
          </w:tcPr>
          <w:p>
            <w:pPr>
              <w:spacing w:after="0" w:before="0"/>
            </w:pPr>
            <w:r/>
            <w:r>
              <w:rPr>
                <w:rFonts w:ascii="Arial" w:hAnsi="Arial" w:cs="Arial"/>
                <w:b w:val="0"/>
                <w:sz w:val="17"/>
              </w:rPr>
              <w:t>Strong consistency for GL; immutable audit trail (Sections 8, 34)</w:t>
            </w:r>
          </w:p>
        </w:tc>
      </w:tr>
      <w:tr>
        <w:tc>
          <w:tcPr>
            <w:tcW w:w="3400" w:type="dxa"/>
          </w:tcPr>
          <w:p>
            <w:pPr>
              <w:spacing w:after="0" w:before="0"/>
            </w:pPr>
            <w:r/>
            <w:r>
              <w:rPr>
                <w:rFonts w:ascii="Arial" w:hAnsi="Arial" w:cs="Arial"/>
                <w:b w:val="0"/>
                <w:sz w:val="17"/>
              </w:rPr>
              <w:t>Horizontal scalability</w:t>
            </w:r>
          </w:p>
        </w:tc>
        <w:tc>
          <w:tcPr>
            <w:tcW w:w="1300" w:type="dxa"/>
          </w:tcPr>
          <w:p>
            <w:pPr>
              <w:spacing w:after="0" w:before="0"/>
            </w:pPr>
            <w:r/>
            <w:r>
              <w:rPr>
                <w:rFonts w:ascii="Arial" w:hAnsi="Arial" w:cs="Arial"/>
                <w:b w:val="0"/>
                <w:sz w:val="17"/>
              </w:rPr>
              <w:t>High</w:t>
            </w:r>
          </w:p>
        </w:tc>
        <w:tc>
          <w:tcPr>
            <w:tcW w:w="4660" w:type="dxa"/>
          </w:tcPr>
          <w:p>
            <w:pPr>
              <w:spacing w:after="0" w:before="0"/>
            </w:pPr>
            <w:r/>
            <w:r>
              <w:rPr>
                <w:rFonts w:ascii="Arial" w:hAnsi="Arial" w:cs="Arial"/>
                <w:b w:val="0"/>
                <w:sz w:val="17"/>
              </w:rPr>
              <w:t>Stateless services + read-replicas + partitioning to hit Section 29 targets</w:t>
            </w:r>
          </w:p>
        </w:tc>
      </w:tr>
      <w:tr>
        <w:tc>
          <w:tcPr>
            <w:tcW w:w="3400" w:type="dxa"/>
          </w:tcPr>
          <w:p>
            <w:pPr>
              <w:spacing w:after="0" w:before="0"/>
            </w:pPr>
            <w:r/>
            <w:r>
              <w:rPr>
                <w:rFonts w:ascii="Arial" w:hAnsi="Arial" w:cs="Arial"/>
                <w:b w:val="0"/>
                <w:sz w:val="17"/>
              </w:rPr>
              <w:t>Talent availability</w:t>
            </w:r>
          </w:p>
        </w:tc>
        <w:tc>
          <w:tcPr>
            <w:tcW w:w="1300" w:type="dxa"/>
          </w:tcPr>
          <w:p>
            <w:pPr>
              <w:spacing w:after="0" w:before="0"/>
            </w:pPr>
            <w:r/>
            <w:r>
              <w:rPr>
                <w:rFonts w:ascii="Arial" w:hAnsi="Arial" w:cs="Arial"/>
                <w:b w:val="0"/>
                <w:sz w:val="17"/>
              </w:rPr>
              <w:t>High</w:t>
            </w:r>
          </w:p>
        </w:tc>
        <w:tc>
          <w:tcPr>
            <w:tcW w:w="4660" w:type="dxa"/>
          </w:tcPr>
          <w:p>
            <w:pPr>
              <w:spacing w:after="0" w:before="0"/>
            </w:pPr>
            <w:r/>
            <w:r>
              <w:rPr>
                <w:rFonts w:ascii="Arial" w:hAnsi="Arial" w:cs="Arial"/>
                <w:b w:val="0"/>
                <w:sz w:val="17"/>
              </w:rPr>
              <w:t>In-house/market skills to own the stack long-term</w:t>
            </w:r>
          </w:p>
        </w:tc>
      </w:tr>
      <w:tr>
        <w:tc>
          <w:tcPr>
            <w:tcW w:w="3400" w:type="dxa"/>
          </w:tcPr>
          <w:p>
            <w:pPr>
              <w:spacing w:after="0" w:before="0"/>
            </w:pPr>
            <w:r/>
            <w:r>
              <w:rPr>
                <w:rFonts w:ascii="Arial" w:hAnsi="Arial" w:cs="Arial"/>
                <w:b w:val="0"/>
                <w:sz w:val="17"/>
              </w:rPr>
              <w:t>Managed-service maturity in India region</w:t>
            </w:r>
          </w:p>
        </w:tc>
        <w:tc>
          <w:tcPr>
            <w:tcW w:w="1300" w:type="dxa"/>
          </w:tcPr>
          <w:p>
            <w:pPr>
              <w:spacing w:after="0" w:before="0"/>
            </w:pPr>
            <w:r/>
            <w:r>
              <w:rPr>
                <w:rFonts w:ascii="Arial" w:hAnsi="Arial" w:cs="Arial"/>
                <w:b w:val="0"/>
                <w:sz w:val="17"/>
              </w:rPr>
              <w:t>Medium</w:t>
            </w:r>
          </w:p>
        </w:tc>
        <w:tc>
          <w:tcPr>
            <w:tcW w:w="4660" w:type="dxa"/>
          </w:tcPr>
          <w:p>
            <w:pPr>
              <w:spacing w:after="0" w:before="0"/>
            </w:pPr>
            <w:r/>
            <w:r>
              <w:rPr>
                <w:rFonts w:ascii="Arial" w:hAnsi="Arial" w:cs="Arial"/>
                <w:b w:val="0"/>
                <w:sz w:val="17"/>
              </w:rPr>
              <w:t>Reduces ops burden while keeping localisation</w:t>
            </w:r>
          </w:p>
        </w:tc>
      </w:tr>
      <w:tr>
        <w:tc>
          <w:tcPr>
            <w:tcW w:w="3400" w:type="dxa"/>
          </w:tcPr>
          <w:p>
            <w:pPr>
              <w:spacing w:after="0" w:before="0"/>
            </w:pPr>
            <w:r/>
            <w:r>
              <w:rPr>
                <w:rFonts w:ascii="Arial" w:hAnsi="Arial" w:cs="Arial"/>
                <w:b w:val="0"/>
                <w:sz w:val="17"/>
              </w:rPr>
              <w:t>Total cost of ownership</w:t>
            </w:r>
          </w:p>
        </w:tc>
        <w:tc>
          <w:tcPr>
            <w:tcW w:w="1300" w:type="dxa"/>
          </w:tcPr>
          <w:p>
            <w:pPr>
              <w:spacing w:after="0" w:before="0"/>
            </w:pPr>
            <w:r/>
            <w:r>
              <w:rPr>
                <w:rFonts w:ascii="Arial" w:hAnsi="Arial" w:cs="Arial"/>
                <w:b w:val="0"/>
                <w:sz w:val="17"/>
              </w:rPr>
              <w:t>Medium</w:t>
            </w:r>
          </w:p>
        </w:tc>
        <w:tc>
          <w:tcPr>
            <w:tcW w:w="4660" w:type="dxa"/>
          </w:tcPr>
          <w:p>
            <w:pPr>
              <w:spacing w:after="0" w:before="0"/>
            </w:pPr>
            <w:r/>
            <w:r>
              <w:rPr>
                <w:rFonts w:ascii="Arial" w:hAnsi="Arial" w:cs="Arial"/>
                <w:b w:val="0"/>
                <w:sz w:val="17"/>
              </w:rPr>
              <w:t>Licensing + infra + ops modelled per Section 42.3</w:t>
            </w:r>
          </w:p>
        </w:tc>
      </w:tr>
      <w:tr>
        <w:tc>
          <w:tcPr>
            <w:tcW w:w="3400" w:type="dxa"/>
          </w:tcPr>
          <w:p>
            <w:pPr>
              <w:spacing w:after="0" w:before="0"/>
            </w:pPr>
            <w:r/>
            <w:r>
              <w:rPr>
                <w:rFonts w:ascii="Arial" w:hAnsi="Arial" w:cs="Arial"/>
                <w:b w:val="0"/>
                <w:sz w:val="17"/>
              </w:rPr>
              <w:t>Vendor lock-in</w:t>
            </w:r>
          </w:p>
        </w:tc>
        <w:tc>
          <w:tcPr>
            <w:tcW w:w="1300" w:type="dxa"/>
          </w:tcPr>
          <w:p>
            <w:pPr>
              <w:spacing w:after="0" w:before="0"/>
            </w:pPr>
            <w:r/>
            <w:r>
              <w:rPr>
                <w:rFonts w:ascii="Arial" w:hAnsi="Arial" w:cs="Arial"/>
                <w:b w:val="0"/>
                <w:sz w:val="17"/>
              </w:rPr>
              <w:t>Medium</w:t>
            </w:r>
          </w:p>
        </w:tc>
        <w:tc>
          <w:tcPr>
            <w:tcW w:w="4660" w:type="dxa"/>
          </w:tcPr>
          <w:p>
            <w:pPr>
              <w:spacing w:after="0" w:before="0"/>
            </w:pPr>
            <w:r/>
            <w:r>
              <w:rPr>
                <w:rFonts w:ascii="Arial" w:hAnsi="Arial" w:cs="Arial"/>
                <w:b w:val="0"/>
                <w:sz w:val="17"/>
              </w:rPr>
              <w:t>Prefer open standards/portable data formats</w:t>
            </w:r>
          </w:p>
        </w:tc>
      </w:tr>
    </w:tbl>
    <w:p/>
    <w:p>
      <w:r>
        <w:rPr>
          <w:rFonts w:ascii="Arial" w:hAnsi="Arial" w:cs="Arial"/>
          <w:rFonts w:ascii="Arial" w:hAnsi="Arial"/>
          <w:b w:val="0"/>
          <w:i w:val="0"/>
          <w:sz w:val="22"/>
        </w:rPr>
        <w:t>Guidance: begin as a modular monolith with clean domain boundaries and an event backbone; promote the highest-load domains (Servicing, Reporting, Collections) to independently deployable services once traffic and team maturity justify it. This satisfies the API-first and independent-deployability goals of Section 15 without paying full microservices cost on day one.</w:t>
      </w:r>
    </w:p>
    <w:p>
      <w:pPr>
        <w:pStyle w:val="Heading1"/>
      </w:pPr>
      <w:r>
        <w:t>28. Money Precision, Rounding &amp; Ledger Integrity Standard</w:t>
      </w:r>
    </w:p>
    <w:p>
      <w:r>
        <w:rPr>
          <w:rFonts w:ascii="Arial" w:hAnsi="Arial" w:cs="Arial"/>
          <w:rFonts w:ascii="Arial" w:hAnsi="Arial"/>
          <w:b w:val="0"/>
          <w:i w:val="0"/>
          <w:sz w:val="22"/>
        </w:rPr>
        <w:t>This standard closes the single most common source of loan-system defects — money represented as floating point, and undocumented rounding. It is binding on every calculation in Section 24 and every posting in Section 8. The illustrative JSON in Section 26 shows decimal-looking numbers for readability only; on the wire and at rest, money must follow 28.1.</w:t>
      </w:r>
    </w:p>
    <w:p>
      <w:pPr>
        <w:pStyle w:val="Heading2"/>
      </w:pPr>
      <w:r>
        <w:t>28.1 Money Representation</w:t>
      </w:r>
    </w:p>
    <w:p>
      <w:pPr>
        <w:pStyle w:val="ListParagraph"/>
        <w:numPr>
          <w:ilvl w:val="0"/>
          <w:numId w:val="2"/>
        </w:numPr>
      </w:pPr>
      <w:r>
        <w:rPr>
          <w:rFonts w:ascii="Arial" w:hAnsi="Arial" w:cs="Arial"/>
          <w:rFonts w:ascii="Arial" w:hAnsi="Arial"/>
          <w:sz w:val="22"/>
        </w:rPr>
        <w:t>Store and compute money as fixed-precision DECIMAL(18,4) or as integer paise — never as binary floating point (float/double), which cannot represent values like 0.10 exactly and silently drifts across accrual cycles.</w:t>
      </w:r>
    </w:p>
    <w:p>
      <w:pPr>
        <w:pStyle w:val="ListParagraph"/>
        <w:numPr>
          <w:ilvl w:val="0"/>
          <w:numId w:val="2"/>
        </w:numPr>
      </w:pPr>
      <w:r>
        <w:rPr>
          <w:rFonts w:ascii="Arial" w:hAnsi="Arial" w:cs="Arial"/>
          <w:rFonts w:ascii="Arial" w:hAnsi="Arial"/>
          <w:sz w:val="22"/>
        </w:rPr>
        <w:t>INR minor unit is the paisa (2 decimal places for presentation/posting); internal interim computation retains 4–6 decimal places and rounds only at defined boundaries (28.2).</w:t>
      </w:r>
    </w:p>
    <w:p>
      <w:pPr>
        <w:pStyle w:val="ListParagraph"/>
        <w:numPr>
          <w:ilvl w:val="0"/>
          <w:numId w:val="2"/>
        </w:numPr>
      </w:pPr>
      <w:r>
        <w:rPr>
          <w:rFonts w:ascii="Arial" w:hAnsi="Arial" w:cs="Arial"/>
          <w:rFonts w:ascii="Arial" w:hAnsi="Arial"/>
          <w:sz w:val="22"/>
        </w:rPr>
        <w:t>Currency and precision are attributes of the amount; all APIs express money as a string or integer-minor-units, with an explicit currency code, to avoid client-side float parsing.</w:t>
      </w:r>
    </w:p>
    <w:p>
      <w:pPr>
        <w:pStyle w:val="Heading2"/>
      </w:pPr>
      <w:r>
        <w:t>28.2 Rounding Policy</w:t>
      </w:r>
    </w:p>
    <w:p>
      <w:pPr>
        <w:pStyle w:val="ListParagraph"/>
        <w:numPr>
          <w:ilvl w:val="0"/>
          <w:numId w:val="2"/>
        </w:numPr>
      </w:pPr>
      <w:r>
        <w:rPr>
          <w:rFonts w:ascii="Arial" w:hAnsi="Arial" w:cs="Arial"/>
          <w:rFonts w:ascii="Arial" w:hAnsi="Arial"/>
          <w:sz w:val="22"/>
        </w:rPr>
        <w:t>Rounding mode: commercial round-half-up (0.5 rounds away from zero) applied consistently; the chosen mode is stated in the Key Fact Statement (Section 17.1) since it changes the exact rupee amount.</w:t>
      </w:r>
    </w:p>
    <w:p>
      <w:pPr>
        <w:pStyle w:val="ListParagraph"/>
        <w:numPr>
          <w:ilvl w:val="0"/>
          <w:numId w:val="2"/>
        </w:numPr>
      </w:pPr>
      <w:r>
        <w:rPr>
          <w:rFonts w:ascii="Arial" w:hAnsi="Arial" w:cs="Arial"/>
          <w:rFonts w:ascii="Arial" w:hAnsi="Arial"/>
          <w:sz w:val="22"/>
        </w:rPr>
        <w:t>Round only at boundaries: (a) EMI amount at sanction, (b) each posted installment split, (c) each GL posting. Carry full precision between boundaries; never round mid-formula.</w:t>
      </w:r>
    </w:p>
    <w:p>
      <w:pPr>
        <w:pStyle w:val="ListParagraph"/>
        <w:numPr>
          <w:ilvl w:val="0"/>
          <w:numId w:val="2"/>
        </w:numPr>
      </w:pPr>
      <w:r>
        <w:rPr>
          <w:rFonts w:ascii="Arial" w:hAnsi="Arial" w:cs="Arial"/>
          <w:rFonts w:ascii="Arial" w:hAnsi="Arial"/>
          <w:sz w:val="22"/>
        </w:rPr>
        <w:t>Last-installment adjustment: because per-installment rounding accumulates a residual, the final installment is set to fully retire the outstanding balance (final EMI = prior closing balance + final interest). This balloon/residual adjustment guarantees the schedule closes to exactly zero.</w:t>
      </w:r>
    </w:p>
    <w:p>
      <w:pPr>
        <w:pStyle w:val="ListParagraph"/>
        <w:numPr>
          <w:ilvl w:val="0"/>
          <w:numId w:val="2"/>
        </w:numPr>
      </w:pPr>
      <w:r>
        <w:rPr>
          <w:rFonts w:ascii="Arial" w:hAnsi="Arial" w:cs="Arial"/>
          <w:rFonts w:ascii="Arial" w:hAnsi="Arial"/>
          <w:sz w:val="22"/>
        </w:rPr>
        <w:t>Sub-paise residuals from daily-interest and provisioning runs are swept to a designated Rounding/Adjustment GL (28.3) so the trial balance always ties.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Computation</w:t>
            </w:r>
          </w:p>
        </w:tc>
        <w:tc>
          <w:tcPr>
            <w:tcW w:w="1300" w:type="dxa"/>
            <w:shd w:val="clear" w:color="auto" w:fill="1F4E78"/>
          </w:tcPr>
          <w:p>
            <w:pPr>
              <w:spacing w:after="0" w:before="0"/>
            </w:pPr>
            <w:r/>
            <w:r>
              <w:rPr>
                <w:rFonts w:ascii="Arial" w:hAnsi="Arial" w:cs="Arial"/>
                <w:b/>
                <w:color w:val="FFFFFF"/>
                <w:sz w:val="17"/>
              </w:rPr>
              <w:t>Precision carried</w:t>
            </w:r>
          </w:p>
        </w:tc>
        <w:tc>
          <w:tcPr>
            <w:tcW w:w="1300" w:type="dxa"/>
            <w:shd w:val="clear" w:color="auto" w:fill="1F4E78"/>
          </w:tcPr>
          <w:p>
            <w:pPr>
              <w:spacing w:after="0" w:before="0"/>
            </w:pPr>
            <w:r/>
            <w:r>
              <w:rPr>
                <w:rFonts w:ascii="Arial" w:hAnsi="Arial" w:cs="Arial"/>
                <w:b/>
                <w:color w:val="FFFFFF"/>
                <w:sz w:val="17"/>
              </w:rPr>
              <w:t>Round at</w:t>
            </w:r>
          </w:p>
        </w:tc>
        <w:tc>
          <w:tcPr>
            <w:tcW w:w="3860" w:type="dxa"/>
            <w:shd w:val="clear" w:color="auto" w:fill="1F4E78"/>
          </w:tcPr>
          <w:p>
            <w:pPr>
              <w:spacing w:after="0" w:before="0"/>
            </w:pPr>
            <w:r/>
            <w:r>
              <w:rPr>
                <w:rFonts w:ascii="Arial" w:hAnsi="Arial" w:cs="Arial"/>
                <w:b/>
                <w:color w:val="FFFFFF"/>
                <w:sz w:val="17"/>
              </w:rPr>
              <w:t>Rounding target</w:t>
            </w:r>
          </w:p>
        </w:tc>
      </w:tr>
      <w:tr>
        <w:tc>
          <w:tcPr>
            <w:tcW w:w="2900" w:type="dxa"/>
          </w:tcPr>
          <w:p>
            <w:pPr>
              <w:spacing w:after="0" w:before="0"/>
            </w:pPr>
            <w:r/>
            <w:r>
              <w:rPr>
                <w:rFonts w:ascii="Arial" w:hAnsi="Arial" w:cs="Arial"/>
                <w:b w:val="0"/>
                <w:sz w:val="17"/>
              </w:rPr>
              <w:t>EMI (Section 24.2)</w:t>
            </w:r>
          </w:p>
        </w:tc>
        <w:tc>
          <w:tcPr>
            <w:tcW w:w="1300" w:type="dxa"/>
          </w:tcPr>
          <w:p>
            <w:pPr>
              <w:spacing w:after="0" w:before="0"/>
            </w:pPr>
            <w:r/>
            <w:r>
              <w:rPr>
                <w:rFonts w:ascii="Arial" w:hAnsi="Arial" w:cs="Arial"/>
                <w:b w:val="0"/>
                <w:sz w:val="17"/>
              </w:rPr>
              <w:t>6 dp internal</w:t>
            </w:r>
          </w:p>
        </w:tc>
        <w:tc>
          <w:tcPr>
            <w:tcW w:w="1300" w:type="dxa"/>
          </w:tcPr>
          <w:p>
            <w:pPr>
              <w:spacing w:after="0" w:before="0"/>
            </w:pPr>
            <w:r/>
            <w:r>
              <w:rPr>
                <w:rFonts w:ascii="Arial" w:hAnsi="Arial" w:cs="Arial"/>
                <w:b w:val="0"/>
                <w:sz w:val="17"/>
              </w:rPr>
              <w:t>Sanction</w:t>
            </w:r>
          </w:p>
        </w:tc>
        <w:tc>
          <w:tcPr>
            <w:tcW w:w="3860" w:type="dxa"/>
          </w:tcPr>
          <w:p>
            <w:pPr>
              <w:spacing w:after="0" w:before="0"/>
            </w:pPr>
            <w:r/>
            <w:r>
              <w:rPr>
                <w:rFonts w:ascii="Arial" w:hAnsi="Arial" w:cs="Arial"/>
                <w:b w:val="0"/>
                <w:sz w:val="17"/>
              </w:rPr>
              <w:t>Nearest ₹0.01 (or ₹1 per product config)</w:t>
            </w:r>
          </w:p>
        </w:tc>
      </w:tr>
      <w:tr>
        <w:tc>
          <w:tcPr>
            <w:tcW w:w="2900" w:type="dxa"/>
          </w:tcPr>
          <w:p>
            <w:pPr>
              <w:spacing w:after="0" w:before="0"/>
            </w:pPr>
            <w:r/>
            <w:r>
              <w:rPr>
                <w:rFonts w:ascii="Arial" w:hAnsi="Arial" w:cs="Arial"/>
                <w:b w:val="0"/>
                <w:sz w:val="17"/>
              </w:rPr>
              <w:t>Installment interest/principal split</w:t>
            </w:r>
          </w:p>
        </w:tc>
        <w:tc>
          <w:tcPr>
            <w:tcW w:w="1300" w:type="dxa"/>
          </w:tcPr>
          <w:p>
            <w:pPr>
              <w:spacing w:after="0" w:before="0"/>
            </w:pPr>
            <w:r/>
            <w:r>
              <w:rPr>
                <w:rFonts w:ascii="Arial" w:hAnsi="Arial" w:cs="Arial"/>
                <w:b w:val="0"/>
                <w:sz w:val="17"/>
              </w:rPr>
              <w:t>6 dp</w:t>
            </w:r>
          </w:p>
        </w:tc>
        <w:tc>
          <w:tcPr>
            <w:tcW w:w="1300" w:type="dxa"/>
          </w:tcPr>
          <w:p>
            <w:pPr>
              <w:spacing w:after="0" w:before="0"/>
            </w:pPr>
            <w:r/>
            <w:r>
              <w:rPr>
                <w:rFonts w:ascii="Arial" w:hAnsi="Arial" w:cs="Arial"/>
                <w:b w:val="0"/>
                <w:sz w:val="17"/>
              </w:rPr>
              <w:t>Each installment</w:t>
            </w:r>
          </w:p>
        </w:tc>
        <w:tc>
          <w:tcPr>
            <w:tcW w:w="3860" w:type="dxa"/>
          </w:tcPr>
          <w:p>
            <w:pPr>
              <w:spacing w:after="0" w:before="0"/>
            </w:pPr>
            <w:r/>
            <w:r>
              <w:rPr>
                <w:rFonts w:ascii="Arial" w:hAnsi="Arial" w:cs="Arial"/>
                <w:b w:val="0"/>
                <w:sz w:val="17"/>
              </w:rPr>
              <w:t>₹0.01; residual to final EMI</w:t>
            </w:r>
          </w:p>
        </w:tc>
      </w:tr>
      <w:tr>
        <w:tc>
          <w:tcPr>
            <w:tcW w:w="2900" w:type="dxa"/>
          </w:tcPr>
          <w:p>
            <w:pPr>
              <w:spacing w:after="0" w:before="0"/>
            </w:pPr>
            <w:r/>
            <w:r>
              <w:rPr>
                <w:rFonts w:ascii="Arial" w:hAnsi="Arial" w:cs="Arial"/>
                <w:b w:val="0"/>
                <w:sz w:val="17"/>
              </w:rPr>
              <w:t>Daily interest (LAS/Gold, 24.5–24.6)</w:t>
            </w:r>
          </w:p>
        </w:tc>
        <w:tc>
          <w:tcPr>
            <w:tcW w:w="1300" w:type="dxa"/>
          </w:tcPr>
          <w:p>
            <w:pPr>
              <w:spacing w:after="0" w:before="0"/>
            </w:pPr>
            <w:r/>
            <w:r>
              <w:rPr>
                <w:rFonts w:ascii="Arial" w:hAnsi="Arial" w:cs="Arial"/>
                <w:b w:val="0"/>
                <w:sz w:val="17"/>
              </w:rPr>
              <w:t>6 dp</w:t>
            </w:r>
          </w:p>
        </w:tc>
        <w:tc>
          <w:tcPr>
            <w:tcW w:w="1300" w:type="dxa"/>
          </w:tcPr>
          <w:p>
            <w:pPr>
              <w:spacing w:after="0" w:before="0"/>
            </w:pPr>
            <w:r/>
            <w:r>
              <w:rPr>
                <w:rFonts w:ascii="Arial" w:hAnsi="Arial" w:cs="Arial"/>
                <w:b w:val="0"/>
                <w:sz w:val="17"/>
              </w:rPr>
              <w:t>Cycle close</w:t>
            </w:r>
          </w:p>
        </w:tc>
        <w:tc>
          <w:tcPr>
            <w:tcW w:w="3860" w:type="dxa"/>
          </w:tcPr>
          <w:p>
            <w:pPr>
              <w:spacing w:after="0" w:before="0"/>
            </w:pPr>
            <w:r/>
            <w:r>
              <w:rPr>
                <w:rFonts w:ascii="Arial" w:hAnsi="Arial" w:cs="Arial"/>
                <w:b w:val="0"/>
                <w:sz w:val="17"/>
              </w:rPr>
              <w:t>₹0.01; sub-paise to Rounding GL</w:t>
            </w:r>
          </w:p>
        </w:tc>
      </w:tr>
      <w:tr>
        <w:tc>
          <w:tcPr>
            <w:tcW w:w="2900" w:type="dxa"/>
          </w:tcPr>
          <w:p>
            <w:pPr>
              <w:spacing w:after="0" w:before="0"/>
            </w:pPr>
            <w:r/>
            <w:r>
              <w:rPr>
                <w:rFonts w:ascii="Arial" w:hAnsi="Arial" w:cs="Arial"/>
                <w:b w:val="0"/>
                <w:sz w:val="17"/>
              </w:rPr>
              <w:t>EIR / ECL discounting (24.10, 30)</w:t>
            </w:r>
          </w:p>
        </w:tc>
        <w:tc>
          <w:tcPr>
            <w:tcW w:w="1300" w:type="dxa"/>
          </w:tcPr>
          <w:p>
            <w:pPr>
              <w:spacing w:after="0" w:before="0"/>
            </w:pPr>
            <w:r/>
            <w:r>
              <w:rPr>
                <w:rFonts w:ascii="Arial" w:hAnsi="Arial" w:cs="Arial"/>
                <w:b w:val="0"/>
                <w:sz w:val="17"/>
              </w:rPr>
              <w:t>10 dp</w:t>
            </w:r>
          </w:p>
        </w:tc>
        <w:tc>
          <w:tcPr>
            <w:tcW w:w="1300" w:type="dxa"/>
          </w:tcPr>
          <w:p>
            <w:pPr>
              <w:spacing w:after="0" w:before="0"/>
            </w:pPr>
            <w:r/>
            <w:r>
              <w:rPr>
                <w:rFonts w:ascii="Arial" w:hAnsi="Arial" w:cs="Arial"/>
                <w:b w:val="0"/>
                <w:sz w:val="17"/>
              </w:rPr>
              <w:t>Reporting only</w:t>
            </w:r>
          </w:p>
        </w:tc>
        <w:tc>
          <w:tcPr>
            <w:tcW w:w="3860" w:type="dxa"/>
          </w:tcPr>
          <w:p>
            <w:pPr>
              <w:spacing w:after="0" w:before="0"/>
            </w:pPr>
            <w:r/>
            <w:r>
              <w:rPr>
                <w:rFonts w:ascii="Arial" w:hAnsi="Arial" w:cs="Arial"/>
                <w:b w:val="0"/>
                <w:sz w:val="17"/>
              </w:rPr>
              <w:t>₹0.01 at disclosure</w:t>
            </w:r>
          </w:p>
        </w:tc>
      </w:tr>
      <w:tr>
        <w:tc>
          <w:tcPr>
            <w:tcW w:w="2900" w:type="dxa"/>
          </w:tcPr>
          <w:p>
            <w:pPr>
              <w:spacing w:after="0" w:before="0"/>
            </w:pPr>
            <w:r/>
            <w:r>
              <w:rPr>
                <w:rFonts w:ascii="Arial" w:hAnsi="Arial" w:cs="Arial"/>
                <w:b w:val="0"/>
                <w:sz w:val="17"/>
              </w:rPr>
              <w:t>Provisioning (24.12, 9.4)</w:t>
            </w:r>
          </w:p>
        </w:tc>
        <w:tc>
          <w:tcPr>
            <w:tcW w:w="1300" w:type="dxa"/>
          </w:tcPr>
          <w:p>
            <w:pPr>
              <w:spacing w:after="0" w:before="0"/>
            </w:pPr>
            <w:r/>
            <w:r>
              <w:rPr>
                <w:rFonts w:ascii="Arial" w:hAnsi="Arial" w:cs="Arial"/>
                <w:b w:val="0"/>
                <w:sz w:val="17"/>
              </w:rPr>
              <w:t>4 dp</w:t>
            </w:r>
          </w:p>
        </w:tc>
        <w:tc>
          <w:tcPr>
            <w:tcW w:w="1300" w:type="dxa"/>
          </w:tcPr>
          <w:p>
            <w:pPr>
              <w:spacing w:after="0" w:before="0"/>
            </w:pPr>
            <w:r/>
            <w:r>
              <w:rPr>
                <w:rFonts w:ascii="Arial" w:hAnsi="Arial" w:cs="Arial"/>
                <w:b w:val="0"/>
                <w:sz w:val="17"/>
              </w:rPr>
              <w:t>Month-end</w:t>
            </w:r>
          </w:p>
        </w:tc>
        <w:tc>
          <w:tcPr>
            <w:tcW w:w="3860" w:type="dxa"/>
          </w:tcPr>
          <w:p>
            <w:pPr>
              <w:spacing w:after="0" w:before="0"/>
            </w:pPr>
            <w:r/>
            <w:r>
              <w:rPr>
                <w:rFonts w:ascii="Arial" w:hAnsi="Arial" w:cs="Arial"/>
                <w:b w:val="0"/>
                <w:sz w:val="17"/>
              </w:rPr>
              <w:t>₹1 or ₹0.01 per policy; residual to Rounding GL</w:t>
            </w:r>
          </w:p>
        </w:tc>
      </w:tr>
    </w:tbl>
    <w:p/>
    <w:p>
      <w:pPr>
        <w:pStyle w:val="Heading2"/>
      </w:pPr>
      <w:r>
        <w:t>28.3 Ledger Integrity Invariants</w:t>
      </w:r>
    </w:p>
    <w:p>
      <w:pPr>
        <w:pStyle w:val="ListParagraph"/>
        <w:numPr>
          <w:ilvl w:val="0"/>
          <w:numId w:val="2"/>
        </w:numPr>
      </w:pPr>
      <w:r>
        <w:rPr>
          <w:rFonts w:ascii="Arial" w:hAnsi="Arial" w:cs="Arial"/>
          <w:rFonts w:ascii="Arial" w:hAnsi="Arial"/>
          <w:sz w:val="22"/>
        </w:rPr>
        <w:t>Append-only ledger: a posted journal entry is never updated or deleted; corrections are made by a dated reversal/contra entry that references the original. This preserves an immutable audit trail (Section 14).</w:t>
      </w:r>
    </w:p>
    <w:p>
      <w:pPr>
        <w:pStyle w:val="ListParagraph"/>
        <w:numPr>
          <w:ilvl w:val="0"/>
          <w:numId w:val="2"/>
        </w:numPr>
      </w:pPr>
      <w:r>
        <w:rPr>
          <w:rFonts w:ascii="Arial" w:hAnsi="Arial" w:cs="Arial"/>
          <w:rFonts w:ascii="Arial" w:hAnsi="Arial"/>
          <w:sz w:val="22"/>
        </w:rPr>
        <w:t>Balanced-posting invariant: every journal voucher is validated at commit so that Σ debits = Σ credits (to the paisa); an unbalanced JV cannot persist.</w:t>
      </w:r>
    </w:p>
    <w:p>
      <w:pPr>
        <w:pStyle w:val="ListParagraph"/>
        <w:numPr>
          <w:ilvl w:val="0"/>
          <w:numId w:val="2"/>
        </w:numPr>
      </w:pPr>
      <w:r>
        <w:rPr>
          <w:rFonts w:ascii="Arial" w:hAnsi="Arial" w:cs="Arial"/>
          <w:rFonts w:ascii="Arial" w:hAnsi="Arial"/>
          <w:sz w:val="22"/>
        </w:rPr>
        <w:t>Continuous trial balance: the sum of all GL balances nets to zero at all times; an automated tie-out runs at day-end and blocks close on any break (Section 41.3).</w:t>
      </w:r>
    </w:p>
    <w:p>
      <w:pPr>
        <w:pStyle w:val="ListParagraph"/>
        <w:numPr>
          <w:ilvl w:val="0"/>
          <w:numId w:val="2"/>
        </w:numPr>
      </w:pPr>
      <w:r>
        <w:rPr>
          <w:rFonts w:ascii="Arial" w:hAnsi="Arial" w:cs="Arial"/>
          <w:rFonts w:ascii="Arial" w:hAnsi="Arial"/>
          <w:sz w:val="22"/>
        </w:rPr>
        <w:t>Value-date vs posting-date are stored separately; back-dated entries beyond a configurable window require maker-checker (Section 14) and are flagged for audit.</w:t>
      </w:r>
    </w:p>
    <w:p>
      <w:pPr>
        <w:pStyle w:val="Heading2"/>
      </w:pPr>
      <w:r>
        <w:t>28.4 Concurrency &amp; Financial Consistency</w:t>
      </w:r>
    </w:p>
    <w:p>
      <w:pPr>
        <w:pStyle w:val="ListParagraph"/>
        <w:numPr>
          <w:ilvl w:val="0"/>
          <w:numId w:val="2"/>
        </w:numPr>
      </w:pPr>
      <w:r>
        <w:rPr>
          <w:rFonts w:ascii="Arial" w:hAnsi="Arial" w:cs="Arial"/>
          <w:rFonts w:ascii="Arial" w:hAnsi="Arial"/>
          <w:sz w:val="22"/>
        </w:rPr>
        <w:t>Revolving products (LAS Section 3.1, Smart Credit Line 3.2): drawdown, repayment, and daily drawing-power revaluation race on the same limit. Use row-level locking or optimistic concurrency (row_version) on the limit/utilisation record so a drawdown cannot exceed available drawing power under concurrent updates.</w:t>
      </w:r>
    </w:p>
    <w:p>
      <w:pPr>
        <w:pStyle w:val="ListParagraph"/>
        <w:numPr>
          <w:ilvl w:val="0"/>
          <w:numId w:val="2"/>
        </w:numPr>
      </w:pPr>
      <w:r>
        <w:rPr>
          <w:rFonts w:ascii="Arial" w:hAnsi="Arial" w:cs="Arial"/>
          <w:rFonts w:ascii="Arial" w:hAnsi="Arial"/>
          <w:sz w:val="22"/>
        </w:rPr>
        <w:t>Postings are idempotent, keyed by business-event id, so a retried disbursement/repayment event (Section 40) posts exactly once.</w:t>
      </w:r>
    </w:p>
    <w:p>
      <w:pPr>
        <w:pStyle w:val="ListParagraph"/>
        <w:numPr>
          <w:ilvl w:val="0"/>
          <w:numId w:val="2"/>
        </w:numPr>
      </w:pPr>
      <w:r>
        <w:rPr>
          <w:rFonts w:ascii="Arial" w:hAnsi="Arial" w:cs="Arial"/>
          <w:rFonts w:ascii="Arial" w:hAnsi="Arial"/>
          <w:sz w:val="22"/>
        </w:rPr>
        <w:t>Interest accrual and provisioning batch jobs are re-runnable (idempotent) and checkpointed, so a mid-run failure can resume without double-posting.</w:t>
      </w:r>
    </w:p>
    <w:p>
      <w:pPr>
        <w:pStyle w:val="Heading1"/>
      </w:pPr>
      <w:r>
        <w:t>29. Quantified Non-Functional Requirements &amp; SLAs</w:t>
      </w:r>
    </w:p>
    <w:p>
      <w:r>
        <w:rPr>
          <w:rFonts w:ascii="Arial" w:hAnsi="Arial" w:cs="Arial"/>
          <w:rFonts w:ascii="Arial" w:hAnsi="Arial"/>
          <w:b w:val="0"/>
          <w:i w:val="0"/>
          <w:sz w:val="22"/>
        </w:rPr>
        <w:t>This section replaces the qualitative targets in Section 15 with testable numbers. Values are recommended defaults for a mid-sized NBFC and must be ratified against the NBFC’s own volume forecast during technical design; each is an acceptance threshold for the performance and resilience tests in Section 41.4.</w:t>
      </w:r>
    </w:p>
    <w:p>
      <w:pPr>
        <w:pStyle w:val="Heading2"/>
      </w:pPr>
      <w:r>
        <w:t>29.1 Service-Level Targets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500"/>
        <w:gridCol w:w="2100"/>
        <w:gridCol w:w="4760"/>
      </w:tblGrid>
      <w:tr>
        <w:tc>
          <w:tcPr>
            <w:tcW w:w="2500" w:type="dxa"/>
            <w:shd w:val="clear" w:color="auto" w:fill="1F4E78"/>
          </w:tcPr>
          <w:p>
            <w:pPr>
              <w:spacing w:after="0" w:before="0"/>
            </w:pPr>
            <w:r/>
            <w:r>
              <w:rPr>
                <w:rFonts w:ascii="Arial" w:hAnsi="Arial" w:cs="Arial"/>
                <w:b/>
                <w:color w:val="FFFFFF"/>
                <w:sz w:val="17"/>
              </w:rPr>
              <w:t>Dimension</w:t>
            </w:r>
          </w:p>
        </w:tc>
        <w:tc>
          <w:tcPr>
            <w:tcW w:w="2100" w:type="dxa"/>
            <w:shd w:val="clear" w:color="auto" w:fill="1F4E78"/>
          </w:tcPr>
          <w:p>
            <w:pPr>
              <w:spacing w:after="0" w:before="0"/>
            </w:pPr>
            <w:r/>
            <w:r>
              <w:rPr>
                <w:rFonts w:ascii="Arial" w:hAnsi="Arial" w:cs="Arial"/>
                <w:b/>
                <w:color w:val="FFFFFF"/>
                <w:sz w:val="17"/>
              </w:rPr>
              <w:t>Target</w:t>
            </w:r>
          </w:p>
        </w:tc>
        <w:tc>
          <w:tcPr>
            <w:tcW w:w="4760" w:type="dxa"/>
            <w:shd w:val="clear" w:color="auto" w:fill="1F4E78"/>
          </w:tcPr>
          <w:p>
            <w:pPr>
              <w:spacing w:after="0" w:before="0"/>
            </w:pPr>
            <w:r/>
            <w:r>
              <w:rPr>
                <w:rFonts w:ascii="Arial" w:hAnsi="Arial" w:cs="Arial"/>
                <w:b/>
                <w:color w:val="FFFFFF"/>
                <w:sz w:val="17"/>
              </w:rPr>
              <w:t>Notes / measurement</w:t>
            </w:r>
          </w:p>
        </w:tc>
      </w:tr>
      <w:tr>
        <w:tc>
          <w:tcPr>
            <w:tcW w:w="2500" w:type="dxa"/>
          </w:tcPr>
          <w:p>
            <w:pPr>
              <w:spacing w:after="0" w:before="0"/>
            </w:pPr>
            <w:r/>
            <w:r>
              <w:rPr>
                <w:rFonts w:ascii="Arial" w:hAnsi="Arial" w:cs="Arial"/>
                <w:b w:val="0"/>
                <w:sz w:val="17"/>
              </w:rPr>
              <w:t>Production availability</w:t>
            </w:r>
          </w:p>
        </w:tc>
        <w:tc>
          <w:tcPr>
            <w:tcW w:w="2100" w:type="dxa"/>
          </w:tcPr>
          <w:p>
            <w:pPr>
              <w:spacing w:after="0" w:before="0"/>
            </w:pPr>
            <w:r/>
            <w:r>
              <w:rPr>
                <w:rFonts w:ascii="Arial" w:hAnsi="Arial" w:cs="Arial"/>
                <w:b w:val="0"/>
                <w:sz w:val="17"/>
              </w:rPr>
              <w:t>99.9% monthly (≤ 43.8 min/month downtime)</w:t>
            </w:r>
          </w:p>
        </w:tc>
        <w:tc>
          <w:tcPr>
            <w:tcW w:w="4760" w:type="dxa"/>
          </w:tcPr>
          <w:p>
            <w:pPr>
              <w:spacing w:after="0" w:before="0"/>
            </w:pPr>
            <w:r/>
            <w:r>
              <w:rPr>
                <w:rFonts w:ascii="Arial" w:hAnsi="Arial" w:cs="Arial"/>
                <w:b w:val="0"/>
                <w:sz w:val="17"/>
              </w:rPr>
              <w:t>Excludes pre-notified maintenance; measured at the API gateway</w:t>
            </w:r>
          </w:p>
        </w:tc>
      </w:tr>
      <w:tr>
        <w:tc>
          <w:tcPr>
            <w:tcW w:w="2500" w:type="dxa"/>
          </w:tcPr>
          <w:p>
            <w:pPr>
              <w:spacing w:after="0" w:before="0"/>
            </w:pPr>
            <w:r/>
            <w:r>
              <w:rPr>
                <w:rFonts w:ascii="Arial" w:hAnsi="Arial" w:cs="Arial"/>
                <w:b w:val="0"/>
                <w:sz w:val="17"/>
              </w:rPr>
              <w:t>Core transactional API latency</w:t>
            </w:r>
          </w:p>
        </w:tc>
        <w:tc>
          <w:tcPr>
            <w:tcW w:w="2100" w:type="dxa"/>
          </w:tcPr>
          <w:p>
            <w:pPr>
              <w:spacing w:after="0" w:before="0"/>
            </w:pPr>
            <w:r/>
            <w:r>
              <w:rPr>
                <w:rFonts w:ascii="Arial" w:hAnsi="Arial" w:cs="Arial"/>
                <w:b w:val="0"/>
                <w:sz w:val="17"/>
              </w:rPr>
              <w:t>p95 ≤ 300 ms, p99 ≤ 800 ms</w:t>
            </w:r>
          </w:p>
        </w:tc>
        <w:tc>
          <w:tcPr>
            <w:tcW w:w="4760" w:type="dxa"/>
          </w:tcPr>
          <w:p>
            <w:pPr>
              <w:spacing w:after="0" w:before="0"/>
            </w:pPr>
            <w:r/>
            <w:r>
              <w:rPr>
                <w:rFonts w:ascii="Arial" w:hAnsi="Arial" w:cs="Arial"/>
                <w:b w:val="0"/>
                <w:sz w:val="17"/>
              </w:rPr>
              <w:t>Read/write on loan, schedule, repayment endpoints under peak load</w:t>
            </w:r>
          </w:p>
        </w:tc>
      </w:tr>
      <w:tr>
        <w:tc>
          <w:tcPr>
            <w:tcW w:w="2500" w:type="dxa"/>
          </w:tcPr>
          <w:p>
            <w:pPr>
              <w:spacing w:after="0" w:before="0"/>
            </w:pPr>
            <w:r/>
            <w:r>
              <w:rPr>
                <w:rFonts w:ascii="Arial" w:hAnsi="Arial" w:cs="Arial"/>
                <w:b w:val="0"/>
                <w:sz w:val="17"/>
              </w:rPr>
              <w:t>Borrower portal page load</w:t>
            </w:r>
          </w:p>
        </w:tc>
        <w:tc>
          <w:tcPr>
            <w:tcW w:w="2100" w:type="dxa"/>
          </w:tcPr>
          <w:p>
            <w:pPr>
              <w:spacing w:after="0" w:before="0"/>
            </w:pPr>
            <w:r/>
            <w:r>
              <w:rPr>
                <w:rFonts w:ascii="Arial" w:hAnsi="Arial" w:cs="Arial"/>
                <w:b w:val="0"/>
                <w:sz w:val="17"/>
              </w:rPr>
              <w:t>≤ 2.0 s p95</w:t>
            </w:r>
          </w:p>
        </w:tc>
        <w:tc>
          <w:tcPr>
            <w:tcW w:w="4760" w:type="dxa"/>
          </w:tcPr>
          <w:p>
            <w:pPr>
              <w:spacing w:after="0" w:before="0"/>
            </w:pPr>
            <w:r/>
            <w:r>
              <w:rPr>
                <w:rFonts w:ascii="Arial" w:hAnsi="Arial" w:cs="Arial"/>
                <w:b w:val="0"/>
                <w:sz w:val="17"/>
              </w:rPr>
              <w:t>First contentful interaction on 4G/broadband</w:t>
            </w:r>
          </w:p>
        </w:tc>
      </w:tr>
      <w:tr>
        <w:tc>
          <w:tcPr>
            <w:tcW w:w="2500" w:type="dxa"/>
          </w:tcPr>
          <w:p>
            <w:pPr>
              <w:spacing w:after="0" w:before="0"/>
            </w:pPr>
            <w:r/>
            <w:r>
              <w:rPr>
                <w:rFonts w:ascii="Arial" w:hAnsi="Arial" w:cs="Arial"/>
                <w:b w:val="0"/>
                <w:sz w:val="17"/>
              </w:rPr>
              <w:t>Disbursement end-to-end</w:t>
            </w:r>
          </w:p>
        </w:tc>
        <w:tc>
          <w:tcPr>
            <w:tcW w:w="2100" w:type="dxa"/>
          </w:tcPr>
          <w:p>
            <w:pPr>
              <w:spacing w:after="0" w:before="0"/>
            </w:pPr>
            <w:r/>
            <w:r>
              <w:rPr>
                <w:rFonts w:ascii="Arial" w:hAnsi="Arial" w:cs="Arial"/>
                <w:b w:val="0"/>
                <w:sz w:val="17"/>
              </w:rPr>
              <w:t>≤ 5 s (excl. payment-rail settlement)</w:t>
            </w:r>
          </w:p>
        </w:tc>
        <w:tc>
          <w:tcPr>
            <w:tcW w:w="4760" w:type="dxa"/>
          </w:tcPr>
          <w:p>
            <w:pPr>
              <w:spacing w:after="0" w:before="0"/>
            </w:pPr>
            <w:r/>
            <w:r>
              <w:rPr>
                <w:rFonts w:ascii="Arial" w:hAnsi="Arial" w:cs="Arial"/>
                <w:b w:val="0"/>
                <w:sz w:val="17"/>
              </w:rPr>
              <w:t>Request → GL posting → response (Section 26.3, D4)</w:t>
            </w:r>
          </w:p>
        </w:tc>
      </w:tr>
      <w:tr>
        <w:tc>
          <w:tcPr>
            <w:tcW w:w="2500" w:type="dxa"/>
          </w:tcPr>
          <w:p>
            <w:pPr>
              <w:spacing w:after="0" w:before="0"/>
            </w:pPr>
            <w:r/>
            <w:r>
              <w:rPr>
                <w:rFonts w:ascii="Arial" w:hAnsi="Arial" w:cs="Arial"/>
                <w:b w:val="0"/>
                <w:sz w:val="17"/>
              </w:rPr>
              <w:t>Bureau pull round-trip</w:t>
            </w:r>
          </w:p>
        </w:tc>
        <w:tc>
          <w:tcPr>
            <w:tcW w:w="2100" w:type="dxa"/>
          </w:tcPr>
          <w:p>
            <w:pPr>
              <w:spacing w:after="0" w:before="0"/>
            </w:pPr>
            <w:r/>
            <w:r>
              <w:rPr>
                <w:rFonts w:ascii="Arial" w:hAnsi="Arial" w:cs="Arial"/>
                <w:b w:val="0"/>
                <w:sz w:val="17"/>
              </w:rPr>
              <w:t>≤ 8 s p95 or async (Section 40.4)</w:t>
            </w:r>
          </w:p>
        </w:tc>
        <w:tc>
          <w:tcPr>
            <w:tcW w:w="4760" w:type="dxa"/>
          </w:tcPr>
          <w:p>
            <w:pPr>
              <w:spacing w:after="0" w:before="0"/>
            </w:pPr>
            <w:r/>
            <w:r>
              <w:rPr>
                <w:rFonts w:ascii="Arial" w:hAnsi="Arial" w:cs="Arial"/>
                <w:b w:val="0"/>
                <w:sz w:val="17"/>
              </w:rPr>
              <w:t>Bounded by the CIC API; degrade to async on breach</w:t>
            </w:r>
          </w:p>
        </w:tc>
      </w:tr>
      <w:tr>
        <w:tc>
          <w:tcPr>
            <w:tcW w:w="2500" w:type="dxa"/>
          </w:tcPr>
          <w:p>
            <w:pPr>
              <w:spacing w:after="0" w:before="0"/>
            </w:pPr>
            <w:r/>
            <w:r>
              <w:rPr>
                <w:rFonts w:ascii="Arial" w:hAnsi="Arial" w:cs="Arial"/>
                <w:b w:val="0"/>
                <w:sz w:val="17"/>
              </w:rPr>
              <w:t>Sustained throughput</w:t>
            </w:r>
          </w:p>
        </w:tc>
        <w:tc>
          <w:tcPr>
            <w:tcW w:w="2100" w:type="dxa"/>
          </w:tcPr>
          <w:p>
            <w:pPr>
              <w:spacing w:after="0" w:before="0"/>
            </w:pPr>
            <w:r/>
            <w:r>
              <w:rPr>
                <w:rFonts w:ascii="Arial" w:hAnsi="Arial" w:cs="Arial"/>
                <w:b w:val="0"/>
                <w:sz w:val="17"/>
              </w:rPr>
              <w:t>≥ 500 TPS sustained, 2,000 TPS peak</w:t>
            </w:r>
          </w:p>
        </w:tc>
        <w:tc>
          <w:tcPr>
            <w:tcW w:w="4760" w:type="dxa"/>
          </w:tcPr>
          <w:p>
            <w:pPr>
              <w:spacing w:after="0" w:before="0"/>
            </w:pPr>
            <w:r/>
            <w:r>
              <w:rPr>
                <w:rFonts w:ascii="Arial" w:hAnsi="Arial" w:cs="Arial"/>
                <w:b w:val="0"/>
                <w:sz w:val="17"/>
              </w:rPr>
              <w:t>Mixed read/write; horizontally scalable to 2× via replicas</w:t>
            </w:r>
          </w:p>
        </w:tc>
      </w:tr>
      <w:tr>
        <w:tc>
          <w:tcPr>
            <w:tcW w:w="2500" w:type="dxa"/>
          </w:tcPr>
          <w:p>
            <w:pPr>
              <w:spacing w:after="0" w:before="0"/>
            </w:pPr>
            <w:r/>
            <w:r>
              <w:rPr>
                <w:rFonts w:ascii="Arial" w:hAnsi="Arial" w:cs="Arial"/>
                <w:b w:val="0"/>
                <w:sz w:val="17"/>
              </w:rPr>
              <w:t>Concurrent users</w:t>
            </w:r>
          </w:p>
        </w:tc>
        <w:tc>
          <w:tcPr>
            <w:tcW w:w="2100" w:type="dxa"/>
          </w:tcPr>
          <w:p>
            <w:pPr>
              <w:spacing w:after="0" w:before="0"/>
            </w:pPr>
            <w:r/>
            <w:r>
              <w:rPr>
                <w:rFonts w:ascii="Arial" w:hAnsi="Arial" w:cs="Arial"/>
                <w:b w:val="0"/>
                <w:sz w:val="17"/>
              </w:rPr>
              <w:t>3,000 internal + 50,000 borrower sessions</w:t>
            </w:r>
          </w:p>
        </w:tc>
        <w:tc>
          <w:tcPr>
            <w:tcW w:w="4760" w:type="dxa"/>
          </w:tcPr>
          <w:p>
            <w:pPr>
              <w:spacing w:after="0" w:before="0"/>
            </w:pPr>
            <w:r/>
            <w:r>
              <w:rPr>
                <w:rFonts w:ascii="Arial" w:hAnsi="Arial" w:cs="Arial"/>
                <w:b w:val="0"/>
                <w:sz w:val="17"/>
              </w:rPr>
              <w:t>Stateless services behind load balancer</w:t>
            </w:r>
          </w:p>
        </w:tc>
      </w:tr>
      <w:tr>
        <w:tc>
          <w:tcPr>
            <w:tcW w:w="2500" w:type="dxa"/>
          </w:tcPr>
          <w:p>
            <w:pPr>
              <w:spacing w:after="0" w:before="0"/>
            </w:pPr>
            <w:r/>
            <w:r>
              <w:rPr>
                <w:rFonts w:ascii="Arial" w:hAnsi="Arial" w:cs="Arial"/>
                <w:b w:val="0"/>
                <w:sz w:val="17"/>
              </w:rPr>
              <w:t>DR — RPO / RTO</w:t>
            </w:r>
          </w:p>
        </w:tc>
        <w:tc>
          <w:tcPr>
            <w:tcW w:w="2100" w:type="dxa"/>
          </w:tcPr>
          <w:p>
            <w:pPr>
              <w:spacing w:after="0" w:before="0"/>
            </w:pPr>
            <w:r/>
            <w:r>
              <w:rPr>
                <w:rFonts w:ascii="Arial" w:hAnsi="Arial" w:cs="Arial"/>
                <w:b w:val="0"/>
                <w:sz w:val="17"/>
              </w:rPr>
              <w:t>RPO ≤ 15 min, RTO ≤ 2 h</w:t>
            </w:r>
          </w:p>
        </w:tc>
        <w:tc>
          <w:tcPr>
            <w:tcW w:w="4760" w:type="dxa"/>
          </w:tcPr>
          <w:p>
            <w:pPr>
              <w:spacing w:after="0" w:before="0"/>
            </w:pPr>
            <w:r/>
            <w:r>
              <w:rPr>
                <w:rFonts w:ascii="Arial" w:hAnsi="Arial" w:cs="Arial"/>
                <w:b w:val="0"/>
                <w:sz w:val="17"/>
              </w:rPr>
              <w:t>Async replication to DR region; validated by half-yearly drills</w:t>
            </w:r>
          </w:p>
        </w:tc>
      </w:tr>
      <w:tr>
        <w:tc>
          <w:tcPr>
            <w:tcW w:w="2500" w:type="dxa"/>
          </w:tcPr>
          <w:p>
            <w:pPr>
              <w:spacing w:after="0" w:before="0"/>
            </w:pPr>
            <w:r/>
            <w:r>
              <w:rPr>
                <w:rFonts w:ascii="Arial" w:hAnsi="Arial" w:cs="Arial"/>
                <w:b w:val="0"/>
                <w:sz w:val="17"/>
              </w:rPr>
              <w:t>Data-quality SLA (bureau file)</w:t>
            </w:r>
          </w:p>
        </w:tc>
        <w:tc>
          <w:tcPr>
            <w:tcW w:w="2100" w:type="dxa"/>
          </w:tcPr>
          <w:p>
            <w:pPr>
              <w:spacing w:after="0" w:before="0"/>
            </w:pPr>
            <w:r/>
            <w:r>
              <w:rPr>
                <w:rFonts w:ascii="Arial" w:hAnsi="Arial" w:cs="Arial"/>
                <w:b w:val="0"/>
                <w:sz w:val="17"/>
              </w:rPr>
              <w:t>≥ 99.5% first-pass acceptance</w:t>
            </w:r>
          </w:p>
        </w:tc>
        <w:tc>
          <w:tcPr>
            <w:tcW w:w="4760" w:type="dxa"/>
          </w:tcPr>
          <w:p>
            <w:pPr>
              <w:spacing w:after="0" w:before="0"/>
            </w:pPr>
            <w:r/>
            <w:r>
              <w:rPr>
                <w:rFonts w:ascii="Arial" w:hAnsi="Arial" w:cs="Arial"/>
                <w:b w:val="0"/>
                <w:sz w:val="17"/>
              </w:rPr>
              <w:t>Rejected-record ratio per CIC cycle (Section 10.5)</w:t>
            </w:r>
          </w:p>
        </w:tc>
      </w:tr>
      <w:tr>
        <w:tc>
          <w:tcPr>
            <w:tcW w:w="2500" w:type="dxa"/>
          </w:tcPr>
          <w:p>
            <w:pPr>
              <w:spacing w:after="0" w:before="0"/>
            </w:pPr>
            <w:r/>
            <w:r>
              <w:rPr>
                <w:rFonts w:ascii="Arial" w:hAnsi="Arial" w:cs="Arial"/>
                <w:b w:val="0"/>
                <w:sz w:val="17"/>
              </w:rPr>
              <w:t>Notification delivery</w:t>
            </w:r>
          </w:p>
        </w:tc>
        <w:tc>
          <w:tcPr>
            <w:tcW w:w="2100" w:type="dxa"/>
          </w:tcPr>
          <w:p>
            <w:pPr>
              <w:spacing w:after="0" w:before="0"/>
            </w:pPr>
            <w:r/>
            <w:r>
              <w:rPr>
                <w:rFonts w:ascii="Arial" w:hAnsi="Arial" w:cs="Arial"/>
                <w:b w:val="0"/>
                <w:sz w:val="17"/>
              </w:rPr>
              <w:t>≥ 99% within 60 s (SMS/WhatsApp)</w:t>
            </w:r>
          </w:p>
        </w:tc>
        <w:tc>
          <w:tcPr>
            <w:tcW w:w="4760" w:type="dxa"/>
          </w:tcPr>
          <w:p>
            <w:pPr>
              <w:spacing w:after="0" w:before="0"/>
            </w:pPr>
            <w:r/>
            <w:r>
              <w:rPr>
                <w:rFonts w:ascii="Arial" w:hAnsi="Arial" w:cs="Arial"/>
                <w:b w:val="0"/>
                <w:sz w:val="17"/>
              </w:rPr>
              <w:t>Statutory notices tracked to delivery receipt</w:t>
            </w:r>
          </w:p>
        </w:tc>
      </w:tr>
    </w:tbl>
    <w:p/>
    <w:p>
      <w:pPr>
        <w:pStyle w:val="Heading2"/>
      </w:pPr>
      <w:r>
        <w:t>29.2 Batch Windows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100"/>
        <w:gridCol w:w="2400"/>
        <w:gridCol w:w="3860"/>
      </w:tblGrid>
      <w:tr>
        <w:tc>
          <w:tcPr>
            <w:tcW w:w="3100" w:type="dxa"/>
            <w:shd w:val="clear" w:color="auto" w:fill="1F4E78"/>
          </w:tcPr>
          <w:p>
            <w:pPr>
              <w:spacing w:after="0" w:before="0"/>
            </w:pPr>
            <w:r/>
            <w:r>
              <w:rPr>
                <w:rFonts w:ascii="Arial" w:hAnsi="Arial" w:cs="Arial"/>
                <w:b/>
                <w:color w:val="FFFFFF"/>
                <w:sz w:val="17"/>
              </w:rPr>
              <w:t>Batch job</w:t>
            </w:r>
          </w:p>
        </w:tc>
        <w:tc>
          <w:tcPr>
            <w:tcW w:w="2400" w:type="dxa"/>
            <w:shd w:val="clear" w:color="auto" w:fill="1F4E78"/>
          </w:tcPr>
          <w:p>
            <w:pPr>
              <w:spacing w:after="0" w:before="0"/>
            </w:pPr>
            <w:r/>
            <w:r>
              <w:rPr>
                <w:rFonts w:ascii="Arial" w:hAnsi="Arial" w:cs="Arial"/>
                <w:b/>
                <w:color w:val="FFFFFF"/>
                <w:sz w:val="17"/>
              </w:rPr>
              <w:t>Window / SLA</w:t>
            </w:r>
          </w:p>
        </w:tc>
        <w:tc>
          <w:tcPr>
            <w:tcW w:w="3860" w:type="dxa"/>
            <w:shd w:val="clear" w:color="auto" w:fill="1F4E78"/>
          </w:tcPr>
          <w:p>
            <w:pPr>
              <w:spacing w:after="0" w:before="0"/>
            </w:pPr>
            <w:r/>
            <w:r>
              <w:rPr>
                <w:rFonts w:ascii="Arial" w:hAnsi="Arial" w:cs="Arial"/>
                <w:b/>
                <w:color w:val="FFFFFF"/>
                <w:sz w:val="17"/>
              </w:rPr>
              <w:t>Upstream dependency</w:t>
            </w:r>
          </w:p>
        </w:tc>
      </w:tr>
      <w:tr>
        <w:tc>
          <w:tcPr>
            <w:tcW w:w="3100" w:type="dxa"/>
          </w:tcPr>
          <w:p>
            <w:pPr>
              <w:spacing w:after="0" w:before="0"/>
            </w:pPr>
            <w:r/>
            <w:r>
              <w:rPr>
                <w:rFonts w:ascii="Arial" w:hAnsi="Arial" w:cs="Arial"/>
                <w:b w:val="0"/>
                <w:sz w:val="17"/>
              </w:rPr>
              <w:t>Day-end (EOD) interest accrual</w:t>
            </w:r>
          </w:p>
        </w:tc>
        <w:tc>
          <w:tcPr>
            <w:tcW w:w="2400" w:type="dxa"/>
          </w:tcPr>
          <w:p>
            <w:pPr>
              <w:spacing w:after="0" w:before="0"/>
            </w:pPr>
            <w:r/>
            <w:r>
              <w:rPr>
                <w:rFonts w:ascii="Arial" w:hAnsi="Arial" w:cs="Arial"/>
                <w:b w:val="0"/>
                <w:sz w:val="17"/>
              </w:rPr>
              <w:t>Start 22:00, complete ≤ 02:00</w:t>
            </w:r>
          </w:p>
        </w:tc>
        <w:tc>
          <w:tcPr>
            <w:tcW w:w="3860" w:type="dxa"/>
          </w:tcPr>
          <w:p>
            <w:pPr>
              <w:spacing w:after="0" w:before="0"/>
            </w:pPr>
            <w:r/>
            <w:r>
              <w:rPr>
                <w:rFonts w:ascii="Arial" w:hAnsi="Arial" w:cs="Arial"/>
                <w:b w:val="0"/>
                <w:sz w:val="17"/>
              </w:rPr>
              <w:t>All value-dated transactions posted</w:t>
            </w:r>
          </w:p>
        </w:tc>
      </w:tr>
      <w:tr>
        <w:tc>
          <w:tcPr>
            <w:tcW w:w="3100" w:type="dxa"/>
          </w:tcPr>
          <w:p>
            <w:pPr>
              <w:spacing w:after="0" w:before="0"/>
            </w:pPr>
            <w:r/>
            <w:r>
              <w:rPr>
                <w:rFonts w:ascii="Arial" w:hAnsi="Arial" w:cs="Arial"/>
                <w:b w:val="0"/>
                <w:sz w:val="17"/>
              </w:rPr>
              <w:t>DPD / asset-classification run</w:t>
            </w:r>
          </w:p>
        </w:tc>
        <w:tc>
          <w:tcPr>
            <w:tcW w:w="2400" w:type="dxa"/>
          </w:tcPr>
          <w:p>
            <w:pPr>
              <w:spacing w:after="0" w:before="0"/>
            </w:pPr>
            <w:r/>
            <w:r>
              <w:rPr>
                <w:rFonts w:ascii="Arial" w:hAnsi="Arial" w:cs="Arial"/>
                <w:b w:val="0"/>
                <w:sz w:val="17"/>
              </w:rPr>
              <w:t>≤ 03:00 (post-accrual)</w:t>
            </w:r>
          </w:p>
        </w:tc>
        <w:tc>
          <w:tcPr>
            <w:tcW w:w="3860" w:type="dxa"/>
          </w:tcPr>
          <w:p>
            <w:pPr>
              <w:spacing w:after="0" w:before="0"/>
            </w:pPr>
            <w:r/>
            <w:r>
              <w:rPr>
                <w:rFonts w:ascii="Arial" w:hAnsi="Arial" w:cs="Arial"/>
                <w:b w:val="0"/>
                <w:sz w:val="17"/>
              </w:rPr>
              <w:t>EOD accrual complete (Section 9.4)</w:t>
            </w:r>
          </w:p>
        </w:tc>
      </w:tr>
      <w:tr>
        <w:tc>
          <w:tcPr>
            <w:tcW w:w="3100" w:type="dxa"/>
          </w:tcPr>
          <w:p>
            <w:pPr>
              <w:spacing w:after="0" w:before="0"/>
            </w:pPr>
            <w:r/>
            <w:r>
              <w:rPr>
                <w:rFonts w:ascii="Arial" w:hAnsi="Arial" w:cs="Arial"/>
                <w:b w:val="0"/>
                <w:sz w:val="17"/>
              </w:rPr>
              <w:t>Daily drawing-power revaluation (LAS/WHR)</w:t>
            </w:r>
          </w:p>
        </w:tc>
        <w:tc>
          <w:tcPr>
            <w:tcW w:w="2400" w:type="dxa"/>
          </w:tcPr>
          <w:p>
            <w:pPr>
              <w:spacing w:after="0" w:before="0"/>
            </w:pPr>
            <w:r/>
            <w:r>
              <w:rPr>
                <w:rFonts w:ascii="Arial" w:hAnsi="Arial" w:cs="Arial"/>
                <w:b w:val="0"/>
                <w:sz w:val="17"/>
              </w:rPr>
              <w:t>≤ 07:00 (before market open)</w:t>
            </w:r>
          </w:p>
        </w:tc>
        <w:tc>
          <w:tcPr>
            <w:tcW w:w="3860" w:type="dxa"/>
          </w:tcPr>
          <w:p>
            <w:pPr>
              <w:spacing w:after="0" w:before="0"/>
            </w:pPr>
            <w:r/>
            <w:r>
              <w:rPr>
                <w:rFonts w:ascii="Arial" w:hAnsi="Arial" w:cs="Arial"/>
                <w:b w:val="0"/>
                <w:sz w:val="17"/>
              </w:rPr>
              <w:t>Price/NAV feed received (D7)</w:t>
            </w:r>
          </w:p>
        </w:tc>
      </w:tr>
      <w:tr>
        <w:tc>
          <w:tcPr>
            <w:tcW w:w="3100" w:type="dxa"/>
          </w:tcPr>
          <w:p>
            <w:pPr>
              <w:spacing w:after="0" w:before="0"/>
            </w:pPr>
            <w:r/>
            <w:r>
              <w:rPr>
                <w:rFonts w:ascii="Arial" w:hAnsi="Arial" w:cs="Arial"/>
                <w:b w:val="0"/>
                <w:sz w:val="17"/>
              </w:rPr>
              <w:t>Month-end provisioning &amp; ECL</w:t>
            </w:r>
          </w:p>
        </w:tc>
        <w:tc>
          <w:tcPr>
            <w:tcW w:w="2400" w:type="dxa"/>
          </w:tcPr>
          <w:p>
            <w:pPr>
              <w:spacing w:after="0" w:before="0"/>
            </w:pPr>
            <w:r/>
            <w:r>
              <w:rPr>
                <w:rFonts w:ascii="Arial" w:hAnsi="Arial" w:cs="Arial"/>
                <w:b w:val="0"/>
                <w:sz w:val="17"/>
              </w:rPr>
              <w:t>≤ D+1 18:00</w:t>
            </w:r>
          </w:p>
        </w:tc>
        <w:tc>
          <w:tcPr>
            <w:tcW w:w="3860" w:type="dxa"/>
          </w:tcPr>
          <w:p>
            <w:pPr>
              <w:spacing w:after="0" w:before="0"/>
            </w:pPr>
            <w:r/>
            <w:r>
              <w:rPr>
                <w:rFonts w:ascii="Arial" w:hAnsi="Arial" w:cs="Arial"/>
                <w:b w:val="0"/>
                <w:sz w:val="17"/>
              </w:rPr>
              <w:t>Month-end classification frozen (Sections 9.4, 30)</w:t>
            </w:r>
          </w:p>
        </w:tc>
      </w:tr>
      <w:tr>
        <w:tc>
          <w:tcPr>
            <w:tcW w:w="3100" w:type="dxa"/>
          </w:tcPr>
          <w:p>
            <w:pPr>
              <w:spacing w:after="0" w:before="0"/>
            </w:pPr>
            <w:r/>
            <w:r>
              <w:rPr>
                <w:rFonts w:ascii="Arial" w:hAnsi="Arial" w:cs="Arial"/>
                <w:b w:val="0"/>
                <w:sz w:val="17"/>
              </w:rPr>
              <w:t>CIC monthly file generation</w:t>
            </w:r>
          </w:p>
        </w:tc>
        <w:tc>
          <w:tcPr>
            <w:tcW w:w="2400" w:type="dxa"/>
          </w:tcPr>
          <w:p>
            <w:pPr>
              <w:spacing w:after="0" w:before="0"/>
            </w:pPr>
            <w:r/>
            <w:r>
              <w:rPr>
                <w:rFonts w:ascii="Arial" w:hAnsi="Arial" w:cs="Arial"/>
                <w:b w:val="0"/>
                <w:sz w:val="17"/>
              </w:rPr>
              <w:t>≤ 5th of month; submit by 10th</w:t>
            </w:r>
          </w:p>
        </w:tc>
        <w:tc>
          <w:tcPr>
            <w:tcW w:w="3860" w:type="dxa"/>
          </w:tcPr>
          <w:p>
            <w:pPr>
              <w:spacing w:after="0" w:before="0"/>
            </w:pPr>
            <w:r/>
            <w:r>
              <w:rPr>
                <w:rFonts w:ascii="Arial" w:hAnsi="Arial" w:cs="Arial"/>
                <w:b w:val="0"/>
                <w:sz w:val="17"/>
              </w:rPr>
              <w:t>Prior-month servicing frozen (Section 10.5)</w:t>
            </w:r>
          </w:p>
        </w:tc>
      </w:tr>
      <w:tr>
        <w:tc>
          <w:tcPr>
            <w:tcW w:w="3100" w:type="dxa"/>
          </w:tcPr>
          <w:p>
            <w:pPr>
              <w:spacing w:after="0" w:before="0"/>
            </w:pPr>
            <w:r/>
            <w:r>
              <w:rPr>
                <w:rFonts w:ascii="Arial" w:hAnsi="Arial" w:cs="Arial"/>
                <w:b w:val="0"/>
                <w:sz w:val="17"/>
              </w:rPr>
              <w:t>Regulatory return generation</w:t>
            </w:r>
          </w:p>
        </w:tc>
        <w:tc>
          <w:tcPr>
            <w:tcW w:w="2400" w:type="dxa"/>
          </w:tcPr>
          <w:p>
            <w:pPr>
              <w:spacing w:after="0" w:before="0"/>
            </w:pPr>
            <w:r/>
            <w:r>
              <w:rPr>
                <w:rFonts w:ascii="Arial" w:hAnsi="Arial" w:cs="Arial"/>
                <w:b w:val="0"/>
                <w:sz w:val="17"/>
              </w:rPr>
              <w:t>≤ return due date − 3 working days</w:t>
            </w:r>
          </w:p>
        </w:tc>
        <w:tc>
          <w:tcPr>
            <w:tcW w:w="3860" w:type="dxa"/>
          </w:tcPr>
          <w:p>
            <w:pPr>
              <w:spacing w:after="0" w:before="0"/>
            </w:pPr>
            <w:r/>
            <w:r>
              <w:rPr>
                <w:rFonts w:ascii="Arial" w:hAnsi="Arial" w:cs="Arial"/>
                <w:b w:val="0"/>
                <w:sz w:val="17"/>
              </w:rPr>
              <w:t>Reporting mart refreshed (Section 9.3)</w:t>
            </w:r>
          </w:p>
        </w:tc>
      </w:tr>
      <w:tr>
        <w:tc>
          <w:tcPr>
            <w:tcW w:w="3100" w:type="dxa"/>
          </w:tcPr>
          <w:p>
            <w:pPr>
              <w:spacing w:after="0" w:before="0"/>
            </w:pPr>
            <w:r/>
            <w:r>
              <w:rPr>
                <w:rFonts w:ascii="Arial" w:hAnsi="Arial" w:cs="Arial"/>
                <w:b w:val="0"/>
                <w:sz w:val="17"/>
              </w:rPr>
              <w:t>Bank reconciliation (BRS)</w:t>
            </w:r>
          </w:p>
        </w:tc>
        <w:tc>
          <w:tcPr>
            <w:tcW w:w="2400" w:type="dxa"/>
          </w:tcPr>
          <w:p>
            <w:pPr>
              <w:spacing w:after="0" w:before="0"/>
            </w:pPr>
            <w:r/>
            <w:r>
              <w:rPr>
                <w:rFonts w:ascii="Arial" w:hAnsi="Arial" w:cs="Arial"/>
                <w:b w:val="0"/>
                <w:sz w:val="17"/>
              </w:rPr>
              <w:t>Daily by 11:00</w:t>
            </w:r>
          </w:p>
        </w:tc>
        <w:tc>
          <w:tcPr>
            <w:tcW w:w="3860" w:type="dxa"/>
          </w:tcPr>
          <w:p>
            <w:pPr>
              <w:spacing w:after="0" w:before="0"/>
            </w:pPr>
            <w:r/>
            <w:r>
              <w:rPr>
                <w:rFonts w:ascii="Arial" w:hAnsi="Arial" w:cs="Arial"/>
                <w:b w:val="0"/>
                <w:sz w:val="17"/>
              </w:rPr>
              <w:t>Bank statement feed ingested (Section 8.3)</w:t>
            </w:r>
          </w:p>
        </w:tc>
      </w:tr>
    </w:tbl>
    <w:p/>
    <w:p>
      <w:pPr>
        <w:pStyle w:val="Heading2"/>
      </w:pPr>
      <w:r>
        <w:t>29.3 Capacity Assumptions (baseline model)</w:t>
      </w:r>
    </w:p>
    <w:p>
      <w:pPr>
        <w:pStyle w:val="ListParagraph"/>
        <w:numPr>
          <w:ilvl w:val="0"/>
          <w:numId w:val="2"/>
        </w:numPr>
      </w:pPr>
      <w:r>
        <w:rPr>
          <w:rFonts w:ascii="Arial" w:hAnsi="Arial" w:cs="Arial"/>
          <w:rFonts w:ascii="Arial" w:hAnsi="Arial"/>
          <w:sz w:val="22"/>
        </w:rPr>
        <w:t>Portfolio: up to 2 million live loan accounts; 8 million parties; growth 30% YoY for 3 years — sizing must hold p95 latency at 3-year volume.</w:t>
      </w:r>
    </w:p>
    <w:p>
      <w:pPr>
        <w:pStyle w:val="ListParagraph"/>
        <w:numPr>
          <w:ilvl w:val="0"/>
          <w:numId w:val="2"/>
        </w:numPr>
      </w:pPr>
      <w:r>
        <w:rPr>
          <w:rFonts w:ascii="Arial" w:hAnsi="Arial" w:cs="Arial"/>
          <w:rFonts w:ascii="Arial" w:hAnsi="Arial"/>
          <w:sz w:val="22"/>
        </w:rPr>
        <w:t>Transaction volume: ~60 million posted ledger entries/year; peak collection day ~250,000 repayments (month-start EMI clustering).</w:t>
      </w:r>
    </w:p>
    <w:p>
      <w:pPr>
        <w:pStyle w:val="ListParagraph"/>
        <w:numPr>
          <w:ilvl w:val="0"/>
          <w:numId w:val="2"/>
        </w:numPr>
      </w:pPr>
      <w:r>
        <w:rPr>
          <w:rFonts w:ascii="Arial" w:hAnsi="Arial" w:cs="Arial"/>
          <w:rFonts w:ascii="Arial" w:hAnsi="Arial"/>
          <w:sz w:val="22"/>
        </w:rPr>
        <w:t>Document storage: ~15 KB–2 MB per document, ~20 documents/loan → model 8–12 TB at year 3, on WORM object storage with lifecycle tiering (Section 42.3).</w:t>
      </w:r>
    </w:p>
    <w:p>
      <w:pPr>
        <w:pStyle w:val="ListParagraph"/>
        <w:numPr>
          <w:ilvl w:val="0"/>
          <w:numId w:val="2"/>
        </w:numPr>
      </w:pPr>
      <w:r>
        <w:rPr>
          <w:rFonts w:ascii="Arial" w:hAnsi="Arial" w:cs="Arial"/>
          <w:rFonts w:ascii="Arial" w:hAnsi="Arial"/>
          <w:sz w:val="22"/>
        </w:rPr>
        <w:t>Reporting mart refresh: nightly full + near-real-time CRILC delta; replicas sized so MIS/regulatory queries never touch the OLTP primary.</w:t>
      </w:r>
    </w:p>
    <w:p>
      <w:pPr>
        <w:pStyle w:val="Heading1"/>
      </w:pPr>
      <w:r>
        <w:t>30. Ind AS 109 Expected Credit Loss (ECL) Model</w:t>
      </w:r>
    </w:p>
    <w:p>
      <w:r>
        <w:rPr>
          <w:rFonts w:ascii="Arial" w:hAnsi="Arial" w:cs="Arial"/>
          <w:rFonts w:ascii="Arial" w:hAnsi="Arial"/>
          <w:b w:val="0"/>
          <w:i w:val="0"/>
          <w:sz w:val="22"/>
        </w:rPr>
        <w:t>Sections 8.2 and 9.4 reference Ind AS 109 ECL but do not specify it. This section adds the staging model, the significant-increase-in-credit-risk (SICR) triggers, the PD × LGD × EAD computation, and the reconciliation to RBI’s IRAC prudential floor. It applies to Ind AS-compliant NBFCs; the engine is configurable so parameters can be recalibrated without code change.</w:t>
      </w:r>
    </w:p>
    <w:p>
      <w:pPr>
        <w:pStyle w:val="Heading2"/>
      </w:pPr>
      <w:r>
        <w:t>30.1 Three-Stage Staging</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300"/>
        <w:gridCol w:w="3400"/>
        <w:gridCol w:w="1800"/>
        <w:gridCol w:w="2860"/>
      </w:tblGrid>
      <w:tr>
        <w:tc>
          <w:tcPr>
            <w:tcW w:w="1300" w:type="dxa"/>
            <w:shd w:val="clear" w:color="auto" w:fill="1F4E78"/>
          </w:tcPr>
          <w:p>
            <w:pPr>
              <w:spacing w:after="0" w:before="0"/>
            </w:pPr>
            <w:r/>
            <w:r>
              <w:rPr>
                <w:rFonts w:ascii="Arial" w:hAnsi="Arial" w:cs="Arial"/>
                <w:b/>
                <w:color w:val="FFFFFF"/>
                <w:sz w:val="17"/>
              </w:rPr>
              <w:t>Stage</w:t>
            </w:r>
          </w:p>
        </w:tc>
        <w:tc>
          <w:tcPr>
            <w:tcW w:w="3400" w:type="dxa"/>
            <w:shd w:val="clear" w:color="auto" w:fill="1F4E78"/>
          </w:tcPr>
          <w:p>
            <w:pPr>
              <w:spacing w:after="0" w:before="0"/>
            </w:pPr>
            <w:r/>
            <w:r>
              <w:rPr>
                <w:rFonts w:ascii="Arial" w:hAnsi="Arial" w:cs="Arial"/>
                <w:b/>
                <w:color w:val="FFFFFF"/>
                <w:sz w:val="17"/>
              </w:rPr>
              <w:t>Definition</w:t>
            </w:r>
          </w:p>
        </w:tc>
        <w:tc>
          <w:tcPr>
            <w:tcW w:w="1800" w:type="dxa"/>
            <w:shd w:val="clear" w:color="auto" w:fill="1F4E78"/>
          </w:tcPr>
          <w:p>
            <w:pPr>
              <w:spacing w:after="0" w:before="0"/>
            </w:pPr>
            <w:r/>
            <w:r>
              <w:rPr>
                <w:rFonts w:ascii="Arial" w:hAnsi="Arial" w:cs="Arial"/>
                <w:b/>
                <w:color w:val="FFFFFF"/>
                <w:sz w:val="17"/>
              </w:rPr>
              <w:t>ECL basis</w:t>
            </w:r>
          </w:p>
        </w:tc>
        <w:tc>
          <w:tcPr>
            <w:tcW w:w="2860" w:type="dxa"/>
            <w:shd w:val="clear" w:color="auto" w:fill="1F4E78"/>
          </w:tcPr>
          <w:p>
            <w:pPr>
              <w:spacing w:after="0" w:before="0"/>
            </w:pPr>
            <w:r/>
            <w:r>
              <w:rPr>
                <w:rFonts w:ascii="Arial" w:hAnsi="Arial" w:cs="Arial"/>
                <w:b/>
                <w:color w:val="FFFFFF"/>
                <w:sz w:val="17"/>
              </w:rPr>
              <w:t>Interest recognition</w:t>
            </w:r>
          </w:p>
        </w:tc>
      </w:tr>
      <w:tr>
        <w:tc>
          <w:tcPr>
            <w:tcW w:w="1300" w:type="dxa"/>
          </w:tcPr>
          <w:p>
            <w:pPr>
              <w:spacing w:after="0" w:before="0"/>
            </w:pPr>
            <w:r/>
            <w:r>
              <w:rPr>
                <w:rFonts w:ascii="Arial" w:hAnsi="Arial" w:cs="Arial"/>
                <w:b w:val="0"/>
                <w:sz w:val="17"/>
              </w:rPr>
              <w:t>Stage 1</w:t>
            </w:r>
          </w:p>
        </w:tc>
        <w:tc>
          <w:tcPr>
            <w:tcW w:w="3400" w:type="dxa"/>
          </w:tcPr>
          <w:p>
            <w:pPr>
              <w:spacing w:after="0" w:before="0"/>
            </w:pPr>
            <w:r/>
            <w:r>
              <w:rPr>
                <w:rFonts w:ascii="Arial" w:hAnsi="Arial" w:cs="Arial"/>
                <w:b w:val="0"/>
                <w:sz w:val="17"/>
              </w:rPr>
              <w:t>Performing; no significant increase in credit risk since origination</w:t>
            </w:r>
          </w:p>
        </w:tc>
        <w:tc>
          <w:tcPr>
            <w:tcW w:w="1800" w:type="dxa"/>
          </w:tcPr>
          <w:p>
            <w:pPr>
              <w:spacing w:after="0" w:before="0"/>
            </w:pPr>
            <w:r/>
            <w:r>
              <w:rPr>
                <w:rFonts w:ascii="Arial" w:hAnsi="Arial" w:cs="Arial"/>
                <w:b w:val="0"/>
                <w:sz w:val="17"/>
              </w:rPr>
              <w:t>12-month ECL</w:t>
            </w:r>
          </w:p>
        </w:tc>
        <w:tc>
          <w:tcPr>
            <w:tcW w:w="2860" w:type="dxa"/>
          </w:tcPr>
          <w:p>
            <w:pPr>
              <w:spacing w:after="0" w:before="0"/>
            </w:pPr>
            <w:r/>
            <w:r>
              <w:rPr>
                <w:rFonts w:ascii="Arial" w:hAnsi="Arial" w:cs="Arial"/>
                <w:b w:val="0"/>
                <w:sz w:val="17"/>
              </w:rPr>
              <w:t>On gross carrying amount (EIR)</w:t>
            </w:r>
          </w:p>
        </w:tc>
      </w:tr>
      <w:tr>
        <w:tc>
          <w:tcPr>
            <w:tcW w:w="1300" w:type="dxa"/>
          </w:tcPr>
          <w:p>
            <w:pPr>
              <w:spacing w:after="0" w:before="0"/>
            </w:pPr>
            <w:r/>
            <w:r>
              <w:rPr>
                <w:rFonts w:ascii="Arial" w:hAnsi="Arial" w:cs="Arial"/>
                <w:b w:val="0"/>
                <w:sz w:val="17"/>
              </w:rPr>
              <w:t>Stage 2</w:t>
            </w:r>
          </w:p>
        </w:tc>
        <w:tc>
          <w:tcPr>
            <w:tcW w:w="3400" w:type="dxa"/>
          </w:tcPr>
          <w:p>
            <w:pPr>
              <w:spacing w:after="0" w:before="0"/>
            </w:pPr>
            <w:r/>
            <w:r>
              <w:rPr>
                <w:rFonts w:ascii="Arial" w:hAnsi="Arial" w:cs="Arial"/>
                <w:b w:val="0"/>
                <w:sz w:val="17"/>
              </w:rPr>
              <w:t>Significant increase in credit risk but not credit-impaired</w:t>
            </w:r>
          </w:p>
        </w:tc>
        <w:tc>
          <w:tcPr>
            <w:tcW w:w="1800" w:type="dxa"/>
          </w:tcPr>
          <w:p>
            <w:pPr>
              <w:spacing w:after="0" w:before="0"/>
            </w:pPr>
            <w:r/>
            <w:r>
              <w:rPr>
                <w:rFonts w:ascii="Arial" w:hAnsi="Arial" w:cs="Arial"/>
                <w:b w:val="0"/>
                <w:sz w:val="17"/>
              </w:rPr>
              <w:t>Lifetime ECL</w:t>
            </w:r>
          </w:p>
        </w:tc>
        <w:tc>
          <w:tcPr>
            <w:tcW w:w="2860" w:type="dxa"/>
          </w:tcPr>
          <w:p>
            <w:pPr>
              <w:spacing w:after="0" w:before="0"/>
            </w:pPr>
            <w:r/>
            <w:r>
              <w:rPr>
                <w:rFonts w:ascii="Arial" w:hAnsi="Arial" w:cs="Arial"/>
                <w:b w:val="0"/>
                <w:sz w:val="17"/>
              </w:rPr>
              <w:t>On gross carrying amount (EIR)</w:t>
            </w:r>
          </w:p>
        </w:tc>
      </w:tr>
      <w:tr>
        <w:tc>
          <w:tcPr>
            <w:tcW w:w="1300" w:type="dxa"/>
          </w:tcPr>
          <w:p>
            <w:pPr>
              <w:spacing w:after="0" w:before="0"/>
            </w:pPr>
            <w:r/>
            <w:r>
              <w:rPr>
                <w:rFonts w:ascii="Arial" w:hAnsi="Arial" w:cs="Arial"/>
                <w:b w:val="0"/>
                <w:sz w:val="17"/>
              </w:rPr>
              <w:t>Stage 3</w:t>
            </w:r>
          </w:p>
        </w:tc>
        <w:tc>
          <w:tcPr>
            <w:tcW w:w="3400" w:type="dxa"/>
          </w:tcPr>
          <w:p>
            <w:pPr>
              <w:spacing w:after="0" w:before="0"/>
            </w:pPr>
            <w:r/>
            <w:r>
              <w:rPr>
                <w:rFonts w:ascii="Arial" w:hAnsi="Arial" w:cs="Arial"/>
                <w:b w:val="0"/>
                <w:sz w:val="17"/>
              </w:rPr>
              <w:t>Credit-impaired (NPA)</w:t>
            </w:r>
          </w:p>
        </w:tc>
        <w:tc>
          <w:tcPr>
            <w:tcW w:w="1800" w:type="dxa"/>
          </w:tcPr>
          <w:p>
            <w:pPr>
              <w:spacing w:after="0" w:before="0"/>
            </w:pPr>
            <w:r/>
            <w:r>
              <w:rPr>
                <w:rFonts w:ascii="Arial" w:hAnsi="Arial" w:cs="Arial"/>
                <w:b w:val="0"/>
                <w:sz w:val="17"/>
              </w:rPr>
              <w:t>Lifetime ECL</w:t>
            </w:r>
          </w:p>
        </w:tc>
        <w:tc>
          <w:tcPr>
            <w:tcW w:w="2860" w:type="dxa"/>
          </w:tcPr>
          <w:p>
            <w:pPr>
              <w:spacing w:after="0" w:before="0"/>
            </w:pPr>
            <w:r/>
            <w:r>
              <w:rPr>
                <w:rFonts w:ascii="Arial" w:hAnsi="Arial" w:cs="Arial"/>
                <w:b w:val="0"/>
                <w:sz w:val="17"/>
              </w:rPr>
              <w:t>On net carrying amount; realisation basis (Section 33)</w:t>
            </w:r>
          </w:p>
        </w:tc>
      </w:tr>
    </w:tbl>
    <w:p/>
    <w:p>
      <w:pPr>
        <w:pStyle w:val="Heading2"/>
      </w:pPr>
      <w:r>
        <w:t>30.2 SICR Triggers (Stage 1 → Stage 2)</w:t>
      </w:r>
    </w:p>
    <w:p>
      <w:pPr>
        <w:pStyle w:val="ListParagraph"/>
        <w:numPr>
          <w:ilvl w:val="0"/>
          <w:numId w:val="2"/>
        </w:numPr>
      </w:pPr>
      <w:r>
        <w:rPr>
          <w:rFonts w:ascii="Arial" w:hAnsi="Arial" w:cs="Arial"/>
          <w:rFonts w:ascii="Arial" w:hAnsi="Arial"/>
          <w:sz w:val="22"/>
        </w:rPr>
        <w:t>Backstop: 30+ days past due (rebuttable presumption of SICR per Ind AS 109).</w:t>
      </w:r>
    </w:p>
    <w:p>
      <w:pPr>
        <w:pStyle w:val="ListParagraph"/>
        <w:numPr>
          <w:ilvl w:val="0"/>
          <w:numId w:val="2"/>
        </w:numPr>
      </w:pPr>
      <w:r>
        <w:rPr>
          <w:rFonts w:ascii="Arial" w:hAnsi="Arial" w:cs="Arial"/>
          <w:rFonts w:ascii="Arial" w:hAnsi="Arial"/>
          <w:sz w:val="22"/>
        </w:rPr>
        <w:t>Watchlist/EWS flag raised (Section 37), covenant breach, or internal risk-grade downgrade beyond a configured notch threshold.</w:t>
      </w:r>
    </w:p>
    <w:p>
      <w:pPr>
        <w:pStyle w:val="ListParagraph"/>
        <w:numPr>
          <w:ilvl w:val="0"/>
          <w:numId w:val="2"/>
        </w:numPr>
      </w:pPr>
      <w:r>
        <w:rPr>
          <w:rFonts w:ascii="Arial" w:hAnsi="Arial" w:cs="Arial"/>
          <w:rFonts w:ascii="Arial" w:hAnsi="Arial"/>
          <w:sz w:val="22"/>
        </w:rPr>
        <w:t>Restructuring/forbearance (Section 32.2), or a material fall in bureau score / cash-flow indicators (AA, GST, UPI analytics — Section 3.33).</w:t>
      </w:r>
    </w:p>
    <w:p>
      <w:pPr>
        <w:pStyle w:val="ListParagraph"/>
        <w:numPr>
          <w:ilvl w:val="0"/>
          <w:numId w:val="2"/>
        </w:numPr>
      </w:pPr>
      <w:r>
        <w:rPr>
          <w:rFonts w:ascii="Arial" w:hAnsi="Arial" w:cs="Arial"/>
          <w:rFonts w:ascii="Arial" w:hAnsi="Arial"/>
          <w:sz w:val="22"/>
        </w:rPr>
        <w:t>Move to Stage 3 on the NPA definition in Section 9.4 (90+ DPD or qualitative impairment); upgrade only after a cooling/cure period per policy.</w:t>
      </w:r>
    </w:p>
    <w:p>
      <w:pPr>
        <w:pStyle w:val="Heading2"/>
      </w:pPr>
      <w:r>
        <w:t>30.3 ECL Computation</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ECL = Σ ( PD_t × LGD_t × EAD_t × DF_t )</w:t>
            </w:r>
            <w:r>
              <w:rPr>
                <w:rFonts w:ascii="Consolas" w:hAnsi="Consolas" w:cs="Consolas"/>
                <w:b w:val="0"/>
                <w:sz w:val="19"/>
              </w:rPr>
              <w:br/>
              <w:t xml:space="preserve">  PD  = probability of default (12-month for Stage 1, lifetime for Stage 2/3)</w:t>
            </w:r>
            <w:r>
              <w:rPr>
                <w:rFonts w:ascii="Consolas" w:hAnsi="Consolas" w:cs="Consolas"/>
                <w:b w:val="0"/>
                <w:sz w:val="19"/>
              </w:rPr>
              <w:br/>
              <w:t xml:space="preserve">  LGD = loss given default = 1 − recovery rate (collateral, cures, cost of recovery)</w:t>
            </w:r>
            <w:r>
              <w:rPr>
                <w:rFonts w:ascii="Consolas" w:hAnsi="Consolas" w:cs="Consolas"/>
                <w:b w:val="0"/>
                <w:sz w:val="19"/>
              </w:rPr>
              <w:br/>
              <w:t xml:space="preserve">  EAD = exposure at default (outstanding + expected drawdown for revolving lines)</w:t>
            </w:r>
            <w:r>
              <w:rPr>
                <w:rFonts w:ascii="Consolas" w:hAnsi="Consolas" w:cs="Consolas"/>
                <w:b w:val="0"/>
                <w:sz w:val="19"/>
              </w:rPr>
              <w:br/>
              <w:t xml:space="preserve">  DF  = discount factor at the original Effective Interest Rate (Section 24.10)</w:t>
            </w:r>
          </w:p>
        </w:tc>
      </w:tr>
    </w:tbl>
    <w:p/>
    <w:p>
      <w:pPr>
        <w:pStyle w:val="ListParagraph"/>
        <w:numPr>
          <w:ilvl w:val="0"/>
          <w:numId w:val="2"/>
        </w:numPr>
      </w:pPr>
      <w:r>
        <w:rPr>
          <w:rFonts w:ascii="Arial" w:hAnsi="Arial" w:cs="Arial"/>
          <w:rFonts w:ascii="Arial" w:hAnsi="Arial"/>
          <w:sz w:val="22"/>
        </w:rPr>
        <w:t>Retail pools are modelled by homogeneous segment (product × bucket × vintage) using a provision-matrix / roll-rate approach; wholesale/large exposures may be assessed individually.</w:t>
      </w:r>
    </w:p>
    <w:p>
      <w:pPr>
        <w:pStyle w:val="ListParagraph"/>
        <w:numPr>
          <w:ilvl w:val="0"/>
          <w:numId w:val="2"/>
        </w:numPr>
      </w:pPr>
      <w:r>
        <w:rPr>
          <w:rFonts w:ascii="Arial" w:hAnsi="Arial" w:cs="Arial"/>
          <w:rFonts w:ascii="Arial" w:hAnsi="Arial"/>
          <w:sz w:val="22"/>
        </w:rPr>
        <w:t>Forward-looking overlay: PDs are adjusted for macro scenarios (base/upside/downside, probability-weighted) with a documented management overlay and governance sign-off.</w:t>
      </w:r>
    </w:p>
    <w:p>
      <w:pPr>
        <w:pStyle w:val="Heading2"/>
      </w:pPr>
      <w:r>
        <w:t>30.4 Worked Example &amp; IRAC Reconciliation</w:t>
      </w:r>
    </w:p>
    <w:p>
      <w:r>
        <w:rPr>
          <w:rFonts w:ascii="Arial" w:hAnsi="Arial" w:cs="Arial"/>
          <w:rFonts w:ascii="Arial" w:hAnsi="Arial"/>
          <w:b w:val="0"/>
          <w:i w:val="0"/>
          <w:sz w:val="22"/>
        </w:rPr>
        <w:t>Applying illustrative parameters to the same ₹50,00,000 sample used in Section 24.12: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500"/>
        <w:gridCol w:w="1400"/>
        <w:gridCol w:w="900"/>
        <w:gridCol w:w="2660"/>
      </w:tblGrid>
      <w:tr>
        <w:tc>
          <w:tcPr>
            <w:tcW w:w="2900" w:type="dxa"/>
            <w:shd w:val="clear" w:color="auto" w:fill="1F4E78"/>
          </w:tcPr>
          <w:p>
            <w:pPr>
              <w:spacing w:after="0" w:before="0"/>
            </w:pPr>
            <w:r/>
            <w:r>
              <w:rPr>
                <w:rFonts w:ascii="Arial" w:hAnsi="Arial" w:cs="Arial"/>
                <w:b/>
                <w:color w:val="FFFFFF"/>
                <w:sz w:val="17"/>
              </w:rPr>
              <w:t>Segment</w:t>
            </w:r>
          </w:p>
        </w:tc>
        <w:tc>
          <w:tcPr>
            <w:tcW w:w="1500" w:type="dxa"/>
            <w:shd w:val="clear" w:color="auto" w:fill="1F4E78"/>
          </w:tcPr>
          <w:p>
            <w:pPr>
              <w:spacing w:after="0" w:before="0"/>
            </w:pPr>
            <w:r/>
            <w:r>
              <w:rPr>
                <w:rFonts w:ascii="Arial" w:hAnsi="Arial" w:cs="Arial"/>
                <w:b/>
                <w:color w:val="FFFFFF"/>
                <w:sz w:val="17"/>
              </w:rPr>
              <w:t>EAD</w:t>
            </w:r>
          </w:p>
        </w:tc>
        <w:tc>
          <w:tcPr>
            <w:tcW w:w="1400" w:type="dxa"/>
            <w:shd w:val="clear" w:color="auto" w:fill="1F4E78"/>
          </w:tcPr>
          <w:p>
            <w:pPr>
              <w:spacing w:after="0" w:before="0"/>
            </w:pPr>
            <w:r/>
            <w:r>
              <w:rPr>
                <w:rFonts w:ascii="Arial" w:hAnsi="Arial" w:cs="Arial"/>
                <w:b/>
                <w:color w:val="FFFFFF"/>
                <w:sz w:val="17"/>
              </w:rPr>
              <w:t>PD</w:t>
            </w:r>
          </w:p>
        </w:tc>
        <w:tc>
          <w:tcPr>
            <w:tcW w:w="900" w:type="dxa"/>
            <w:shd w:val="clear" w:color="auto" w:fill="1F4E78"/>
          </w:tcPr>
          <w:p>
            <w:pPr>
              <w:spacing w:after="0" w:before="0"/>
            </w:pPr>
            <w:r/>
            <w:r>
              <w:rPr>
                <w:rFonts w:ascii="Arial" w:hAnsi="Arial" w:cs="Arial"/>
                <w:b/>
                <w:color w:val="FFFFFF"/>
                <w:sz w:val="17"/>
              </w:rPr>
              <w:t>LGD</w:t>
            </w:r>
          </w:p>
        </w:tc>
        <w:tc>
          <w:tcPr>
            <w:tcW w:w="2660" w:type="dxa"/>
            <w:shd w:val="clear" w:color="auto" w:fill="1F4E78"/>
          </w:tcPr>
          <w:p>
            <w:pPr>
              <w:spacing w:after="0" w:before="0"/>
            </w:pPr>
            <w:r/>
            <w:r>
              <w:rPr>
                <w:rFonts w:ascii="Arial" w:hAnsi="Arial" w:cs="Arial"/>
                <w:b/>
                <w:color w:val="FFFFFF"/>
                <w:sz w:val="17"/>
              </w:rPr>
              <w:t>ECL</w:t>
            </w:r>
          </w:p>
        </w:tc>
      </w:tr>
      <w:tr>
        <w:tc>
          <w:tcPr>
            <w:tcW w:w="2900" w:type="dxa"/>
          </w:tcPr>
          <w:p>
            <w:pPr>
              <w:spacing w:after="0" w:before="0"/>
            </w:pPr>
            <w:r/>
            <w:r>
              <w:rPr>
                <w:rFonts w:ascii="Arial" w:hAnsi="Arial" w:cs="Arial"/>
                <w:b w:val="0"/>
                <w:sz w:val="17"/>
              </w:rPr>
              <w:t>Stage 1 (standard)</w:t>
            </w:r>
          </w:p>
        </w:tc>
        <w:tc>
          <w:tcPr>
            <w:tcW w:w="1500" w:type="dxa"/>
          </w:tcPr>
          <w:p>
            <w:pPr>
              <w:spacing w:after="0" w:before="0"/>
            </w:pPr>
            <w:r/>
            <w:r>
              <w:rPr>
                <w:rFonts w:ascii="Arial" w:hAnsi="Arial" w:cs="Arial"/>
                <w:b w:val="0"/>
                <w:sz w:val="17"/>
              </w:rPr>
              <w:t>₹42,00,000</w:t>
            </w:r>
          </w:p>
        </w:tc>
        <w:tc>
          <w:tcPr>
            <w:tcW w:w="1400" w:type="dxa"/>
          </w:tcPr>
          <w:p>
            <w:pPr>
              <w:spacing w:after="0" w:before="0"/>
            </w:pPr>
            <w:r/>
            <w:r>
              <w:rPr>
                <w:rFonts w:ascii="Arial" w:hAnsi="Arial" w:cs="Arial"/>
                <w:b w:val="0"/>
                <w:sz w:val="17"/>
              </w:rPr>
              <w:t>1.5% (12-mo)</w:t>
            </w:r>
          </w:p>
        </w:tc>
        <w:tc>
          <w:tcPr>
            <w:tcW w:w="900" w:type="dxa"/>
          </w:tcPr>
          <w:p>
            <w:pPr>
              <w:spacing w:after="0" w:before="0"/>
            </w:pPr>
            <w:r/>
            <w:r>
              <w:rPr>
                <w:rFonts w:ascii="Arial" w:hAnsi="Arial" w:cs="Arial"/>
                <w:b w:val="0"/>
                <w:sz w:val="17"/>
              </w:rPr>
              <w:t>35%</w:t>
            </w:r>
          </w:p>
        </w:tc>
        <w:tc>
          <w:tcPr>
            <w:tcW w:w="2660" w:type="dxa"/>
          </w:tcPr>
          <w:p>
            <w:pPr>
              <w:spacing w:after="0" w:before="0"/>
            </w:pPr>
            <w:r/>
            <w:r>
              <w:rPr>
                <w:rFonts w:ascii="Arial" w:hAnsi="Arial" w:cs="Arial"/>
                <w:b w:val="0"/>
                <w:sz w:val="17"/>
              </w:rPr>
              <w:t>₹22,050</w:t>
            </w:r>
          </w:p>
        </w:tc>
      </w:tr>
      <w:tr>
        <w:tc>
          <w:tcPr>
            <w:tcW w:w="2900" w:type="dxa"/>
          </w:tcPr>
          <w:p>
            <w:pPr>
              <w:spacing w:after="0" w:before="0"/>
            </w:pPr>
            <w:r/>
            <w:r>
              <w:rPr>
                <w:rFonts w:ascii="Arial" w:hAnsi="Arial" w:cs="Arial"/>
                <w:b w:val="0"/>
                <w:sz w:val="17"/>
              </w:rPr>
              <w:t>Stage 2 (SMA/underperforming)</w:t>
            </w:r>
          </w:p>
        </w:tc>
        <w:tc>
          <w:tcPr>
            <w:tcW w:w="1500" w:type="dxa"/>
          </w:tcPr>
          <w:p>
            <w:pPr>
              <w:spacing w:after="0" w:before="0"/>
            </w:pPr>
            <w:r/>
            <w:r>
              <w:rPr>
                <w:rFonts w:ascii="Arial" w:hAnsi="Arial" w:cs="Arial"/>
                <w:b w:val="0"/>
                <w:sz w:val="17"/>
              </w:rPr>
              <w:t>₹5,00,000</w:t>
            </w:r>
          </w:p>
        </w:tc>
        <w:tc>
          <w:tcPr>
            <w:tcW w:w="1400" w:type="dxa"/>
          </w:tcPr>
          <w:p>
            <w:pPr>
              <w:spacing w:after="0" w:before="0"/>
            </w:pPr>
            <w:r/>
            <w:r>
              <w:rPr>
                <w:rFonts w:ascii="Arial" w:hAnsi="Arial" w:cs="Arial"/>
                <w:b w:val="0"/>
                <w:sz w:val="17"/>
              </w:rPr>
              <w:t>12% (lifetime)</w:t>
            </w:r>
          </w:p>
        </w:tc>
        <w:tc>
          <w:tcPr>
            <w:tcW w:w="900" w:type="dxa"/>
          </w:tcPr>
          <w:p>
            <w:pPr>
              <w:spacing w:after="0" w:before="0"/>
            </w:pPr>
            <w:r/>
            <w:r>
              <w:rPr>
                <w:rFonts w:ascii="Arial" w:hAnsi="Arial" w:cs="Arial"/>
                <w:b w:val="0"/>
                <w:sz w:val="17"/>
              </w:rPr>
              <w:t>40%</w:t>
            </w:r>
          </w:p>
        </w:tc>
        <w:tc>
          <w:tcPr>
            <w:tcW w:w="2660" w:type="dxa"/>
          </w:tcPr>
          <w:p>
            <w:pPr>
              <w:spacing w:after="0" w:before="0"/>
            </w:pPr>
            <w:r/>
            <w:r>
              <w:rPr>
                <w:rFonts w:ascii="Arial" w:hAnsi="Arial" w:cs="Arial"/>
                <w:b w:val="0"/>
                <w:sz w:val="17"/>
              </w:rPr>
              <w:t>₹24,000</w:t>
            </w:r>
          </w:p>
        </w:tc>
      </w:tr>
      <w:tr>
        <w:tc>
          <w:tcPr>
            <w:tcW w:w="2900" w:type="dxa"/>
          </w:tcPr>
          <w:p>
            <w:pPr>
              <w:spacing w:after="0" w:before="0"/>
            </w:pPr>
            <w:r/>
            <w:r>
              <w:rPr>
                <w:rFonts w:ascii="Arial" w:hAnsi="Arial" w:cs="Arial"/>
                <w:b w:val="0"/>
                <w:sz w:val="17"/>
              </w:rPr>
              <w:t>Stage 3 (NPA)</w:t>
            </w:r>
          </w:p>
        </w:tc>
        <w:tc>
          <w:tcPr>
            <w:tcW w:w="1500" w:type="dxa"/>
          </w:tcPr>
          <w:p>
            <w:pPr>
              <w:spacing w:after="0" w:before="0"/>
            </w:pPr>
            <w:r/>
            <w:r>
              <w:rPr>
                <w:rFonts w:ascii="Arial" w:hAnsi="Arial" w:cs="Arial"/>
                <w:b w:val="0"/>
                <w:sz w:val="17"/>
              </w:rPr>
              <w:t>₹3,00,000</w:t>
            </w:r>
          </w:p>
        </w:tc>
        <w:tc>
          <w:tcPr>
            <w:tcW w:w="1400" w:type="dxa"/>
          </w:tcPr>
          <w:p>
            <w:pPr>
              <w:spacing w:after="0" w:before="0"/>
            </w:pPr>
            <w:r/>
            <w:r>
              <w:rPr>
                <w:rFonts w:ascii="Arial" w:hAnsi="Arial" w:cs="Arial"/>
                <w:b w:val="0"/>
                <w:sz w:val="17"/>
              </w:rPr>
              <w:t>100%</w:t>
            </w:r>
          </w:p>
        </w:tc>
        <w:tc>
          <w:tcPr>
            <w:tcW w:w="900" w:type="dxa"/>
          </w:tcPr>
          <w:p>
            <w:pPr>
              <w:spacing w:after="0" w:before="0"/>
            </w:pPr>
            <w:r/>
            <w:r>
              <w:rPr>
                <w:rFonts w:ascii="Arial" w:hAnsi="Arial" w:cs="Arial"/>
                <w:b w:val="0"/>
                <w:sz w:val="17"/>
              </w:rPr>
              <w:t>60%</w:t>
            </w:r>
          </w:p>
        </w:tc>
        <w:tc>
          <w:tcPr>
            <w:tcW w:w="2660" w:type="dxa"/>
          </w:tcPr>
          <w:p>
            <w:pPr>
              <w:spacing w:after="0" w:before="0"/>
            </w:pPr>
            <w:r/>
            <w:r>
              <w:rPr>
                <w:rFonts w:ascii="Arial" w:hAnsi="Arial" w:cs="Arial"/>
                <w:b w:val="0"/>
                <w:sz w:val="17"/>
              </w:rPr>
              <w:t>₹1,80,000</w:t>
            </w:r>
          </w:p>
        </w:tc>
      </w:tr>
      <w:tr>
        <w:tc>
          <w:tcPr>
            <w:tcW w:w="2900" w:type="dxa"/>
          </w:tcPr>
          <w:p>
            <w:pPr>
              <w:spacing w:after="0" w:before="0"/>
            </w:pPr>
            <w:r/>
            <w:r>
              <w:rPr>
                <w:rFonts w:ascii="Arial" w:hAnsi="Arial" w:cs="Arial"/>
                <w:b w:val="0"/>
                <w:sz w:val="17"/>
              </w:rPr>
              <w:t>Total ECL</w:t>
            </w:r>
          </w:p>
        </w:tc>
        <w:tc>
          <w:tcPr>
            <w:tcW w:w="1500" w:type="dxa"/>
          </w:tcPr>
          <w:p>
            <w:pPr>
              <w:spacing w:after="0" w:before="0"/>
            </w:pPr>
            <w:r/>
            <w:r>
              <w:rPr>
                <w:rFonts w:ascii="Arial" w:hAnsi="Arial" w:cs="Arial"/>
                <w:b w:val="0"/>
                <w:sz w:val="17"/>
              </w:rPr>
              <w:t>₹50,00,000</w:t>
            </w:r>
          </w:p>
        </w:tc>
        <w:tc>
          <w:tcPr>
            <w:tcW w:w="1400" w:type="dxa"/>
          </w:tcPr>
          <w:p>
            <w:pPr>
              <w:spacing w:after="0" w:before="0"/>
            </w:pPr>
            <w:r/>
            <w:r>
              <w:rPr>
                <w:rFonts w:ascii="Arial" w:hAnsi="Arial" w:cs="Arial"/>
                <w:b w:val="0"/>
                <w:sz w:val="17"/>
              </w:rPr>
              <w:t>—</w:t>
            </w:r>
          </w:p>
        </w:tc>
        <w:tc>
          <w:tcPr>
            <w:tcW w:w="900" w:type="dxa"/>
          </w:tcPr>
          <w:p>
            <w:pPr>
              <w:spacing w:after="0" w:before="0"/>
            </w:pPr>
            <w:r/>
            <w:r>
              <w:rPr>
                <w:rFonts w:ascii="Arial" w:hAnsi="Arial" w:cs="Arial"/>
                <w:b w:val="0"/>
                <w:sz w:val="17"/>
              </w:rPr>
              <w:t>—</w:t>
            </w:r>
          </w:p>
        </w:tc>
        <w:tc>
          <w:tcPr>
            <w:tcW w:w="2660" w:type="dxa"/>
          </w:tcPr>
          <w:p>
            <w:pPr>
              <w:spacing w:after="0" w:before="0"/>
            </w:pPr>
            <w:r/>
            <w:r>
              <w:rPr>
                <w:rFonts w:ascii="Arial" w:hAnsi="Arial" w:cs="Arial"/>
                <w:b w:val="0"/>
                <w:sz w:val="17"/>
              </w:rPr>
              <w:t>₹2,26,050</w:t>
            </w:r>
          </w:p>
        </w:tc>
      </w:tr>
    </w:tbl>
    <w:p/>
    <w:p>
      <w:r>
        <w:rPr>
          <w:rFonts w:ascii="Arial" w:hAnsi="Arial" w:cs="Arial"/>
          <w:rFonts w:ascii="Arial" w:hAnsi="Arial"/>
          <w:b w:val="0"/>
          <w:i w:val="0"/>
          <w:sz w:val="22"/>
        </w:rPr>
        <w:t>IRAC provisioning on the same pool (Section 24.12) is ₹2,06,800. RBI requires the higher of IRAC and ECL: here ECL (₹2,26,050) exceeds IRAC, so ECL is booked and no additional Impairment Reserve is needed. Where IRAC exceeds ECL, the shortfall is appropriated to a non-distributable Impairment Reserve. Both figures are disclosed per RBI’s prudential-floor requirement.</w:t>
      </w:r>
    </w:p>
    <w:p>
      <w:pPr>
        <w:pStyle w:val="Heading1"/>
      </w:pPr>
      <w:r>
        <w:t>31. Taxation Sub-Module — GST &amp; TDS</w:t>
      </w:r>
    </w:p>
    <w:p>
      <w:r>
        <w:rPr>
          <w:rFonts w:ascii="Arial" w:hAnsi="Arial" w:cs="Arial"/>
          <w:rFonts w:ascii="Arial" w:hAnsi="Arial"/>
          <w:b w:val="0"/>
          <w:i w:val="0"/>
          <w:sz w:val="22"/>
        </w:rPr>
        <w:t>Section 8.2 posts TDS and GST at a high level. This sub-module specifies the treatment so tax ledgers, invoices, and statutory returns are generated correctly. Rates cited are indicative and configurable.</w:t>
      </w:r>
    </w:p>
    <w:p>
      <w:pPr>
        <w:pStyle w:val="Heading2"/>
      </w:pPr>
      <w:r>
        <w:t>31.1 GST</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600"/>
        <w:gridCol w:w="2100"/>
        <w:gridCol w:w="4660"/>
      </w:tblGrid>
      <w:tr>
        <w:tc>
          <w:tcPr>
            <w:tcW w:w="2600" w:type="dxa"/>
            <w:shd w:val="clear" w:color="auto" w:fill="1F4E78"/>
          </w:tcPr>
          <w:p>
            <w:pPr>
              <w:spacing w:after="0" w:before="0"/>
            </w:pPr>
            <w:r/>
            <w:r>
              <w:rPr>
                <w:rFonts w:ascii="Arial" w:hAnsi="Arial" w:cs="Arial"/>
                <w:b/>
                <w:color w:val="FFFFFF"/>
                <w:sz w:val="17"/>
              </w:rPr>
              <w:t>Charge / item</w:t>
            </w:r>
          </w:p>
        </w:tc>
        <w:tc>
          <w:tcPr>
            <w:tcW w:w="2100" w:type="dxa"/>
            <w:shd w:val="clear" w:color="auto" w:fill="1F4E78"/>
          </w:tcPr>
          <w:p>
            <w:pPr>
              <w:spacing w:after="0" w:before="0"/>
            </w:pPr>
            <w:r/>
            <w:r>
              <w:rPr>
                <w:rFonts w:ascii="Arial" w:hAnsi="Arial" w:cs="Arial"/>
                <w:b/>
                <w:color w:val="FFFFFF"/>
                <w:sz w:val="17"/>
              </w:rPr>
              <w:t>GST treatment</w:t>
            </w:r>
          </w:p>
        </w:tc>
        <w:tc>
          <w:tcPr>
            <w:tcW w:w="4660" w:type="dxa"/>
            <w:shd w:val="clear" w:color="auto" w:fill="1F4E78"/>
          </w:tcPr>
          <w:p>
            <w:pPr>
              <w:spacing w:after="0" w:before="0"/>
            </w:pPr>
            <w:r/>
            <w:r>
              <w:rPr>
                <w:rFonts w:ascii="Arial" w:hAnsi="Arial" w:cs="Arial"/>
                <w:b/>
                <w:color w:val="FFFFFF"/>
                <w:sz w:val="17"/>
              </w:rPr>
              <w:t>Notes</w:t>
            </w:r>
          </w:p>
        </w:tc>
      </w:tr>
      <w:tr>
        <w:tc>
          <w:tcPr>
            <w:tcW w:w="2600" w:type="dxa"/>
          </w:tcPr>
          <w:p>
            <w:pPr>
              <w:spacing w:after="0" w:before="0"/>
            </w:pPr>
            <w:r/>
            <w:r>
              <w:rPr>
                <w:rFonts w:ascii="Arial" w:hAnsi="Arial" w:cs="Arial"/>
                <w:b w:val="0"/>
                <w:sz w:val="17"/>
              </w:rPr>
              <w:t>Interest on loan</w:t>
            </w:r>
          </w:p>
        </w:tc>
        <w:tc>
          <w:tcPr>
            <w:tcW w:w="2100" w:type="dxa"/>
          </w:tcPr>
          <w:p>
            <w:pPr>
              <w:spacing w:after="0" w:before="0"/>
            </w:pPr>
            <w:r/>
            <w:r>
              <w:rPr>
                <w:rFonts w:ascii="Arial" w:hAnsi="Arial" w:cs="Arial"/>
                <w:b w:val="0"/>
                <w:sz w:val="17"/>
              </w:rPr>
              <w:t>Exempt</w:t>
            </w:r>
          </w:p>
        </w:tc>
        <w:tc>
          <w:tcPr>
            <w:tcW w:w="4660" w:type="dxa"/>
          </w:tcPr>
          <w:p>
            <w:pPr>
              <w:spacing w:after="0" w:before="0"/>
            </w:pPr>
            <w:r/>
            <w:r>
              <w:rPr>
                <w:rFonts w:ascii="Arial" w:hAnsi="Arial" w:cs="Arial"/>
                <w:b w:val="0"/>
                <w:sz w:val="17"/>
              </w:rPr>
              <w:t>Interest/EMI interest is outside GST; keep segregated from fee ledgers</w:t>
            </w:r>
          </w:p>
        </w:tc>
      </w:tr>
      <w:tr>
        <w:tc>
          <w:tcPr>
            <w:tcW w:w="2600" w:type="dxa"/>
          </w:tcPr>
          <w:p>
            <w:pPr>
              <w:spacing w:after="0" w:before="0"/>
            </w:pPr>
            <w:r/>
            <w:r>
              <w:rPr>
                <w:rFonts w:ascii="Arial" w:hAnsi="Arial" w:cs="Arial"/>
                <w:b w:val="0"/>
                <w:sz w:val="17"/>
              </w:rPr>
              <w:t>Processing / login / documentation fee</w:t>
            </w:r>
          </w:p>
        </w:tc>
        <w:tc>
          <w:tcPr>
            <w:tcW w:w="2100" w:type="dxa"/>
          </w:tcPr>
          <w:p>
            <w:pPr>
              <w:spacing w:after="0" w:before="0"/>
            </w:pPr>
            <w:r/>
            <w:r>
              <w:rPr>
                <w:rFonts w:ascii="Arial" w:hAnsi="Arial" w:cs="Arial"/>
                <w:b w:val="0"/>
                <w:sz w:val="17"/>
              </w:rPr>
              <w:t>Taxable (18%)</w:t>
            </w:r>
          </w:p>
        </w:tc>
        <w:tc>
          <w:tcPr>
            <w:tcW w:w="4660" w:type="dxa"/>
          </w:tcPr>
          <w:p>
            <w:pPr>
              <w:spacing w:after="0" w:before="0"/>
            </w:pPr>
            <w:r/>
            <w:r>
              <w:rPr>
                <w:rFonts w:ascii="Arial" w:hAnsi="Arial" w:cs="Arial"/>
                <w:b w:val="0"/>
                <w:sz w:val="17"/>
              </w:rPr>
              <w:t>Tax invoice generated; place of supply = borrower’s state (CGST+SGST or IGST)</w:t>
            </w:r>
          </w:p>
        </w:tc>
      </w:tr>
      <w:tr>
        <w:tc>
          <w:tcPr>
            <w:tcW w:w="2600" w:type="dxa"/>
          </w:tcPr>
          <w:p>
            <w:pPr>
              <w:spacing w:after="0" w:before="0"/>
            </w:pPr>
            <w:r/>
            <w:r>
              <w:rPr>
                <w:rFonts w:ascii="Arial" w:hAnsi="Arial" w:cs="Arial"/>
                <w:b w:val="0"/>
                <w:sz w:val="17"/>
              </w:rPr>
              <w:t>Foreclosure / prepayment charge</w:t>
            </w:r>
          </w:p>
        </w:tc>
        <w:tc>
          <w:tcPr>
            <w:tcW w:w="2100" w:type="dxa"/>
          </w:tcPr>
          <w:p>
            <w:pPr>
              <w:spacing w:after="0" w:before="0"/>
            </w:pPr>
            <w:r/>
            <w:r>
              <w:rPr>
                <w:rFonts w:ascii="Arial" w:hAnsi="Arial" w:cs="Arial"/>
                <w:b w:val="0"/>
                <w:sz w:val="17"/>
              </w:rPr>
              <w:t>Taxable (18%)</w:t>
            </w:r>
          </w:p>
        </w:tc>
        <w:tc>
          <w:tcPr>
            <w:tcW w:w="4660" w:type="dxa"/>
          </w:tcPr>
          <w:p>
            <w:pPr>
              <w:spacing w:after="0" w:before="0"/>
            </w:pPr>
            <w:r/>
            <w:r>
              <w:rPr>
                <w:rFonts w:ascii="Arial" w:hAnsi="Arial" w:cs="Arial"/>
                <w:b w:val="0"/>
                <w:sz w:val="17"/>
              </w:rPr>
              <w:t>Treated as a service fee</w:t>
            </w:r>
          </w:p>
        </w:tc>
      </w:tr>
      <w:tr>
        <w:tc>
          <w:tcPr>
            <w:tcW w:w="2600" w:type="dxa"/>
          </w:tcPr>
          <w:p>
            <w:pPr>
              <w:spacing w:after="0" w:before="0"/>
            </w:pPr>
            <w:r/>
            <w:r>
              <w:rPr>
                <w:rFonts w:ascii="Arial" w:hAnsi="Arial" w:cs="Arial"/>
                <w:b w:val="0"/>
                <w:sz w:val="17"/>
              </w:rPr>
              <w:t>Penal charges (Section 24.7)</w:t>
            </w:r>
          </w:p>
        </w:tc>
        <w:tc>
          <w:tcPr>
            <w:tcW w:w="2100" w:type="dxa"/>
          </w:tcPr>
          <w:p>
            <w:pPr>
              <w:spacing w:after="0" w:before="0"/>
            </w:pPr>
            <w:r/>
            <w:r>
              <w:rPr>
                <w:rFonts w:ascii="Arial" w:hAnsi="Arial" w:cs="Arial"/>
                <w:b w:val="0"/>
                <w:sz w:val="17"/>
              </w:rPr>
              <w:t>Taxable per policy/opinion</w:t>
            </w:r>
          </w:p>
        </w:tc>
        <w:tc>
          <w:tcPr>
            <w:tcW w:w="4660" w:type="dxa"/>
          </w:tcPr>
          <w:p>
            <w:pPr>
              <w:spacing w:after="0" w:before="0"/>
            </w:pPr>
            <w:r/>
            <w:r>
              <w:rPr>
                <w:rFonts w:ascii="Arial" w:hAnsi="Arial" w:cs="Arial"/>
                <w:b w:val="0"/>
                <w:sz w:val="17"/>
              </w:rPr>
              <w:t>Confirm current position; post to a separate fee-tax ledger, never blended with interest</w:t>
            </w:r>
          </w:p>
        </w:tc>
      </w:tr>
      <w:tr>
        <w:tc>
          <w:tcPr>
            <w:tcW w:w="2600" w:type="dxa"/>
          </w:tcPr>
          <w:p>
            <w:pPr>
              <w:spacing w:after="0" w:before="0"/>
            </w:pPr>
            <w:r/>
            <w:r>
              <w:rPr>
                <w:rFonts w:ascii="Arial" w:hAnsi="Arial" w:cs="Arial"/>
                <w:b w:val="0"/>
                <w:sz w:val="17"/>
              </w:rPr>
              <w:t>Cheque-bounce / other recoveries</w:t>
            </w:r>
          </w:p>
        </w:tc>
        <w:tc>
          <w:tcPr>
            <w:tcW w:w="2100" w:type="dxa"/>
          </w:tcPr>
          <w:p>
            <w:pPr>
              <w:spacing w:after="0" w:before="0"/>
            </w:pPr>
            <w:r/>
            <w:r>
              <w:rPr>
                <w:rFonts w:ascii="Arial" w:hAnsi="Arial" w:cs="Arial"/>
                <w:b w:val="0"/>
                <w:sz w:val="17"/>
              </w:rPr>
              <w:t>Taxable (18%)</w:t>
            </w:r>
          </w:p>
        </w:tc>
        <w:tc>
          <w:tcPr>
            <w:tcW w:w="4660" w:type="dxa"/>
          </w:tcPr>
          <w:p>
            <w:pPr>
              <w:spacing w:after="0" w:before="0"/>
            </w:pPr>
            <w:r/>
            <w:r>
              <w:rPr>
                <w:rFonts w:ascii="Arial" w:hAnsi="Arial" w:cs="Arial"/>
                <w:b w:val="0"/>
                <w:sz w:val="17"/>
              </w:rPr>
              <w:t>—</w:t>
            </w:r>
          </w:p>
        </w:tc>
      </w:tr>
      <w:tr>
        <w:tc>
          <w:tcPr>
            <w:tcW w:w="2600" w:type="dxa"/>
          </w:tcPr>
          <w:p>
            <w:pPr>
              <w:spacing w:after="0" w:before="0"/>
            </w:pPr>
            <w:r/>
            <w:r>
              <w:rPr>
                <w:rFonts w:ascii="Arial" w:hAnsi="Arial" w:cs="Arial"/>
                <w:b w:val="0"/>
                <w:sz w:val="17"/>
              </w:rPr>
              <w:t>Advocate, recovery-agent, GTA services procured</w:t>
            </w:r>
          </w:p>
        </w:tc>
        <w:tc>
          <w:tcPr>
            <w:tcW w:w="2100" w:type="dxa"/>
          </w:tcPr>
          <w:p>
            <w:pPr>
              <w:spacing w:after="0" w:before="0"/>
            </w:pPr>
            <w:r/>
            <w:r>
              <w:rPr>
                <w:rFonts w:ascii="Arial" w:hAnsi="Arial" w:cs="Arial"/>
                <w:b w:val="0"/>
                <w:sz w:val="17"/>
              </w:rPr>
              <w:t>RCM — NBFC pays GST</w:t>
            </w:r>
          </w:p>
        </w:tc>
        <w:tc>
          <w:tcPr>
            <w:tcW w:w="4660" w:type="dxa"/>
          </w:tcPr>
          <w:p>
            <w:pPr>
              <w:spacing w:after="0" w:before="0"/>
            </w:pPr>
            <w:r/>
            <w:r>
              <w:rPr>
                <w:rFonts w:ascii="Arial" w:hAnsi="Arial" w:cs="Arial"/>
                <w:b w:val="0"/>
                <w:sz w:val="17"/>
              </w:rPr>
              <w:t>Reverse-charge input; eligible for ITC subject to Sec.17(4) 50% restriction for NBFCs</w:t>
            </w:r>
          </w:p>
        </w:tc>
      </w:tr>
      <w:tr>
        <w:tc>
          <w:tcPr>
            <w:tcW w:w="2600" w:type="dxa"/>
          </w:tcPr>
          <w:p>
            <w:pPr>
              <w:spacing w:after="0" w:before="0"/>
            </w:pPr>
            <w:r/>
            <w:r>
              <w:rPr>
                <w:rFonts w:ascii="Arial" w:hAnsi="Arial" w:cs="Arial"/>
                <w:b w:val="0"/>
                <w:sz w:val="17"/>
              </w:rPr>
              <w:t>Input Tax Credit</w:t>
            </w:r>
          </w:p>
        </w:tc>
        <w:tc>
          <w:tcPr>
            <w:tcW w:w="2100" w:type="dxa"/>
          </w:tcPr>
          <w:p>
            <w:pPr>
              <w:spacing w:after="0" w:before="0"/>
            </w:pPr>
            <w:r/>
            <w:r>
              <w:rPr>
                <w:rFonts w:ascii="Arial" w:hAnsi="Arial" w:cs="Arial"/>
                <w:b w:val="0"/>
                <w:sz w:val="17"/>
              </w:rPr>
              <w:t>50% restriction (Sec.17(4))</w:t>
            </w:r>
          </w:p>
        </w:tc>
        <w:tc>
          <w:tcPr>
            <w:tcW w:w="4660" w:type="dxa"/>
          </w:tcPr>
          <w:p>
            <w:pPr>
              <w:spacing w:after="0" w:before="0"/>
            </w:pPr>
            <w:r/>
            <w:r>
              <w:rPr>
                <w:rFonts w:ascii="Arial" w:hAnsi="Arial" w:cs="Arial"/>
                <w:b w:val="0"/>
                <w:sz w:val="17"/>
              </w:rPr>
              <w:t>NBFCs may opt for the 50% ITC rule; configure ITC eligibility per invoice</w:t>
            </w:r>
          </w:p>
        </w:tc>
      </w:tr>
      <w:tr>
        <w:tc>
          <w:tcPr>
            <w:tcW w:w="2600" w:type="dxa"/>
          </w:tcPr>
          <w:p>
            <w:pPr>
              <w:spacing w:after="0" w:before="0"/>
            </w:pPr>
            <w:r/>
            <w:r>
              <w:rPr>
                <w:rFonts w:ascii="Arial" w:hAnsi="Arial" w:cs="Arial"/>
                <w:b w:val="0"/>
                <w:sz w:val="17"/>
              </w:rPr>
              <w:t>Returns</w:t>
            </w:r>
          </w:p>
        </w:tc>
        <w:tc>
          <w:tcPr>
            <w:tcW w:w="2100" w:type="dxa"/>
          </w:tcPr>
          <w:p>
            <w:pPr>
              <w:spacing w:after="0" w:before="0"/>
            </w:pPr>
            <w:r/>
            <w:r>
              <w:rPr>
                <w:rFonts w:ascii="Arial" w:hAnsi="Arial" w:cs="Arial"/>
                <w:b w:val="0"/>
                <w:sz w:val="17"/>
              </w:rPr>
              <w:t>GSTR-1, GSTR-3B</w:t>
            </w:r>
          </w:p>
        </w:tc>
        <w:tc>
          <w:tcPr>
            <w:tcW w:w="4660" w:type="dxa"/>
          </w:tcPr>
          <w:p>
            <w:pPr>
              <w:spacing w:after="0" w:before="0"/>
            </w:pPr>
            <w:r/>
            <w:r>
              <w:rPr>
                <w:rFonts w:ascii="Arial" w:hAnsi="Arial" w:cs="Arial"/>
                <w:b w:val="0"/>
                <w:sz w:val="17"/>
              </w:rPr>
              <w:t>Auto-compiled from the fee/tax ledgers; reconcile ITC against GSTR-2B</w:t>
            </w:r>
          </w:p>
        </w:tc>
      </w:tr>
    </w:tbl>
    <w:p/>
    <w:p>
      <w:pPr>
        <w:pStyle w:val="Heading2"/>
      </w:pPr>
      <w:r>
        <w:t>31.2 TDS / TCS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500"/>
        <w:gridCol w:w="3600"/>
        <w:gridCol w:w="4260"/>
      </w:tblGrid>
      <w:tr>
        <w:tc>
          <w:tcPr>
            <w:tcW w:w="1500" w:type="dxa"/>
            <w:shd w:val="clear" w:color="auto" w:fill="1F4E78"/>
          </w:tcPr>
          <w:p>
            <w:pPr>
              <w:spacing w:after="0" w:before="0"/>
            </w:pPr>
            <w:r/>
            <w:r>
              <w:rPr>
                <w:rFonts w:ascii="Arial" w:hAnsi="Arial" w:cs="Arial"/>
                <w:b/>
                <w:color w:val="FFFFFF"/>
                <w:sz w:val="17"/>
              </w:rPr>
              <w:t>Section</w:t>
            </w:r>
          </w:p>
        </w:tc>
        <w:tc>
          <w:tcPr>
            <w:tcW w:w="3600" w:type="dxa"/>
            <w:shd w:val="clear" w:color="auto" w:fill="1F4E78"/>
          </w:tcPr>
          <w:p>
            <w:pPr>
              <w:spacing w:after="0" w:before="0"/>
            </w:pPr>
            <w:r/>
            <w:r>
              <w:rPr>
                <w:rFonts w:ascii="Arial" w:hAnsi="Arial" w:cs="Arial"/>
                <w:b/>
                <w:color w:val="FFFFFF"/>
                <w:sz w:val="17"/>
              </w:rPr>
              <w:t>Applies to</w:t>
            </w:r>
          </w:p>
        </w:tc>
        <w:tc>
          <w:tcPr>
            <w:tcW w:w="4260" w:type="dxa"/>
            <w:shd w:val="clear" w:color="auto" w:fill="1F4E78"/>
          </w:tcPr>
          <w:p>
            <w:pPr>
              <w:spacing w:after="0" w:before="0"/>
            </w:pPr>
            <w:r/>
            <w:r>
              <w:rPr>
                <w:rFonts w:ascii="Arial" w:hAnsi="Arial" w:cs="Arial"/>
                <w:b/>
                <w:color w:val="FFFFFF"/>
                <w:sz w:val="17"/>
              </w:rPr>
              <w:t>Handling</w:t>
            </w:r>
          </w:p>
        </w:tc>
      </w:tr>
      <w:tr>
        <w:tc>
          <w:tcPr>
            <w:tcW w:w="1500" w:type="dxa"/>
          </w:tcPr>
          <w:p>
            <w:pPr>
              <w:spacing w:after="0" w:before="0"/>
            </w:pPr>
            <w:r/>
            <w:r>
              <w:rPr>
                <w:rFonts w:ascii="Arial" w:hAnsi="Arial" w:cs="Arial"/>
                <w:b w:val="0"/>
                <w:sz w:val="17"/>
              </w:rPr>
              <w:t>194A</w:t>
            </w:r>
          </w:p>
        </w:tc>
        <w:tc>
          <w:tcPr>
            <w:tcW w:w="3600" w:type="dxa"/>
          </w:tcPr>
          <w:p>
            <w:pPr>
              <w:spacing w:after="0" w:before="0"/>
            </w:pPr>
            <w:r/>
            <w:r>
              <w:rPr>
                <w:rFonts w:ascii="Arial" w:hAnsi="Arial" w:cs="Arial"/>
                <w:b w:val="0"/>
                <w:sz w:val="17"/>
              </w:rPr>
              <w:t>Interest paid by the NBFC on borrowings/deposits (Section 8.2 liability side)</w:t>
            </w:r>
          </w:p>
        </w:tc>
        <w:tc>
          <w:tcPr>
            <w:tcW w:w="4260" w:type="dxa"/>
          </w:tcPr>
          <w:p>
            <w:pPr>
              <w:spacing w:after="0" w:before="0"/>
            </w:pPr>
            <w:r/>
            <w:r>
              <w:rPr>
                <w:rFonts w:ascii="Arial" w:hAnsi="Arial" w:cs="Arial"/>
                <w:b w:val="0"/>
                <w:sz w:val="17"/>
              </w:rPr>
              <w:t>Deduct, deposit monthly, file 26Q; issue Form 16A</w:t>
            </w:r>
          </w:p>
        </w:tc>
      </w:tr>
      <w:tr>
        <w:tc>
          <w:tcPr>
            <w:tcW w:w="1500" w:type="dxa"/>
          </w:tcPr>
          <w:p>
            <w:pPr>
              <w:spacing w:after="0" w:before="0"/>
            </w:pPr>
            <w:r/>
            <w:r>
              <w:rPr>
                <w:rFonts w:ascii="Arial" w:hAnsi="Arial" w:cs="Arial"/>
                <w:b w:val="0"/>
                <w:sz w:val="17"/>
              </w:rPr>
              <w:t>194Q / 206C(1H)</w:t>
            </w:r>
          </w:p>
        </w:tc>
        <w:tc>
          <w:tcPr>
            <w:tcW w:w="3600" w:type="dxa"/>
          </w:tcPr>
          <w:p>
            <w:pPr>
              <w:spacing w:after="0" w:before="0"/>
            </w:pPr>
            <w:r/>
            <w:r>
              <w:rPr>
                <w:rFonts w:ascii="Arial" w:hAnsi="Arial" w:cs="Arial"/>
                <w:b w:val="0"/>
                <w:sz w:val="17"/>
              </w:rPr>
              <w:t>Purchase/sale of goods above threshold (vendor spend)</w:t>
            </w:r>
          </w:p>
        </w:tc>
        <w:tc>
          <w:tcPr>
            <w:tcW w:w="4260" w:type="dxa"/>
          </w:tcPr>
          <w:p>
            <w:pPr>
              <w:spacing w:after="0" w:before="0"/>
            </w:pPr>
            <w:r/>
            <w:r>
              <w:rPr>
                <w:rFonts w:ascii="Arial" w:hAnsi="Arial" w:cs="Arial"/>
                <w:b w:val="0"/>
                <w:sz w:val="17"/>
              </w:rPr>
              <w:t>Applied in Accounts Payable (Section 8.4)</w:t>
            </w:r>
          </w:p>
        </w:tc>
      </w:tr>
      <w:tr>
        <w:tc>
          <w:tcPr>
            <w:tcW w:w="1500" w:type="dxa"/>
          </w:tcPr>
          <w:p>
            <w:pPr>
              <w:spacing w:after="0" w:before="0"/>
            </w:pPr>
            <w:r/>
            <w:r>
              <w:rPr>
                <w:rFonts w:ascii="Arial" w:hAnsi="Arial" w:cs="Arial"/>
                <w:b w:val="0"/>
                <w:sz w:val="17"/>
              </w:rPr>
              <w:t>194N</w:t>
            </w:r>
          </w:p>
        </w:tc>
        <w:tc>
          <w:tcPr>
            <w:tcW w:w="3600" w:type="dxa"/>
          </w:tcPr>
          <w:p>
            <w:pPr>
              <w:spacing w:after="0" w:before="0"/>
            </w:pPr>
            <w:r/>
            <w:r>
              <w:rPr>
                <w:rFonts w:ascii="Arial" w:hAnsi="Arial" w:cs="Arial"/>
                <w:b w:val="0"/>
                <w:sz w:val="17"/>
              </w:rPr>
              <w:t>Cash withdrawals above threshold</w:t>
            </w:r>
          </w:p>
        </w:tc>
        <w:tc>
          <w:tcPr>
            <w:tcW w:w="4260" w:type="dxa"/>
          </w:tcPr>
          <w:p>
            <w:pPr>
              <w:spacing w:after="0" w:before="0"/>
            </w:pPr>
            <w:r/>
            <w:r>
              <w:rPr>
                <w:rFonts w:ascii="Arial" w:hAnsi="Arial" w:cs="Arial"/>
                <w:b w:val="0"/>
                <w:sz w:val="17"/>
              </w:rPr>
              <w:t>Monitored on cash-heavy products (Gold Loan)</w:t>
            </w:r>
          </w:p>
        </w:tc>
      </w:tr>
      <w:tr>
        <w:tc>
          <w:tcPr>
            <w:tcW w:w="1500" w:type="dxa"/>
          </w:tcPr>
          <w:p>
            <w:pPr>
              <w:spacing w:after="0" w:before="0"/>
            </w:pPr>
            <w:r/>
            <w:r>
              <w:rPr>
                <w:rFonts w:ascii="Arial" w:hAnsi="Arial" w:cs="Arial"/>
                <w:b w:val="0"/>
                <w:sz w:val="17"/>
              </w:rPr>
              <w:t>195</w:t>
            </w:r>
          </w:p>
        </w:tc>
        <w:tc>
          <w:tcPr>
            <w:tcW w:w="3600" w:type="dxa"/>
          </w:tcPr>
          <w:p>
            <w:pPr>
              <w:spacing w:after="0" w:before="0"/>
            </w:pPr>
            <w:r/>
            <w:r>
              <w:rPr>
                <w:rFonts w:ascii="Arial" w:hAnsi="Arial" w:cs="Arial"/>
                <w:b w:val="0"/>
                <w:sz w:val="17"/>
              </w:rPr>
              <w:t>Payments to non-residents (overseas education tie-ups, foreign vendors)</w:t>
            </w:r>
          </w:p>
        </w:tc>
        <w:tc>
          <w:tcPr>
            <w:tcW w:w="4260" w:type="dxa"/>
          </w:tcPr>
          <w:p>
            <w:pPr>
              <w:spacing w:after="0" w:before="0"/>
            </w:pPr>
            <w:r/>
            <w:r>
              <w:rPr>
                <w:rFonts w:ascii="Arial" w:hAnsi="Arial" w:cs="Arial"/>
                <w:b w:val="0"/>
                <w:sz w:val="17"/>
              </w:rPr>
              <w:t>With DTAA/LDC handling; file 27Q</w:t>
            </w:r>
          </w:p>
        </w:tc>
      </w:tr>
      <w:tr>
        <w:tc>
          <w:tcPr>
            <w:tcW w:w="1500" w:type="dxa"/>
          </w:tcPr>
          <w:p>
            <w:pPr>
              <w:spacing w:after="0" w:before="0"/>
            </w:pPr>
            <w:r/>
            <w:r>
              <w:rPr>
                <w:rFonts w:ascii="Arial" w:hAnsi="Arial" w:cs="Arial"/>
                <w:b w:val="0"/>
                <w:sz w:val="17"/>
              </w:rPr>
              <w:t>TDS on interest income</w:t>
            </w:r>
          </w:p>
        </w:tc>
        <w:tc>
          <w:tcPr>
            <w:tcW w:w="3600" w:type="dxa"/>
          </w:tcPr>
          <w:p>
            <w:pPr>
              <w:spacing w:after="0" w:before="0"/>
            </w:pPr>
            <w:r/>
            <w:r>
              <w:rPr>
                <w:rFonts w:ascii="Arial" w:hAnsi="Arial" w:cs="Arial"/>
                <w:b w:val="0"/>
                <w:sz w:val="17"/>
              </w:rPr>
              <w:t>Where a customer deducts TDS on interest paid to the NBFC</w:t>
            </w:r>
          </w:p>
        </w:tc>
        <w:tc>
          <w:tcPr>
            <w:tcW w:w="4260" w:type="dxa"/>
          </w:tcPr>
          <w:p>
            <w:pPr>
              <w:spacing w:after="0" w:before="0"/>
            </w:pPr>
            <w:r/>
            <w:r>
              <w:rPr>
                <w:rFonts w:ascii="Arial" w:hAnsi="Arial" w:cs="Arial"/>
                <w:b w:val="0"/>
                <w:sz w:val="17"/>
              </w:rPr>
              <w:t>Track TDS receivable; reconcile to Form 26AS</w:t>
            </w:r>
          </w:p>
        </w:tc>
      </w:tr>
    </w:tbl>
    <w:p/>
    <w:p>
      <w:r>
        <w:rPr>
          <w:rFonts w:ascii="Arial" w:hAnsi="Arial" w:cs="Arial"/>
          <w:rFonts w:ascii="Arial" w:hAnsi="Arial"/>
          <w:b w:val="0"/>
          <w:i w:val="0"/>
          <w:sz w:val="22"/>
        </w:rPr>
        <w:t>All tax computations post to dedicated payable/receivable ledgers (Section 8.1), feed a monthly tax-liability workflow with maker-checker, and are reconciled to the statutory returns before filing.</w:t>
      </w:r>
    </w:p>
    <w:p>
      <w:pPr>
        <w:pStyle w:val="Heading1"/>
      </w:pPr>
      <w:r>
        <w:t>32. Interest Calculation Engine — Moratorium, Restructuring &amp; Top-Up</w:t>
      </w:r>
    </w:p>
    <w:p>
      <w:r>
        <w:rPr>
          <w:rFonts w:ascii="Arial" w:hAnsi="Arial" w:cs="Arial"/>
          <w:rFonts w:ascii="Arial" w:hAnsi="Arial"/>
          <w:b w:val="0"/>
          <w:i w:val="0"/>
          <w:sz w:val="22"/>
        </w:rPr>
        <w:t>Extends Section 24 with the three schedule-changing events it did not cover. Figures below are computed from first principles and double as golden test vectors (Section 41.2).</w:t>
      </w:r>
    </w:p>
    <w:p>
      <w:pPr>
        <w:pStyle w:val="Heading2"/>
      </w:pPr>
      <w:r>
        <w:t>32.1 Moratorium &amp; Interest Capitalisation (Education / EMI-Holiday)</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Moratorium_Interest = P × (Annual_Rate/100) × (Moratorium_Months/12)   [simple interest]</w:t>
            </w:r>
            <w:r>
              <w:rPr>
                <w:rFonts w:ascii="Consolas" w:hAnsi="Consolas" w:cs="Consolas"/>
                <w:b w:val="0"/>
                <w:sz w:val="19"/>
              </w:rPr>
              <w:br/>
              <w:t>Capitalised_Principal = P + Moratorium_Interest   (if interest not serviced during moratorium)</w:t>
            </w:r>
            <w:r>
              <w:rPr>
                <w:rFonts w:ascii="Consolas" w:hAnsi="Consolas" w:cs="Consolas"/>
                <w:b w:val="0"/>
                <w:sz w:val="19"/>
              </w:rPr>
              <w:br/>
              <w:t>EMI_post = Capitalised_Principal × r(1+r)^n / ((1+r)^n − 1)</w:t>
            </w:r>
          </w:p>
        </w:tc>
      </w:tr>
    </w:tbl>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5500"/>
        <w:gridCol w:w="3860"/>
      </w:tblGrid>
      <w:tr>
        <w:tc>
          <w:tcPr>
            <w:tcW w:w="5500" w:type="dxa"/>
            <w:shd w:val="clear" w:color="auto" w:fill="1F4E78"/>
          </w:tcPr>
          <w:p>
            <w:pPr>
              <w:spacing w:after="0" w:before="0"/>
            </w:pPr>
            <w:r/>
            <w:r>
              <w:rPr>
                <w:rFonts w:ascii="Arial" w:hAnsi="Arial" w:cs="Arial"/>
                <w:b/>
                <w:color w:val="FFFFFF"/>
                <w:sz w:val="17"/>
              </w:rPr>
              <w:t>Worked Example G — Education Loan</w:t>
            </w:r>
          </w:p>
        </w:tc>
        <w:tc>
          <w:tcPr>
            <w:tcW w:w="3860" w:type="dxa"/>
            <w:shd w:val="clear" w:color="auto" w:fill="1F4E78"/>
          </w:tcPr>
          <w:p>
            <w:pPr>
              <w:spacing w:after="0" w:before="0"/>
            </w:pPr>
            <w:r/>
            <w:r>
              <w:rPr>
                <w:rFonts w:ascii="Arial" w:hAnsi="Arial" w:cs="Arial"/>
                <w:b/>
                <w:color w:val="FFFFFF"/>
                <w:sz w:val="17"/>
              </w:rPr>
              <w:t>Value</w:t>
            </w:r>
          </w:p>
        </w:tc>
      </w:tr>
      <w:tr>
        <w:tc>
          <w:tcPr>
            <w:tcW w:w="5500" w:type="dxa"/>
          </w:tcPr>
          <w:p>
            <w:pPr>
              <w:spacing w:after="0" w:before="0"/>
            </w:pPr>
            <w:r/>
            <w:r>
              <w:rPr>
                <w:rFonts w:ascii="Arial" w:hAnsi="Arial" w:cs="Arial"/>
                <w:b w:val="0"/>
                <w:sz w:val="17"/>
              </w:rPr>
              <w:t>Principal (P), Rate</w:t>
            </w:r>
          </w:p>
        </w:tc>
        <w:tc>
          <w:tcPr>
            <w:tcW w:w="3860" w:type="dxa"/>
          </w:tcPr>
          <w:p>
            <w:pPr>
              <w:spacing w:after="0" w:before="0"/>
            </w:pPr>
            <w:r/>
            <w:r>
              <w:rPr>
                <w:rFonts w:ascii="Arial" w:hAnsi="Arial" w:cs="Arial"/>
                <w:b w:val="0"/>
                <w:sz w:val="17"/>
              </w:rPr>
              <w:t>₹8,00,000 at 11% p.a.</w:t>
            </w:r>
          </w:p>
        </w:tc>
      </w:tr>
      <w:tr>
        <w:tc>
          <w:tcPr>
            <w:tcW w:w="5500" w:type="dxa"/>
          </w:tcPr>
          <w:p>
            <w:pPr>
              <w:spacing w:after="0" w:before="0"/>
            </w:pPr>
            <w:r/>
            <w:r>
              <w:rPr>
                <w:rFonts w:ascii="Arial" w:hAnsi="Arial" w:cs="Arial"/>
                <w:b w:val="0"/>
                <w:sz w:val="17"/>
              </w:rPr>
              <w:t>Moratorium (course + grace)</w:t>
            </w:r>
          </w:p>
        </w:tc>
        <w:tc>
          <w:tcPr>
            <w:tcW w:w="3860" w:type="dxa"/>
          </w:tcPr>
          <w:p>
            <w:pPr>
              <w:spacing w:after="0" w:before="0"/>
            </w:pPr>
            <w:r/>
            <w:r>
              <w:rPr>
                <w:rFonts w:ascii="Arial" w:hAnsi="Arial" w:cs="Arial"/>
                <w:b w:val="0"/>
                <w:sz w:val="17"/>
              </w:rPr>
              <w:t>24 months, interest not serviced</w:t>
            </w:r>
          </w:p>
        </w:tc>
      </w:tr>
      <w:tr>
        <w:tc>
          <w:tcPr>
            <w:tcW w:w="5500" w:type="dxa"/>
          </w:tcPr>
          <w:p>
            <w:pPr>
              <w:spacing w:after="0" w:before="0"/>
            </w:pPr>
            <w:r/>
            <w:r>
              <w:rPr>
                <w:rFonts w:ascii="Arial" w:hAnsi="Arial" w:cs="Arial"/>
                <w:b w:val="0"/>
                <w:sz w:val="17"/>
              </w:rPr>
              <w:t>Moratorium simple interest</w:t>
            </w:r>
          </w:p>
        </w:tc>
        <w:tc>
          <w:tcPr>
            <w:tcW w:w="3860" w:type="dxa"/>
          </w:tcPr>
          <w:p>
            <w:pPr>
              <w:spacing w:after="0" w:before="0"/>
            </w:pPr>
            <w:r/>
            <w:r>
              <w:rPr>
                <w:rFonts w:ascii="Arial" w:hAnsi="Arial" w:cs="Arial"/>
                <w:b w:val="0"/>
                <w:sz w:val="17"/>
              </w:rPr>
              <w:t>₹8,00,000 × 11% × 2 = ₹176,000</w:t>
            </w:r>
          </w:p>
        </w:tc>
      </w:tr>
      <w:tr>
        <w:tc>
          <w:tcPr>
            <w:tcW w:w="5500" w:type="dxa"/>
          </w:tcPr>
          <w:p>
            <w:pPr>
              <w:spacing w:after="0" w:before="0"/>
            </w:pPr>
            <w:r/>
            <w:r>
              <w:rPr>
                <w:rFonts w:ascii="Arial" w:hAnsi="Arial" w:cs="Arial"/>
                <w:b w:val="0"/>
                <w:sz w:val="17"/>
              </w:rPr>
              <w:t>Capitalised principal at repayment start</w:t>
            </w:r>
          </w:p>
        </w:tc>
        <w:tc>
          <w:tcPr>
            <w:tcW w:w="3860" w:type="dxa"/>
          </w:tcPr>
          <w:p>
            <w:pPr>
              <w:spacing w:after="0" w:before="0"/>
            </w:pPr>
            <w:r/>
            <w:r>
              <w:rPr>
                <w:rFonts w:ascii="Arial" w:hAnsi="Arial" w:cs="Arial"/>
                <w:b w:val="0"/>
                <w:sz w:val="17"/>
              </w:rPr>
              <w:t>₹976,000</w:t>
            </w:r>
          </w:p>
        </w:tc>
      </w:tr>
      <w:tr>
        <w:tc>
          <w:tcPr>
            <w:tcW w:w="5500" w:type="dxa"/>
          </w:tcPr>
          <w:p>
            <w:pPr>
              <w:spacing w:after="0" w:before="0"/>
            </w:pPr>
            <w:r/>
            <w:r>
              <w:rPr>
                <w:rFonts w:ascii="Arial" w:hAnsi="Arial" w:cs="Arial"/>
                <w:b w:val="0"/>
                <w:sz w:val="17"/>
              </w:rPr>
              <w:t>EMI over 84 months post-moratorium</w:t>
            </w:r>
          </w:p>
        </w:tc>
        <w:tc>
          <w:tcPr>
            <w:tcW w:w="3860" w:type="dxa"/>
          </w:tcPr>
          <w:p>
            <w:pPr>
              <w:spacing w:after="0" w:before="0"/>
            </w:pPr>
            <w:r/>
            <w:r>
              <w:rPr>
                <w:rFonts w:ascii="Arial" w:hAnsi="Arial" w:cs="Arial"/>
                <w:b w:val="0"/>
                <w:sz w:val="17"/>
              </w:rPr>
              <w:t>₹16,711.50</w:t>
            </w:r>
          </w:p>
        </w:tc>
      </w:tr>
    </w:tbl>
    <w:p/>
    <w:p>
      <w:r>
        <w:rPr>
          <w:rFonts w:ascii="Arial" w:hAnsi="Arial" w:cs="Arial"/>
          <w:rFonts w:ascii="Arial" w:hAnsi="Arial"/>
          <w:b w:val="0"/>
          <w:i w:val="0"/>
          <w:sz w:val="22"/>
        </w:rPr>
        <w:t>If the borrower opts to service simple interest during the moratorium (Section 3.21), there is no capitalisation and the EMI is computed on the original ₹8,00,000.</w:t>
      </w:r>
    </w:p>
    <w:p>
      <w:pPr>
        <w:pStyle w:val="Heading2"/>
      </w:pPr>
      <w:r>
        <w:t>32.2 Restructuring — Schedule Regeneration &amp; Modification Gain/Loss</w:t>
      </w:r>
    </w:p>
    <w:p>
      <w:r>
        <w:rPr>
          <w:rFonts w:ascii="Arial" w:hAnsi="Arial" w:cs="Arial"/>
          <w:rFonts w:ascii="Arial" w:hAnsi="Arial"/>
          <w:b w:val="0"/>
          <w:i w:val="0"/>
          <w:sz w:val="22"/>
        </w:rPr>
        <w:t>On restructure, a new schedule is generated and, under Ind AS 109, the gross carrying amount is recomputed by discounting the modified cash flows at the original EIR; the difference is a modification gain/loss (posted per Section 8.2, added row). A restructured account also attracts the higher provisioning and reporting flag of Section 9.4.</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5500"/>
        <w:gridCol w:w="3860"/>
      </w:tblGrid>
      <w:tr>
        <w:tc>
          <w:tcPr>
            <w:tcW w:w="5500" w:type="dxa"/>
            <w:shd w:val="clear" w:color="auto" w:fill="1F4E78"/>
          </w:tcPr>
          <w:p>
            <w:pPr>
              <w:spacing w:after="0" w:before="0"/>
            </w:pPr>
            <w:r/>
            <w:r>
              <w:rPr>
                <w:rFonts w:ascii="Arial" w:hAnsi="Arial" w:cs="Arial"/>
                <w:b/>
                <w:color w:val="FFFFFF"/>
                <w:sz w:val="17"/>
              </w:rPr>
              <w:t>Worked Example H — Restructure of the Example A loan</w:t>
            </w:r>
          </w:p>
        </w:tc>
        <w:tc>
          <w:tcPr>
            <w:tcW w:w="3860" w:type="dxa"/>
            <w:shd w:val="clear" w:color="auto" w:fill="1F4E78"/>
          </w:tcPr>
          <w:p>
            <w:pPr>
              <w:spacing w:after="0" w:before="0"/>
            </w:pPr>
            <w:r/>
            <w:r>
              <w:rPr>
                <w:rFonts w:ascii="Arial" w:hAnsi="Arial" w:cs="Arial"/>
                <w:b/>
                <w:color w:val="FFFFFF"/>
                <w:sz w:val="17"/>
              </w:rPr>
              <w:t>Value</w:t>
            </w:r>
          </w:p>
        </w:tc>
      </w:tr>
      <w:tr>
        <w:tc>
          <w:tcPr>
            <w:tcW w:w="5500" w:type="dxa"/>
          </w:tcPr>
          <w:p>
            <w:pPr>
              <w:spacing w:after="0" w:before="0"/>
            </w:pPr>
            <w:r/>
            <w:r>
              <w:rPr>
                <w:rFonts w:ascii="Arial" w:hAnsi="Arial" w:cs="Arial"/>
                <w:b w:val="0"/>
                <w:sz w:val="17"/>
              </w:rPr>
              <w:t>Outstanding after 12 EMIs (from 24.2)</w:t>
            </w:r>
          </w:p>
        </w:tc>
        <w:tc>
          <w:tcPr>
            <w:tcW w:w="3860" w:type="dxa"/>
          </w:tcPr>
          <w:p>
            <w:pPr>
              <w:spacing w:after="0" w:before="0"/>
            </w:pPr>
            <w:r/>
            <w:r>
              <w:rPr>
                <w:rFonts w:ascii="Arial" w:hAnsi="Arial" w:cs="Arial"/>
                <w:b w:val="0"/>
                <w:sz w:val="17"/>
              </w:rPr>
              <w:t>₹355,921.45</w:t>
            </w:r>
          </w:p>
        </w:tc>
      </w:tr>
      <w:tr>
        <w:tc>
          <w:tcPr>
            <w:tcW w:w="5500" w:type="dxa"/>
          </w:tcPr>
          <w:p>
            <w:pPr>
              <w:spacing w:after="0" w:before="0"/>
            </w:pPr>
            <w:r/>
            <w:r>
              <w:rPr>
                <w:rFonts w:ascii="Arial" w:hAnsi="Arial" w:cs="Arial"/>
                <w:b w:val="0"/>
                <w:sz w:val="17"/>
              </w:rPr>
              <w:t>Restructure terms</w:t>
            </w:r>
          </w:p>
        </w:tc>
        <w:tc>
          <w:tcPr>
            <w:tcW w:w="3860" w:type="dxa"/>
          </w:tcPr>
          <w:p>
            <w:pPr>
              <w:spacing w:after="0" w:before="0"/>
            </w:pPr>
            <w:r/>
            <w:r>
              <w:rPr>
                <w:rFonts w:ascii="Arial" w:hAnsi="Arial" w:cs="Arial"/>
                <w:b w:val="0"/>
                <w:sz w:val="17"/>
              </w:rPr>
              <w:t>Rate cut to 10% p.a., tenure extended to 48 months</w:t>
            </w:r>
          </w:p>
        </w:tc>
      </w:tr>
      <w:tr>
        <w:tc>
          <w:tcPr>
            <w:tcW w:w="5500" w:type="dxa"/>
          </w:tcPr>
          <w:p>
            <w:pPr>
              <w:spacing w:after="0" w:before="0"/>
            </w:pPr>
            <w:r/>
            <w:r>
              <w:rPr>
                <w:rFonts w:ascii="Arial" w:hAnsi="Arial" w:cs="Arial"/>
                <w:b w:val="0"/>
                <w:sz w:val="17"/>
              </w:rPr>
              <w:t>New EMI</w:t>
            </w:r>
          </w:p>
        </w:tc>
        <w:tc>
          <w:tcPr>
            <w:tcW w:w="3860" w:type="dxa"/>
          </w:tcPr>
          <w:p>
            <w:pPr>
              <w:spacing w:after="0" w:before="0"/>
            </w:pPr>
            <w:r/>
            <w:r>
              <w:rPr>
                <w:rFonts w:ascii="Arial" w:hAnsi="Arial" w:cs="Arial"/>
                <w:b w:val="0"/>
                <w:sz w:val="17"/>
              </w:rPr>
              <w:t>₹9,027.09</w:t>
            </w:r>
          </w:p>
        </w:tc>
      </w:tr>
      <w:tr>
        <w:tc>
          <w:tcPr>
            <w:tcW w:w="5500" w:type="dxa"/>
          </w:tcPr>
          <w:p>
            <w:pPr>
              <w:spacing w:after="0" w:before="0"/>
            </w:pPr>
            <w:r/>
            <w:r>
              <w:rPr>
                <w:rFonts w:ascii="Arial" w:hAnsi="Arial" w:cs="Arial"/>
                <w:b w:val="0"/>
                <w:sz w:val="17"/>
              </w:rPr>
              <w:t>PV of new cash flows at original EIR (14%)</w:t>
            </w:r>
          </w:p>
        </w:tc>
        <w:tc>
          <w:tcPr>
            <w:tcW w:w="3860" w:type="dxa"/>
          </w:tcPr>
          <w:p>
            <w:pPr>
              <w:spacing w:after="0" w:before="0"/>
            </w:pPr>
            <w:r/>
            <w:r>
              <w:rPr>
                <w:rFonts w:ascii="Arial" w:hAnsi="Arial" w:cs="Arial"/>
                <w:b w:val="0"/>
                <w:sz w:val="17"/>
              </w:rPr>
              <w:t>₹330,342.16</w:t>
            </w:r>
          </w:p>
        </w:tc>
      </w:tr>
      <w:tr>
        <w:tc>
          <w:tcPr>
            <w:tcW w:w="5500" w:type="dxa"/>
          </w:tcPr>
          <w:p>
            <w:pPr>
              <w:spacing w:after="0" w:before="0"/>
            </w:pPr>
            <w:r/>
            <w:r>
              <w:rPr>
                <w:rFonts w:ascii="Arial" w:hAnsi="Arial" w:cs="Arial"/>
                <w:b w:val="0"/>
                <w:sz w:val="17"/>
              </w:rPr>
              <w:t>Modification loss (carrying − PV)</w:t>
            </w:r>
          </w:p>
        </w:tc>
        <w:tc>
          <w:tcPr>
            <w:tcW w:w="3860" w:type="dxa"/>
          </w:tcPr>
          <w:p>
            <w:pPr>
              <w:spacing w:after="0" w:before="0"/>
            </w:pPr>
            <w:r/>
            <w:r>
              <w:rPr>
                <w:rFonts w:ascii="Arial" w:hAnsi="Arial" w:cs="Arial"/>
                <w:b w:val="0"/>
                <w:sz w:val="17"/>
              </w:rPr>
              <w:t>₹25,579.28</w:t>
            </w:r>
          </w:p>
        </w:tc>
      </w:tr>
    </w:tbl>
    <w:p/>
    <w:p>
      <w:pPr>
        <w:pStyle w:val="Heading2"/>
      </w:pPr>
      <w:r>
        <w:t>32.3 Top-Up Loan</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Combined_Principal = Existing_Outstanding + New_Tranche</w:t>
            </w:r>
            <w:r>
              <w:rPr>
                <w:rFonts w:ascii="Consolas" w:hAnsi="Consolas" w:cs="Consolas"/>
                <w:b w:val="0"/>
                <w:sz w:val="19"/>
              </w:rPr>
              <w:br/>
              <w:t>EMI_topup = Combined_Principal × r(1+r)^n / ((1+r)^n − 1)   at the blended/re-priced rate</w:t>
            </w:r>
          </w:p>
        </w:tc>
      </w:tr>
    </w:tbl>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5500"/>
        <w:gridCol w:w="3860"/>
      </w:tblGrid>
      <w:tr>
        <w:tc>
          <w:tcPr>
            <w:tcW w:w="5500" w:type="dxa"/>
            <w:shd w:val="clear" w:color="auto" w:fill="1F4E78"/>
          </w:tcPr>
          <w:p>
            <w:pPr>
              <w:spacing w:after="0" w:before="0"/>
            </w:pPr>
            <w:r/>
            <w:r>
              <w:rPr>
                <w:rFonts w:ascii="Arial" w:hAnsi="Arial" w:cs="Arial"/>
                <w:b/>
                <w:color w:val="FFFFFF"/>
                <w:sz w:val="17"/>
              </w:rPr>
              <w:t>Worked Example I — Top-up on the Example A loan</w:t>
            </w:r>
          </w:p>
        </w:tc>
        <w:tc>
          <w:tcPr>
            <w:tcW w:w="3860" w:type="dxa"/>
            <w:shd w:val="clear" w:color="auto" w:fill="1F4E78"/>
          </w:tcPr>
          <w:p>
            <w:pPr>
              <w:spacing w:after="0" w:before="0"/>
            </w:pPr>
            <w:r/>
            <w:r>
              <w:rPr>
                <w:rFonts w:ascii="Arial" w:hAnsi="Arial" w:cs="Arial"/>
                <w:b/>
                <w:color w:val="FFFFFF"/>
                <w:sz w:val="17"/>
              </w:rPr>
              <w:t>Value</w:t>
            </w:r>
          </w:p>
        </w:tc>
      </w:tr>
      <w:tr>
        <w:tc>
          <w:tcPr>
            <w:tcW w:w="5500" w:type="dxa"/>
          </w:tcPr>
          <w:p>
            <w:pPr>
              <w:spacing w:after="0" w:before="0"/>
            </w:pPr>
            <w:r/>
            <w:r>
              <w:rPr>
                <w:rFonts w:ascii="Arial" w:hAnsi="Arial" w:cs="Arial"/>
                <w:b w:val="0"/>
                <w:sz w:val="17"/>
              </w:rPr>
              <w:t>Existing outstanding</w:t>
            </w:r>
          </w:p>
        </w:tc>
        <w:tc>
          <w:tcPr>
            <w:tcW w:w="3860" w:type="dxa"/>
          </w:tcPr>
          <w:p>
            <w:pPr>
              <w:spacing w:after="0" w:before="0"/>
            </w:pPr>
            <w:r/>
            <w:r>
              <w:rPr>
                <w:rFonts w:ascii="Arial" w:hAnsi="Arial" w:cs="Arial"/>
                <w:b w:val="0"/>
                <w:sz w:val="17"/>
              </w:rPr>
              <w:t>₹355,921.45</w:t>
            </w:r>
          </w:p>
        </w:tc>
      </w:tr>
      <w:tr>
        <w:tc>
          <w:tcPr>
            <w:tcW w:w="5500" w:type="dxa"/>
          </w:tcPr>
          <w:p>
            <w:pPr>
              <w:spacing w:after="0" w:before="0"/>
            </w:pPr>
            <w:r/>
            <w:r>
              <w:rPr>
                <w:rFonts w:ascii="Arial" w:hAnsi="Arial" w:cs="Arial"/>
                <w:b w:val="0"/>
                <w:sz w:val="17"/>
              </w:rPr>
              <w:t>New tranche</w:t>
            </w:r>
          </w:p>
        </w:tc>
        <w:tc>
          <w:tcPr>
            <w:tcW w:w="3860" w:type="dxa"/>
          </w:tcPr>
          <w:p>
            <w:pPr>
              <w:spacing w:after="0" w:before="0"/>
            </w:pPr>
            <w:r/>
            <w:r>
              <w:rPr>
                <w:rFonts w:ascii="Arial" w:hAnsi="Arial" w:cs="Arial"/>
                <w:b w:val="0"/>
                <w:sz w:val="17"/>
              </w:rPr>
              <w:t>₹2,00,000</w:t>
            </w:r>
          </w:p>
        </w:tc>
      </w:tr>
      <w:tr>
        <w:tc>
          <w:tcPr>
            <w:tcW w:w="5500" w:type="dxa"/>
          </w:tcPr>
          <w:p>
            <w:pPr>
              <w:spacing w:after="0" w:before="0"/>
            </w:pPr>
            <w:r/>
            <w:r>
              <w:rPr>
                <w:rFonts w:ascii="Arial" w:hAnsi="Arial" w:cs="Arial"/>
                <w:b w:val="0"/>
                <w:sz w:val="17"/>
              </w:rPr>
              <w:t>Combined principal</w:t>
            </w:r>
          </w:p>
        </w:tc>
        <w:tc>
          <w:tcPr>
            <w:tcW w:w="3860" w:type="dxa"/>
          </w:tcPr>
          <w:p>
            <w:pPr>
              <w:spacing w:after="0" w:before="0"/>
            </w:pPr>
            <w:r/>
            <w:r>
              <w:rPr>
                <w:rFonts w:ascii="Arial" w:hAnsi="Arial" w:cs="Arial"/>
                <w:b w:val="0"/>
                <w:sz w:val="17"/>
              </w:rPr>
              <w:t>₹555,921.45</w:t>
            </w:r>
          </w:p>
        </w:tc>
      </w:tr>
      <w:tr>
        <w:tc>
          <w:tcPr>
            <w:tcW w:w="5500" w:type="dxa"/>
          </w:tcPr>
          <w:p>
            <w:pPr>
              <w:spacing w:after="0" w:before="0"/>
            </w:pPr>
            <w:r/>
            <w:r>
              <w:rPr>
                <w:rFonts w:ascii="Arial" w:hAnsi="Arial" w:cs="Arial"/>
                <w:b w:val="0"/>
                <w:sz w:val="17"/>
              </w:rPr>
              <w:t>Re-priced rate / tenure</w:t>
            </w:r>
          </w:p>
        </w:tc>
        <w:tc>
          <w:tcPr>
            <w:tcW w:w="3860" w:type="dxa"/>
          </w:tcPr>
          <w:p>
            <w:pPr>
              <w:spacing w:after="0" w:before="0"/>
            </w:pPr>
            <w:r/>
            <w:r>
              <w:rPr>
                <w:rFonts w:ascii="Arial" w:hAnsi="Arial" w:cs="Arial"/>
                <w:b w:val="0"/>
                <w:sz w:val="17"/>
              </w:rPr>
              <w:t>13% p.a. / 48 months</w:t>
            </w:r>
          </w:p>
        </w:tc>
      </w:tr>
      <w:tr>
        <w:tc>
          <w:tcPr>
            <w:tcW w:w="5500" w:type="dxa"/>
          </w:tcPr>
          <w:p>
            <w:pPr>
              <w:spacing w:after="0" w:before="0"/>
            </w:pPr>
            <w:r/>
            <w:r>
              <w:rPr>
                <w:rFonts w:ascii="Arial" w:hAnsi="Arial" w:cs="Arial"/>
                <w:b w:val="0"/>
                <w:sz w:val="17"/>
              </w:rPr>
              <w:t>Blended EMI</w:t>
            </w:r>
          </w:p>
        </w:tc>
        <w:tc>
          <w:tcPr>
            <w:tcW w:w="3860" w:type="dxa"/>
          </w:tcPr>
          <w:p>
            <w:pPr>
              <w:spacing w:after="0" w:before="0"/>
            </w:pPr>
            <w:r/>
            <w:r>
              <w:rPr>
                <w:rFonts w:ascii="Arial" w:hAnsi="Arial" w:cs="Arial"/>
                <w:b w:val="0"/>
                <w:sz w:val="17"/>
              </w:rPr>
              <w:t>₹14,913.98</w:t>
            </w:r>
          </w:p>
        </w:tc>
      </w:tr>
    </w:tbl>
    <w:p/>
    <w:p>
      <w:r>
        <w:rPr>
          <w:rFonts w:ascii="Arial" w:hAnsi="Arial" w:cs="Arial"/>
          <w:rFonts w:ascii="Arial" w:hAnsi="Arial"/>
          <w:b w:val="0"/>
          <w:i w:val="0"/>
          <w:sz w:val="22"/>
        </w:rPr>
        <w:t>Rate resets on floating-rate loans (Section 6) regenerate the schedule the same way — recompute the outstanding at the reset date and re-solve EMI (or tenure, per borrower election, Section 24.8).</w:t>
      </w:r>
    </w:p>
    <w:p>
      <w:pPr>
        <w:pStyle w:val="Heading1"/>
      </w:pPr>
      <w:r>
        <w:t>33. NPA Income Recognition &amp; Reversal Accounting</w:t>
      </w:r>
    </w:p>
    <w:p>
      <w:r>
        <w:rPr>
          <w:rFonts w:ascii="Arial" w:hAnsi="Arial" w:cs="Arial"/>
          <w:rFonts w:ascii="Arial" w:hAnsi="Arial"/>
          <w:b w:val="0"/>
          <w:i w:val="0"/>
          <w:sz w:val="22"/>
        </w:rPr>
        <w:t>RBI IRAC norms require that interest on NPAs is recognised on realisation, not accrual. This section specifies the entries that Section 8.2 must fire on classification and cure — the mechanism referenced by the new journal rows added to Table 8.2.</w:t>
      </w:r>
    </w:p>
    <w:p>
      <w:pPr>
        <w:pStyle w:val="Heading2"/>
      </w:pPr>
      <w:r>
        <w:t>33.1 On Downgrade to NPA</w:t>
      </w:r>
    </w:p>
    <w:p>
      <w:pPr>
        <w:pStyle w:val="ListParagraph"/>
        <w:numPr>
          <w:ilvl w:val="0"/>
          <w:numId w:val="2"/>
        </w:numPr>
      </w:pPr>
      <w:r>
        <w:rPr>
          <w:rFonts w:ascii="Arial" w:hAnsi="Arial" w:cs="Arial"/>
          <w:rFonts w:ascii="Arial" w:hAnsi="Arial"/>
          <w:sz w:val="22"/>
        </w:rPr>
        <w:t>Reverse unrealised interest already credited to income in the current/prior period: Dr. Interest Income / Cr. Interest Receivable.</w:t>
      </w:r>
    </w:p>
    <w:p>
      <w:pPr>
        <w:pStyle w:val="ListParagraph"/>
        <w:numPr>
          <w:ilvl w:val="0"/>
          <w:numId w:val="2"/>
        </w:numPr>
      </w:pPr>
      <w:r>
        <w:rPr>
          <w:rFonts w:ascii="Arial" w:hAnsi="Arial" w:cs="Arial"/>
          <w:rFonts w:ascii="Arial" w:hAnsi="Arial"/>
          <w:sz w:val="22"/>
        </w:rPr>
        <w:t>Continue to compute contractual interest for MIS, but book it to a memorandum Interest Suspense account rather than P&amp;L: Dr. Interest Receivable / Cr. Interest Suspense.</w:t>
      </w:r>
    </w:p>
    <w:p>
      <w:pPr>
        <w:pStyle w:val="ListParagraph"/>
        <w:numPr>
          <w:ilvl w:val="0"/>
          <w:numId w:val="2"/>
        </w:numPr>
      </w:pPr>
      <w:r>
        <w:rPr>
          <w:rFonts w:ascii="Arial" w:hAnsi="Arial" w:cs="Arial"/>
          <w:rFonts w:ascii="Arial" w:hAnsi="Arial"/>
          <w:sz w:val="22"/>
        </w:rPr>
        <w:t>Unamortised fee income and accrued penal charges on the account are similarly de-recognised from income where not realised.</w:t>
      </w:r>
    </w:p>
    <w:p>
      <w:pPr>
        <w:pStyle w:val="Heading2"/>
      </w:pPr>
      <w:r>
        <w:t>33.2 On Recovery from an NPA Account</w:t>
      </w:r>
    </w:p>
    <w:p>
      <w:pPr>
        <w:pStyle w:val="ListParagraph"/>
        <w:numPr>
          <w:ilvl w:val="0"/>
          <w:numId w:val="2"/>
        </w:numPr>
      </w:pPr>
      <w:r>
        <w:rPr>
          <w:rFonts w:ascii="Arial" w:hAnsi="Arial" w:cs="Arial"/>
          <w:rFonts w:ascii="Arial" w:hAnsi="Arial"/>
          <w:sz w:val="22"/>
        </w:rPr>
        <w:t>Actual receipts are appropriated per Board policy (typically charges → interest → principal, or as the sanction specifies): Dr. Bank / Cr. Interest Suspense → Interest Income for the interest portion realised.</w:t>
      </w:r>
    </w:p>
    <w:p>
      <w:pPr>
        <w:pStyle w:val="ListParagraph"/>
        <w:numPr>
          <w:ilvl w:val="0"/>
          <w:numId w:val="2"/>
        </w:numPr>
      </w:pPr>
      <w:r>
        <w:rPr>
          <w:rFonts w:ascii="Arial" w:hAnsi="Arial" w:cs="Arial"/>
          <w:rFonts w:ascii="Arial" w:hAnsi="Arial"/>
          <w:sz w:val="22"/>
        </w:rPr>
        <w:t>Only the realised portion hits P&amp;L; the balance remains in suspense.</w:t>
      </w:r>
    </w:p>
    <w:p>
      <w:pPr>
        <w:pStyle w:val="Heading2"/>
      </w:pPr>
      <w:r>
        <w:t>33.3 On Upgrade / Cure</w:t>
      </w:r>
    </w:p>
    <w:p>
      <w:pPr>
        <w:pStyle w:val="ListParagraph"/>
        <w:numPr>
          <w:ilvl w:val="0"/>
          <w:numId w:val="2"/>
        </w:numPr>
      </w:pPr>
      <w:r>
        <w:rPr>
          <w:rFonts w:ascii="Arial" w:hAnsi="Arial" w:cs="Arial"/>
          <w:rFonts w:ascii="Arial" w:hAnsi="Arial"/>
          <w:sz w:val="22"/>
        </w:rPr>
        <w:t>When the account is upgraded to standard after the prescribed cure (Section 9.4), accrual-basis recognition resumes prospectively; suspense is unwound to the extent realised.</w:t>
      </w:r>
    </w:p>
    <w:p>
      <w:r>
        <w:rPr>
          <w:rFonts w:ascii="Arial" w:hAnsi="Arial" w:cs="Arial"/>
          <w:rFonts w:ascii="Arial" w:hAnsi="Arial"/>
          <w:b w:val="0"/>
          <w:i w:val="0"/>
          <w:sz w:val="22"/>
        </w:rPr>
        <w:t>This treatment ensures the P&amp;L never carries unrealised NPA interest, aligning the GL (Section 8), the NPA engine (Section 9.4), and the ECL model (Section 30).</w:t>
      </w:r>
    </w:p>
    <w:p>
      <w:pPr>
        <w:pStyle w:val="Heading1"/>
      </w:pPr>
      <w:r>
        <w:t>34. Security, IT Governance &amp; Cyber Resilience (RBI Framework Mapping)</w:t>
      </w:r>
    </w:p>
    <w:p>
      <w:r>
        <w:rPr>
          <w:rFonts w:ascii="Arial" w:hAnsi="Arial" w:cs="Arial"/>
          <w:rFonts w:ascii="Arial" w:hAnsi="Arial"/>
          <w:b w:val="0"/>
          <w:i w:val="0"/>
          <w:sz w:val="22"/>
        </w:rPr>
        <w:t>Section 14 lists good security practices but does not map them to the frameworks an RBI inspection will test against. This section aligns the platform with the RBI (Information Technology Governance, Risk, Controls and Assurance Practices) Directions, 2023 — in force from 1 April 2024 — and with CERT-In incident-reporting rules, and specifies the controls Version 1.0 left implicit.</w:t>
      </w:r>
    </w:p>
    <w:p>
      <w:pPr>
        <w:pStyle w:val="Heading2"/>
      </w:pPr>
      <w:r>
        <w:t>34.1 Control-Domain Mapping</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600"/>
        <w:gridCol w:w="3400"/>
        <w:gridCol w:w="3360"/>
      </w:tblGrid>
      <w:tr>
        <w:tc>
          <w:tcPr>
            <w:tcW w:w="2600" w:type="dxa"/>
            <w:shd w:val="clear" w:color="auto" w:fill="1F4E78"/>
          </w:tcPr>
          <w:p>
            <w:pPr>
              <w:spacing w:after="0" w:before="0"/>
            </w:pPr>
            <w:r/>
            <w:r>
              <w:rPr>
                <w:rFonts w:ascii="Arial" w:hAnsi="Arial" w:cs="Arial"/>
                <w:b/>
                <w:color w:val="FFFFFF"/>
                <w:sz w:val="17"/>
              </w:rPr>
              <w:t>RBI IT-framework domain</w:t>
            </w:r>
          </w:p>
        </w:tc>
        <w:tc>
          <w:tcPr>
            <w:tcW w:w="3400" w:type="dxa"/>
            <w:shd w:val="clear" w:color="auto" w:fill="1F4E78"/>
          </w:tcPr>
          <w:p>
            <w:pPr>
              <w:spacing w:after="0" w:before="0"/>
            </w:pPr>
            <w:r/>
            <w:r>
              <w:rPr>
                <w:rFonts w:ascii="Arial" w:hAnsi="Arial" w:cs="Arial"/>
                <w:b/>
                <w:color w:val="FFFFFF"/>
                <w:sz w:val="17"/>
              </w:rPr>
              <w:t>Requirement</w:t>
            </w:r>
          </w:p>
        </w:tc>
        <w:tc>
          <w:tcPr>
            <w:tcW w:w="3360" w:type="dxa"/>
            <w:shd w:val="clear" w:color="auto" w:fill="1F4E78"/>
          </w:tcPr>
          <w:p>
            <w:pPr>
              <w:spacing w:after="0" w:before="0"/>
            </w:pPr>
            <w:r/>
            <w:r>
              <w:rPr>
                <w:rFonts w:ascii="Arial" w:hAnsi="Arial" w:cs="Arial"/>
                <w:b/>
                <w:color w:val="FFFFFF"/>
                <w:sz w:val="17"/>
              </w:rPr>
              <w:t>Where implemented</w:t>
            </w:r>
          </w:p>
        </w:tc>
      </w:tr>
      <w:tr>
        <w:tc>
          <w:tcPr>
            <w:tcW w:w="2600" w:type="dxa"/>
          </w:tcPr>
          <w:p>
            <w:pPr>
              <w:spacing w:after="0" w:before="0"/>
            </w:pPr>
            <w:r/>
            <w:r>
              <w:rPr>
                <w:rFonts w:ascii="Arial" w:hAnsi="Arial" w:cs="Arial"/>
                <w:b w:val="0"/>
                <w:sz w:val="17"/>
              </w:rPr>
              <w:t>IT governance</w:t>
            </w:r>
          </w:p>
        </w:tc>
        <w:tc>
          <w:tcPr>
            <w:tcW w:w="3400" w:type="dxa"/>
          </w:tcPr>
          <w:p>
            <w:pPr>
              <w:spacing w:after="0" w:before="0"/>
            </w:pPr>
            <w:r/>
            <w:r>
              <w:rPr>
                <w:rFonts w:ascii="Arial" w:hAnsi="Arial" w:cs="Arial"/>
                <w:b w:val="0"/>
                <w:sz w:val="17"/>
              </w:rPr>
              <w:t>Board-level oversight, IT Strategy Committee, documented roles</w:t>
            </w:r>
          </w:p>
        </w:tc>
        <w:tc>
          <w:tcPr>
            <w:tcW w:w="3360" w:type="dxa"/>
          </w:tcPr>
          <w:p>
            <w:pPr>
              <w:spacing w:after="0" w:before="0"/>
            </w:pPr>
            <w:r/>
            <w:r>
              <w:rPr>
                <w:rFonts w:ascii="Arial" w:hAnsi="Arial" w:cs="Arial"/>
                <w:b w:val="0"/>
                <w:sz w:val="17"/>
              </w:rPr>
              <w:t>Governance model + Section 1.4 roles</w:t>
            </w:r>
          </w:p>
        </w:tc>
      </w:tr>
      <w:tr>
        <w:tc>
          <w:tcPr>
            <w:tcW w:w="2600" w:type="dxa"/>
          </w:tcPr>
          <w:p>
            <w:pPr>
              <w:spacing w:after="0" w:before="0"/>
            </w:pPr>
            <w:r/>
            <w:r>
              <w:rPr>
                <w:rFonts w:ascii="Arial" w:hAnsi="Arial" w:cs="Arial"/>
                <w:b w:val="0"/>
                <w:sz w:val="17"/>
              </w:rPr>
              <w:t>IT &amp; information-security risk management</w:t>
            </w:r>
          </w:p>
        </w:tc>
        <w:tc>
          <w:tcPr>
            <w:tcW w:w="3400" w:type="dxa"/>
          </w:tcPr>
          <w:p>
            <w:pPr>
              <w:spacing w:after="0" w:before="0"/>
            </w:pPr>
            <w:r/>
            <w:r>
              <w:rPr>
                <w:rFonts w:ascii="Arial" w:hAnsi="Arial" w:cs="Arial"/>
                <w:b w:val="0"/>
                <w:sz w:val="17"/>
              </w:rPr>
              <w:t>Risk register, periodic IT risk assessment</w:t>
            </w:r>
          </w:p>
        </w:tc>
        <w:tc>
          <w:tcPr>
            <w:tcW w:w="3360" w:type="dxa"/>
          </w:tcPr>
          <w:p>
            <w:pPr>
              <w:spacing w:after="0" w:before="0"/>
            </w:pPr>
            <w:r/>
            <w:r>
              <w:rPr>
                <w:rFonts w:ascii="Arial" w:hAnsi="Arial" w:cs="Arial"/>
                <w:b w:val="0"/>
                <w:sz w:val="17"/>
              </w:rPr>
              <w:t>Risk function; Section 37 links credit-fraud EWS</w:t>
            </w:r>
          </w:p>
        </w:tc>
      </w:tr>
      <w:tr>
        <w:tc>
          <w:tcPr>
            <w:tcW w:w="2600" w:type="dxa"/>
          </w:tcPr>
          <w:p>
            <w:pPr>
              <w:spacing w:after="0" w:before="0"/>
            </w:pPr>
            <w:r/>
            <w:r>
              <w:rPr>
                <w:rFonts w:ascii="Arial" w:hAnsi="Arial" w:cs="Arial"/>
                <w:b w:val="0"/>
                <w:sz w:val="17"/>
              </w:rPr>
              <w:t>Information &amp; cyber security policy</w:t>
            </w:r>
          </w:p>
        </w:tc>
        <w:tc>
          <w:tcPr>
            <w:tcW w:w="3400" w:type="dxa"/>
          </w:tcPr>
          <w:p>
            <w:pPr>
              <w:spacing w:after="0" w:before="0"/>
            </w:pPr>
            <w:r/>
            <w:r>
              <w:rPr>
                <w:rFonts w:ascii="Arial" w:hAnsi="Arial" w:cs="Arial"/>
                <w:b w:val="0"/>
                <w:sz w:val="17"/>
              </w:rPr>
              <w:t>InfoSec policy, cyber-security policy, hardening baselines</w:t>
            </w:r>
          </w:p>
        </w:tc>
        <w:tc>
          <w:tcPr>
            <w:tcW w:w="3360" w:type="dxa"/>
          </w:tcPr>
          <w:p>
            <w:pPr>
              <w:spacing w:after="0" w:before="0"/>
            </w:pPr>
            <w:r/>
            <w:r>
              <w:rPr>
                <w:rFonts w:ascii="Arial" w:hAnsi="Arial" w:cs="Arial"/>
                <w:b w:val="0"/>
                <w:sz w:val="17"/>
              </w:rPr>
              <w:t>Security standard (this section) + Section 14</w:t>
            </w:r>
          </w:p>
        </w:tc>
      </w:tr>
      <w:tr>
        <w:tc>
          <w:tcPr>
            <w:tcW w:w="2600" w:type="dxa"/>
          </w:tcPr>
          <w:p>
            <w:pPr>
              <w:spacing w:after="0" w:before="0"/>
            </w:pPr>
            <w:r/>
            <w:r>
              <w:rPr>
                <w:rFonts w:ascii="Arial" w:hAnsi="Arial" w:cs="Arial"/>
                <w:b w:val="0"/>
                <w:sz w:val="17"/>
              </w:rPr>
              <w:t>Access control</w:t>
            </w:r>
          </w:p>
        </w:tc>
        <w:tc>
          <w:tcPr>
            <w:tcW w:w="3400" w:type="dxa"/>
          </w:tcPr>
          <w:p>
            <w:pPr>
              <w:spacing w:after="0" w:before="0"/>
            </w:pPr>
            <w:r/>
            <w:r>
              <w:rPr>
                <w:rFonts w:ascii="Arial" w:hAnsi="Arial" w:cs="Arial"/>
                <w:b w:val="0"/>
                <w:sz w:val="17"/>
              </w:rPr>
              <w:t>Least-privilege RBAC at module/screen/field, SoD, PAM for admins</w:t>
            </w:r>
          </w:p>
        </w:tc>
        <w:tc>
          <w:tcPr>
            <w:tcW w:w="3360" w:type="dxa"/>
          </w:tcPr>
          <w:p>
            <w:pPr>
              <w:spacing w:after="0" w:before="0"/>
            </w:pPr>
            <w:r/>
            <w:r>
              <w:rPr>
                <w:rFonts w:ascii="Arial" w:hAnsi="Arial" w:cs="Arial"/>
                <w:b w:val="0"/>
                <w:sz w:val="17"/>
              </w:rPr>
              <w:t>Section 1.4, 14 + privileged-access management</w:t>
            </w:r>
          </w:p>
        </w:tc>
      </w:tr>
      <w:tr>
        <w:tc>
          <w:tcPr>
            <w:tcW w:w="2600" w:type="dxa"/>
          </w:tcPr>
          <w:p>
            <w:pPr>
              <w:spacing w:after="0" w:before="0"/>
            </w:pPr>
            <w:r/>
            <w:r>
              <w:rPr>
                <w:rFonts w:ascii="Arial" w:hAnsi="Arial" w:cs="Arial"/>
                <w:b w:val="0"/>
                <w:sz w:val="17"/>
              </w:rPr>
              <w:t>Cryptography &amp; key management</w:t>
            </w:r>
          </w:p>
        </w:tc>
        <w:tc>
          <w:tcPr>
            <w:tcW w:w="3400" w:type="dxa"/>
          </w:tcPr>
          <w:p>
            <w:pPr>
              <w:spacing w:after="0" w:before="0"/>
            </w:pPr>
            <w:r/>
            <w:r>
              <w:rPr>
                <w:rFonts w:ascii="Arial" w:hAnsi="Arial" w:cs="Arial"/>
                <w:b w:val="0"/>
                <w:sz w:val="17"/>
              </w:rPr>
              <w:t>TLS in transit; AES-256 at rest; field tokenisation for PAN/Aadhaar; HSM/KMS</w:t>
            </w:r>
          </w:p>
        </w:tc>
        <w:tc>
          <w:tcPr>
            <w:tcW w:w="3360" w:type="dxa"/>
          </w:tcPr>
          <w:p>
            <w:pPr>
              <w:spacing w:after="0" w:before="0"/>
            </w:pPr>
            <w:r/>
            <w:r>
              <w:rPr>
                <w:rFonts w:ascii="Arial" w:hAnsi="Arial" w:cs="Arial"/>
                <w:b w:val="0"/>
                <w:sz w:val="17"/>
              </w:rPr>
              <w:t>34.2</w:t>
            </w:r>
          </w:p>
        </w:tc>
      </w:tr>
      <w:tr>
        <w:tc>
          <w:tcPr>
            <w:tcW w:w="2600" w:type="dxa"/>
          </w:tcPr>
          <w:p>
            <w:pPr>
              <w:spacing w:after="0" w:before="0"/>
            </w:pPr>
            <w:r/>
            <w:r>
              <w:rPr>
                <w:rFonts w:ascii="Arial" w:hAnsi="Arial" w:cs="Arial"/>
                <w:b w:val="0"/>
                <w:sz w:val="17"/>
              </w:rPr>
              <w:t>Application security (SDLC)</w:t>
            </w:r>
          </w:p>
        </w:tc>
        <w:tc>
          <w:tcPr>
            <w:tcW w:w="3400" w:type="dxa"/>
          </w:tcPr>
          <w:p>
            <w:pPr>
              <w:spacing w:after="0" w:before="0"/>
            </w:pPr>
            <w:r/>
            <w:r>
              <w:rPr>
                <w:rFonts w:ascii="Arial" w:hAnsi="Arial" w:cs="Arial"/>
                <w:b w:val="0"/>
                <w:sz w:val="17"/>
              </w:rPr>
              <w:t>Secure SDLC, SAST/DAST, dependency/SBOM scanning, code review</w:t>
            </w:r>
          </w:p>
        </w:tc>
        <w:tc>
          <w:tcPr>
            <w:tcW w:w="3360" w:type="dxa"/>
          </w:tcPr>
          <w:p>
            <w:pPr>
              <w:spacing w:after="0" w:before="0"/>
            </w:pPr>
            <w:r/>
            <w:r>
              <w:rPr>
                <w:rFonts w:ascii="Arial" w:hAnsi="Arial" w:cs="Arial"/>
                <w:b w:val="0"/>
                <w:sz w:val="17"/>
              </w:rPr>
              <w:t>Section 41.4</w:t>
            </w:r>
          </w:p>
        </w:tc>
      </w:tr>
      <w:tr>
        <w:tc>
          <w:tcPr>
            <w:tcW w:w="2600" w:type="dxa"/>
          </w:tcPr>
          <w:p>
            <w:pPr>
              <w:spacing w:after="0" w:before="0"/>
            </w:pPr>
            <w:r/>
            <w:r>
              <w:rPr>
                <w:rFonts w:ascii="Arial" w:hAnsi="Arial" w:cs="Arial"/>
                <w:b w:val="0"/>
                <w:sz w:val="17"/>
              </w:rPr>
              <w:t>Change &amp; configuration management</w:t>
            </w:r>
          </w:p>
        </w:tc>
        <w:tc>
          <w:tcPr>
            <w:tcW w:w="3400" w:type="dxa"/>
          </w:tcPr>
          <w:p>
            <w:pPr>
              <w:spacing w:after="0" w:before="0"/>
            </w:pPr>
            <w:r/>
            <w:r>
              <w:rPr>
                <w:rFonts w:ascii="Arial" w:hAnsi="Arial" w:cs="Arial"/>
                <w:b w:val="0"/>
                <w:sz w:val="17"/>
              </w:rPr>
              <w:t>Maker-checker changes, IaC, segregated environments</w:t>
            </w:r>
          </w:p>
        </w:tc>
        <w:tc>
          <w:tcPr>
            <w:tcW w:w="3360" w:type="dxa"/>
          </w:tcPr>
          <w:p>
            <w:pPr>
              <w:spacing w:after="0" w:before="0"/>
            </w:pPr>
            <w:r/>
            <w:r>
              <w:rPr>
                <w:rFonts w:ascii="Arial" w:hAnsi="Arial" w:cs="Arial"/>
                <w:b w:val="0"/>
                <w:sz w:val="17"/>
              </w:rPr>
              <w:t>Section 42.1</w:t>
            </w:r>
          </w:p>
        </w:tc>
      </w:tr>
      <w:tr>
        <w:tc>
          <w:tcPr>
            <w:tcW w:w="2600" w:type="dxa"/>
          </w:tcPr>
          <w:p>
            <w:pPr>
              <w:spacing w:after="0" w:before="0"/>
            </w:pPr>
            <w:r/>
            <w:r>
              <w:rPr>
                <w:rFonts w:ascii="Arial" w:hAnsi="Arial" w:cs="Arial"/>
                <w:b w:val="0"/>
                <w:sz w:val="17"/>
              </w:rPr>
              <w:t>BCP / DR</w:t>
            </w:r>
          </w:p>
        </w:tc>
        <w:tc>
          <w:tcPr>
            <w:tcW w:w="3400" w:type="dxa"/>
          </w:tcPr>
          <w:p>
            <w:pPr>
              <w:spacing w:after="0" w:before="0"/>
            </w:pPr>
            <w:r/>
            <w:r>
              <w:rPr>
                <w:rFonts w:ascii="Arial" w:hAnsi="Arial" w:cs="Arial"/>
                <w:b w:val="0"/>
                <w:sz w:val="17"/>
              </w:rPr>
              <w:t>RPO/RTO, DR drills, Cyber Crisis Management Plan (CCMP)</w:t>
            </w:r>
          </w:p>
        </w:tc>
        <w:tc>
          <w:tcPr>
            <w:tcW w:w="3360" w:type="dxa"/>
          </w:tcPr>
          <w:p>
            <w:pPr>
              <w:spacing w:after="0" w:before="0"/>
            </w:pPr>
            <w:r/>
            <w:r>
              <w:rPr>
                <w:rFonts w:ascii="Arial" w:hAnsi="Arial" w:cs="Arial"/>
                <w:b w:val="0"/>
                <w:sz w:val="17"/>
              </w:rPr>
              <w:t>Section 29.1 + drills</w:t>
            </w:r>
          </w:p>
        </w:tc>
      </w:tr>
      <w:tr>
        <w:tc>
          <w:tcPr>
            <w:tcW w:w="2600" w:type="dxa"/>
          </w:tcPr>
          <w:p>
            <w:pPr>
              <w:spacing w:after="0" w:before="0"/>
            </w:pPr>
            <w:r/>
            <w:r>
              <w:rPr>
                <w:rFonts w:ascii="Arial" w:hAnsi="Arial" w:cs="Arial"/>
                <w:b w:val="0"/>
                <w:sz w:val="17"/>
              </w:rPr>
              <w:t>IS audit &amp; assurance</w:t>
            </w:r>
          </w:p>
        </w:tc>
        <w:tc>
          <w:tcPr>
            <w:tcW w:w="3400" w:type="dxa"/>
          </w:tcPr>
          <w:p>
            <w:pPr>
              <w:spacing w:after="0" w:before="0"/>
            </w:pPr>
            <w:r/>
            <w:r>
              <w:rPr>
                <w:rFonts w:ascii="Arial" w:hAnsi="Arial" w:cs="Arial"/>
                <w:b w:val="0"/>
                <w:sz w:val="17"/>
              </w:rPr>
              <w:t>VAPT before go-live and at least annually / on major change</w:t>
            </w:r>
          </w:p>
        </w:tc>
        <w:tc>
          <w:tcPr>
            <w:tcW w:w="3360" w:type="dxa"/>
          </w:tcPr>
          <w:p>
            <w:pPr>
              <w:spacing w:after="0" w:before="0"/>
            </w:pPr>
            <w:r/>
            <w:r>
              <w:rPr>
                <w:rFonts w:ascii="Arial" w:hAnsi="Arial" w:cs="Arial"/>
                <w:b w:val="0"/>
                <w:sz w:val="17"/>
              </w:rPr>
              <w:t>Section 41.4</w:t>
            </w:r>
          </w:p>
        </w:tc>
      </w:tr>
      <w:tr>
        <w:tc>
          <w:tcPr>
            <w:tcW w:w="2600" w:type="dxa"/>
          </w:tcPr>
          <w:p>
            <w:pPr>
              <w:spacing w:after="0" w:before="0"/>
            </w:pPr>
            <w:r/>
            <w:r>
              <w:rPr>
                <w:rFonts w:ascii="Arial" w:hAnsi="Arial" w:cs="Arial"/>
                <w:b w:val="0"/>
                <w:sz w:val="17"/>
              </w:rPr>
              <w:t>Third-party / outsourcing risk</w:t>
            </w:r>
          </w:p>
        </w:tc>
        <w:tc>
          <w:tcPr>
            <w:tcW w:w="3400" w:type="dxa"/>
          </w:tcPr>
          <w:p>
            <w:pPr>
              <w:spacing w:after="0" w:before="0"/>
            </w:pPr>
            <w:r/>
            <w:r>
              <w:rPr>
                <w:rFonts w:ascii="Arial" w:hAnsi="Arial" w:cs="Arial"/>
                <w:b w:val="0"/>
                <w:sz w:val="17"/>
              </w:rPr>
              <w:t>Vendor due diligence, right-to-audit, LSP governance</w:t>
            </w:r>
          </w:p>
        </w:tc>
        <w:tc>
          <w:tcPr>
            <w:tcW w:w="3360" w:type="dxa"/>
          </w:tcPr>
          <w:p>
            <w:pPr>
              <w:spacing w:after="0" w:before="0"/>
            </w:pPr>
            <w:r/>
            <w:r>
              <w:rPr>
                <w:rFonts w:ascii="Arial" w:hAnsi="Arial" w:cs="Arial"/>
                <w:b w:val="0"/>
                <w:sz w:val="17"/>
              </w:rPr>
              <w:t>Sections 17.2, 21, 36.2</w:t>
            </w:r>
          </w:p>
        </w:tc>
      </w:tr>
      <w:tr>
        <w:tc>
          <w:tcPr>
            <w:tcW w:w="2600" w:type="dxa"/>
          </w:tcPr>
          <w:p>
            <w:pPr>
              <w:spacing w:after="0" w:before="0"/>
            </w:pPr>
            <w:r/>
            <w:r>
              <w:rPr>
                <w:rFonts w:ascii="Arial" w:hAnsi="Arial" w:cs="Arial"/>
                <w:b w:val="0"/>
                <w:sz w:val="17"/>
              </w:rPr>
              <w:t>Audit trail &amp; log retention</w:t>
            </w:r>
          </w:p>
        </w:tc>
        <w:tc>
          <w:tcPr>
            <w:tcW w:w="3400" w:type="dxa"/>
          </w:tcPr>
          <w:p>
            <w:pPr>
              <w:spacing w:after="0" w:before="0"/>
            </w:pPr>
            <w:r/>
            <w:r>
              <w:rPr>
                <w:rFonts w:ascii="Arial" w:hAnsi="Arial" w:cs="Arial"/>
                <w:b w:val="0"/>
                <w:sz w:val="17"/>
              </w:rPr>
              <w:t>Immutable logs; CERT-In: retain logs 180 days in India</w:t>
            </w:r>
          </w:p>
        </w:tc>
        <w:tc>
          <w:tcPr>
            <w:tcW w:w="3360" w:type="dxa"/>
          </w:tcPr>
          <w:p>
            <w:pPr>
              <w:spacing w:after="0" w:before="0"/>
            </w:pPr>
            <w:r/>
            <w:r>
              <w:rPr>
                <w:rFonts w:ascii="Arial" w:hAnsi="Arial" w:cs="Arial"/>
                <w:b w:val="0"/>
                <w:sz w:val="17"/>
              </w:rPr>
              <w:t>34.3 + Section 14</w:t>
            </w:r>
          </w:p>
        </w:tc>
      </w:tr>
    </w:tbl>
    <w:p/>
    <w:p>
      <w:pPr>
        <w:pStyle w:val="Heading2"/>
      </w:pPr>
      <w:r>
        <w:t>34.2 Key Management &amp; API Security</w:t>
      </w:r>
    </w:p>
    <w:p>
      <w:pPr>
        <w:pStyle w:val="ListParagraph"/>
        <w:numPr>
          <w:ilvl w:val="0"/>
          <w:numId w:val="2"/>
        </w:numPr>
      </w:pPr>
      <w:r>
        <w:rPr>
          <w:rFonts w:ascii="Arial" w:hAnsi="Arial" w:cs="Arial"/>
          <w:rFonts w:ascii="Arial" w:hAnsi="Arial"/>
          <w:sz w:val="22"/>
        </w:rPr>
        <w:t>Keys and secrets are held in an HSM-backed KMS/Vault; no secret in source, config files, or images; automatic rotation and per-tenant key separation.</w:t>
      </w:r>
    </w:p>
    <w:p>
      <w:pPr>
        <w:pStyle w:val="ListParagraph"/>
        <w:numPr>
          <w:ilvl w:val="0"/>
          <w:numId w:val="2"/>
        </w:numPr>
      </w:pPr>
      <w:r>
        <w:rPr>
          <w:rFonts w:ascii="Arial" w:hAnsi="Arial" w:cs="Arial"/>
          <w:rFonts w:ascii="Arial" w:hAnsi="Arial"/>
          <w:sz w:val="22"/>
        </w:rPr>
        <w:t>PII (PAN, Aadhaar, account numbers) is encrypted and tokenised at the field level; only masked values are shown in the UI and logs (Section 14).</w:t>
      </w:r>
    </w:p>
    <w:p>
      <w:pPr>
        <w:pStyle w:val="ListParagraph"/>
        <w:numPr>
          <w:ilvl w:val="0"/>
          <w:numId w:val="2"/>
        </w:numPr>
      </w:pPr>
      <w:r>
        <w:rPr>
          <w:rFonts w:ascii="Arial" w:hAnsi="Arial" w:cs="Arial"/>
          <w:rFonts w:ascii="Arial" w:hAnsi="Arial"/>
          <w:sz w:val="22"/>
        </w:rPr>
        <w:t>Server-to-server APIs use OAuth2 client-credentials plus mutual TLS; user sessions use OIDC with MFA; webhooks are signed and verified (Section 40.4).</w:t>
      </w:r>
    </w:p>
    <w:p>
      <w:pPr>
        <w:pStyle w:val="Heading2"/>
      </w:pPr>
      <w:r>
        <w:t>34.3 Incident Response &amp; Breach Reporting</w:t>
      </w:r>
    </w:p>
    <w:p>
      <w:pPr>
        <w:pStyle w:val="ListParagraph"/>
        <w:numPr>
          <w:ilvl w:val="0"/>
          <w:numId w:val="2"/>
        </w:numPr>
      </w:pPr>
      <w:r>
        <w:rPr>
          <w:rFonts w:ascii="Arial" w:hAnsi="Arial" w:cs="Arial"/>
          <w:rFonts w:ascii="Arial" w:hAnsi="Arial"/>
          <w:sz w:val="22"/>
        </w:rPr>
        <w:t>Detect → contain → eradicate → recover, with a documented CCMP and an on-call security function.</w:t>
      </w:r>
    </w:p>
    <w:p>
      <w:pPr>
        <w:pStyle w:val="ListParagraph"/>
        <w:numPr>
          <w:ilvl w:val="0"/>
          <w:numId w:val="2"/>
        </w:numPr>
      </w:pPr>
      <w:r>
        <w:rPr>
          <w:rFonts w:ascii="Arial" w:hAnsi="Arial" w:cs="Arial"/>
          <w:rFonts w:ascii="Arial" w:hAnsi="Arial"/>
          <w:sz w:val="22"/>
        </w:rPr>
        <w:t>Report cyber incidents to CERT-In within 6 hours of noticing (per the 2022 Directions); maintain synchronised (NTP) logs for at least 180 days within India.</w:t>
      </w:r>
    </w:p>
    <w:p>
      <w:pPr>
        <w:pStyle w:val="ListParagraph"/>
        <w:numPr>
          <w:ilvl w:val="0"/>
          <w:numId w:val="2"/>
        </w:numPr>
      </w:pPr>
      <w:r>
        <w:rPr>
          <w:rFonts w:ascii="Arial" w:hAnsi="Arial" w:cs="Arial"/>
          <w:rFonts w:ascii="Arial" w:hAnsi="Arial"/>
          <w:sz w:val="22"/>
        </w:rPr>
        <w:t>Where a personal-data breach occurs, notify the Data Protection Board and affected data principals as required under the DPDP Act (Section 35), and preserve forensic evidence with a root-cause analysis.</w:t>
      </w:r>
    </w:p>
    <w:p>
      <w:pPr>
        <w:pStyle w:val="Heading1"/>
      </w:pPr>
      <w:r>
        <w:t>35. Data Privacy (DPDP) — Consent Model &amp; Retention Schedule</w:t>
      </w:r>
    </w:p>
    <w:p>
      <w:r>
        <w:rPr>
          <w:rFonts w:ascii="Arial" w:hAnsi="Arial" w:cs="Arial"/>
          <w:rFonts w:ascii="Arial" w:hAnsi="Arial"/>
          <w:b w:val="0"/>
          <w:i w:val="0"/>
          <w:sz w:val="22"/>
        </w:rPr>
        <w:t>Section 14 names the DPDP Act, 2023 but does not model consent or retention. This section makes consent a first-class, versioned artifact and defines a data-class retention schedule, including the rule for the conflict between the right to erasure and statutory retention.</w:t>
      </w:r>
    </w:p>
    <w:p>
      <w:pPr>
        <w:pStyle w:val="Heading2"/>
      </w:pPr>
      <w:r>
        <w:t>35.1 Consent as a First-Class Entity</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200"/>
        <w:gridCol w:w="7160"/>
      </w:tblGrid>
      <w:tr>
        <w:tc>
          <w:tcPr>
            <w:tcW w:w="2200" w:type="dxa"/>
            <w:shd w:val="clear" w:color="auto" w:fill="1F4E78"/>
          </w:tcPr>
          <w:p>
            <w:pPr>
              <w:spacing w:after="0" w:before="0"/>
            </w:pPr>
            <w:r/>
            <w:r>
              <w:rPr>
                <w:rFonts w:ascii="Arial" w:hAnsi="Arial" w:cs="Arial"/>
                <w:b/>
                <w:color w:val="FFFFFF"/>
                <w:sz w:val="17"/>
              </w:rPr>
              <w:t>Attribute</w:t>
            </w:r>
          </w:p>
        </w:tc>
        <w:tc>
          <w:tcPr>
            <w:tcW w:w="7160" w:type="dxa"/>
            <w:shd w:val="clear" w:color="auto" w:fill="1F4E78"/>
          </w:tcPr>
          <w:p>
            <w:pPr>
              <w:spacing w:after="0" w:before="0"/>
            </w:pPr>
            <w:r/>
            <w:r>
              <w:rPr>
                <w:rFonts w:ascii="Arial" w:hAnsi="Arial" w:cs="Arial"/>
                <w:b/>
                <w:color w:val="FFFFFF"/>
                <w:sz w:val="17"/>
              </w:rPr>
              <w:t>Notes</w:t>
            </w:r>
          </w:p>
        </w:tc>
      </w:tr>
      <w:tr>
        <w:tc>
          <w:tcPr>
            <w:tcW w:w="2200" w:type="dxa"/>
          </w:tcPr>
          <w:p>
            <w:pPr>
              <w:spacing w:after="0" w:before="0"/>
            </w:pPr>
            <w:r/>
            <w:r>
              <w:rPr>
                <w:rFonts w:ascii="Arial" w:hAnsi="Arial" w:cs="Arial"/>
                <w:b w:val="0"/>
                <w:sz w:val="17"/>
              </w:rPr>
              <w:t>consent_id (PK)</w:t>
            </w:r>
          </w:p>
        </w:tc>
        <w:tc>
          <w:tcPr>
            <w:tcW w:w="7160" w:type="dxa"/>
          </w:tcPr>
          <w:p>
            <w:pPr>
              <w:spacing w:after="0" w:before="0"/>
            </w:pPr>
            <w:r/>
            <w:r>
              <w:rPr>
                <w:rFonts w:ascii="Arial" w:hAnsi="Arial" w:cs="Arial"/>
                <w:b w:val="0"/>
                <w:sz w:val="17"/>
              </w:rPr>
              <w:t>Unique per consent grant</w:t>
            </w:r>
          </w:p>
        </w:tc>
      </w:tr>
      <w:tr>
        <w:tc>
          <w:tcPr>
            <w:tcW w:w="2200" w:type="dxa"/>
          </w:tcPr>
          <w:p>
            <w:pPr>
              <w:spacing w:after="0" w:before="0"/>
            </w:pPr>
            <w:r/>
            <w:r>
              <w:rPr>
                <w:rFonts w:ascii="Arial" w:hAnsi="Arial" w:cs="Arial"/>
                <w:b w:val="0"/>
                <w:sz w:val="17"/>
              </w:rPr>
              <w:t>party_id (FK)</w:t>
            </w:r>
          </w:p>
        </w:tc>
        <w:tc>
          <w:tcPr>
            <w:tcW w:w="7160" w:type="dxa"/>
          </w:tcPr>
          <w:p>
            <w:pPr>
              <w:spacing w:after="0" w:before="0"/>
            </w:pPr>
            <w:r/>
            <w:r>
              <w:rPr>
                <w:rFonts w:ascii="Arial" w:hAnsi="Arial" w:cs="Arial"/>
                <w:b w:val="0"/>
                <w:sz w:val="17"/>
              </w:rPr>
              <w:t>Data principal</w:t>
            </w:r>
          </w:p>
        </w:tc>
      </w:tr>
      <w:tr>
        <w:tc>
          <w:tcPr>
            <w:tcW w:w="2200" w:type="dxa"/>
          </w:tcPr>
          <w:p>
            <w:pPr>
              <w:spacing w:after="0" w:before="0"/>
            </w:pPr>
            <w:r/>
            <w:r>
              <w:rPr>
                <w:rFonts w:ascii="Arial" w:hAnsi="Arial" w:cs="Arial"/>
                <w:b w:val="0"/>
                <w:sz w:val="17"/>
              </w:rPr>
              <w:t>purpose</w:t>
            </w:r>
          </w:p>
        </w:tc>
        <w:tc>
          <w:tcPr>
            <w:tcW w:w="7160" w:type="dxa"/>
          </w:tcPr>
          <w:p>
            <w:pPr>
              <w:spacing w:after="0" w:before="0"/>
            </w:pPr>
            <w:r/>
            <w:r>
              <w:rPr>
                <w:rFonts w:ascii="Arial" w:hAnsi="Arial" w:cs="Arial"/>
                <w:b w:val="0"/>
                <w:sz w:val="17"/>
              </w:rPr>
              <w:t>Specific purpose (underwriting, servicing, marketing, bureau pull, LSP sharing) — no bundling</w:t>
            </w:r>
          </w:p>
        </w:tc>
      </w:tr>
      <w:tr>
        <w:tc>
          <w:tcPr>
            <w:tcW w:w="2200" w:type="dxa"/>
          </w:tcPr>
          <w:p>
            <w:pPr>
              <w:spacing w:after="0" w:before="0"/>
            </w:pPr>
            <w:r/>
            <w:r>
              <w:rPr>
                <w:rFonts w:ascii="Arial" w:hAnsi="Arial" w:cs="Arial"/>
                <w:b w:val="0"/>
                <w:sz w:val="17"/>
              </w:rPr>
              <w:t>data_categories</w:t>
            </w:r>
          </w:p>
        </w:tc>
        <w:tc>
          <w:tcPr>
            <w:tcW w:w="7160" w:type="dxa"/>
          </w:tcPr>
          <w:p>
            <w:pPr>
              <w:spacing w:after="0" w:before="0"/>
            </w:pPr>
            <w:r/>
            <w:r>
              <w:rPr>
                <w:rFonts w:ascii="Arial" w:hAnsi="Arial" w:cs="Arial"/>
                <w:b w:val="0"/>
                <w:sz w:val="17"/>
              </w:rPr>
              <w:t>Categories covered by this consent</w:t>
            </w:r>
          </w:p>
        </w:tc>
      </w:tr>
      <w:tr>
        <w:tc>
          <w:tcPr>
            <w:tcW w:w="2200" w:type="dxa"/>
          </w:tcPr>
          <w:p>
            <w:pPr>
              <w:spacing w:after="0" w:before="0"/>
            </w:pPr>
            <w:r/>
            <w:r>
              <w:rPr>
                <w:rFonts w:ascii="Arial" w:hAnsi="Arial" w:cs="Arial"/>
                <w:b w:val="0"/>
                <w:sz w:val="17"/>
              </w:rPr>
              <w:t>artifact_ref</w:t>
            </w:r>
          </w:p>
        </w:tc>
        <w:tc>
          <w:tcPr>
            <w:tcW w:w="7160" w:type="dxa"/>
          </w:tcPr>
          <w:p>
            <w:pPr>
              <w:spacing w:after="0" w:before="0"/>
            </w:pPr>
            <w:r/>
            <w:r>
              <w:rPr>
                <w:rFonts w:ascii="Arial" w:hAnsi="Arial" w:cs="Arial"/>
                <w:b w:val="0"/>
                <w:sz w:val="17"/>
              </w:rPr>
              <w:t>AA/DEPA consent-artifact handle or e-consent record</w:t>
            </w:r>
          </w:p>
        </w:tc>
      </w:tr>
      <w:tr>
        <w:tc>
          <w:tcPr>
            <w:tcW w:w="2200" w:type="dxa"/>
          </w:tcPr>
          <w:p>
            <w:pPr>
              <w:spacing w:after="0" w:before="0"/>
            </w:pPr>
            <w:r/>
            <w:r>
              <w:rPr>
                <w:rFonts w:ascii="Arial" w:hAnsi="Arial" w:cs="Arial"/>
                <w:b w:val="0"/>
                <w:sz w:val="17"/>
              </w:rPr>
              <w:t>channel &amp; timestamp</w:t>
            </w:r>
          </w:p>
        </w:tc>
        <w:tc>
          <w:tcPr>
            <w:tcW w:w="7160" w:type="dxa"/>
          </w:tcPr>
          <w:p>
            <w:pPr>
              <w:spacing w:after="0" w:before="0"/>
            </w:pPr>
            <w:r/>
            <w:r>
              <w:rPr>
                <w:rFonts w:ascii="Arial" w:hAnsi="Arial" w:cs="Arial"/>
                <w:b w:val="0"/>
                <w:sz w:val="17"/>
              </w:rPr>
              <w:t>How and when consent was captured</w:t>
            </w:r>
          </w:p>
        </w:tc>
      </w:tr>
      <w:tr>
        <w:tc>
          <w:tcPr>
            <w:tcW w:w="2200" w:type="dxa"/>
          </w:tcPr>
          <w:p>
            <w:pPr>
              <w:spacing w:after="0" w:before="0"/>
            </w:pPr>
            <w:r/>
            <w:r>
              <w:rPr>
                <w:rFonts w:ascii="Arial" w:hAnsi="Arial" w:cs="Arial"/>
                <w:b w:val="0"/>
                <w:sz w:val="17"/>
              </w:rPr>
              <w:t>version &amp; language</w:t>
            </w:r>
          </w:p>
        </w:tc>
        <w:tc>
          <w:tcPr>
            <w:tcW w:w="7160" w:type="dxa"/>
          </w:tcPr>
          <w:p>
            <w:pPr>
              <w:spacing w:after="0" w:before="0"/>
            </w:pPr>
            <w:r/>
            <w:r>
              <w:rPr>
                <w:rFonts w:ascii="Arial" w:hAnsi="Arial" w:cs="Arial"/>
                <w:b w:val="0"/>
                <w:sz w:val="17"/>
              </w:rPr>
              <w:t>Notice version and the vernacular language shown to the principal</w:t>
            </w:r>
          </w:p>
        </w:tc>
      </w:tr>
      <w:tr>
        <w:tc>
          <w:tcPr>
            <w:tcW w:w="2200" w:type="dxa"/>
          </w:tcPr>
          <w:p>
            <w:pPr>
              <w:spacing w:after="0" w:before="0"/>
            </w:pPr>
            <w:r/>
            <w:r>
              <w:rPr>
                <w:rFonts w:ascii="Arial" w:hAnsi="Arial" w:cs="Arial"/>
                <w:b w:val="0"/>
                <w:sz w:val="17"/>
              </w:rPr>
              <w:t>expiry / validity</w:t>
            </w:r>
          </w:p>
        </w:tc>
        <w:tc>
          <w:tcPr>
            <w:tcW w:w="7160" w:type="dxa"/>
          </w:tcPr>
          <w:p>
            <w:pPr>
              <w:spacing w:after="0" w:before="0"/>
            </w:pPr>
            <w:r/>
            <w:r>
              <w:rPr>
                <w:rFonts w:ascii="Arial" w:hAnsi="Arial" w:cs="Arial"/>
                <w:b w:val="0"/>
                <w:sz w:val="17"/>
              </w:rPr>
              <w:t>Time-bound where applicable (e.g., AA consent window)</w:t>
            </w:r>
          </w:p>
        </w:tc>
      </w:tr>
      <w:tr>
        <w:tc>
          <w:tcPr>
            <w:tcW w:w="2200" w:type="dxa"/>
          </w:tcPr>
          <w:p>
            <w:pPr>
              <w:spacing w:after="0" w:before="0"/>
            </w:pPr>
            <w:r/>
            <w:r>
              <w:rPr>
                <w:rFonts w:ascii="Arial" w:hAnsi="Arial" w:cs="Arial"/>
                <w:b w:val="0"/>
                <w:sz w:val="17"/>
              </w:rPr>
              <w:t>status</w:t>
            </w:r>
          </w:p>
        </w:tc>
        <w:tc>
          <w:tcPr>
            <w:tcW w:w="7160" w:type="dxa"/>
          </w:tcPr>
          <w:p>
            <w:pPr>
              <w:spacing w:after="0" w:before="0"/>
            </w:pPr>
            <w:r/>
            <w:r>
              <w:rPr>
                <w:rFonts w:ascii="Arial" w:hAnsi="Arial" w:cs="Arial"/>
                <w:b w:val="0"/>
                <w:sz w:val="17"/>
              </w:rPr>
              <w:t>ACTIVE / EXPIRED / REVOKED — revocation is honoured and logged</w:t>
            </w:r>
          </w:p>
        </w:tc>
      </w:tr>
      <w:tr>
        <w:tc>
          <w:tcPr>
            <w:tcW w:w="2200" w:type="dxa"/>
          </w:tcPr>
          <w:p>
            <w:pPr>
              <w:spacing w:after="0" w:before="0"/>
            </w:pPr>
            <w:r/>
            <w:r>
              <w:rPr>
                <w:rFonts w:ascii="Arial" w:hAnsi="Arial" w:cs="Arial"/>
                <w:b w:val="0"/>
                <w:sz w:val="17"/>
              </w:rPr>
              <w:t>linkage</w:t>
            </w:r>
          </w:p>
        </w:tc>
        <w:tc>
          <w:tcPr>
            <w:tcW w:w="7160" w:type="dxa"/>
          </w:tcPr>
          <w:p>
            <w:pPr>
              <w:spacing w:after="0" w:before="0"/>
            </w:pPr>
            <w:r/>
            <w:r>
              <w:rPr>
                <w:rFonts w:ascii="Arial" w:hAnsi="Arial" w:cs="Arial"/>
                <w:b w:val="0"/>
                <w:sz w:val="17"/>
              </w:rPr>
              <w:t>Application / Loan Account / bureau pull the consent authorises</w:t>
            </w:r>
          </w:p>
        </w:tc>
      </w:tr>
    </w:tbl>
    <w:p/>
    <w:p>
      <w:pPr>
        <w:pStyle w:val="ListParagraph"/>
        <w:numPr>
          <w:ilvl w:val="0"/>
          <w:numId w:val="2"/>
        </w:numPr>
      </w:pPr>
      <w:r>
        <w:rPr>
          <w:rFonts w:ascii="Arial" w:hAnsi="Arial" w:cs="Arial"/>
          <w:rFonts w:ascii="Arial" w:hAnsi="Arial"/>
          <w:sz w:val="22"/>
        </w:rPr>
        <w:t>Every downstream data pull (bureau, AA, GSTN, DigiLocker) and every share (LSP/co-lender) checks for a valid, unexpired consent of matching purpose before proceeding.</w:t>
      </w:r>
    </w:p>
    <w:p>
      <w:pPr>
        <w:pStyle w:val="ListParagraph"/>
        <w:numPr>
          <w:ilvl w:val="0"/>
          <w:numId w:val="2"/>
        </w:numPr>
      </w:pPr>
      <w:r>
        <w:rPr>
          <w:rFonts w:ascii="Arial" w:hAnsi="Arial" w:cs="Arial"/>
          <w:rFonts w:ascii="Arial" w:hAnsi="Arial"/>
          <w:sz w:val="22"/>
        </w:rPr>
        <w:t>Data-principal rights — access, correction, nomination, grievance, and erasure — are exposed as workflows with defined turnaround and audit logging; notices are provided in the borrower’s chosen language.</w:t>
      </w:r>
    </w:p>
    <w:p>
      <w:pPr>
        <w:pStyle w:val="Heading2"/>
      </w:pPr>
      <w:r>
        <w:t>35.2 Retention Schedule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2900"/>
        <w:gridCol w:w="3560"/>
      </w:tblGrid>
      <w:tr>
        <w:tc>
          <w:tcPr>
            <w:tcW w:w="2900" w:type="dxa"/>
            <w:shd w:val="clear" w:color="auto" w:fill="1F4E78"/>
          </w:tcPr>
          <w:p>
            <w:pPr>
              <w:spacing w:after="0" w:before="0"/>
            </w:pPr>
            <w:r/>
            <w:r>
              <w:rPr>
                <w:rFonts w:ascii="Arial" w:hAnsi="Arial" w:cs="Arial"/>
                <w:b/>
                <w:color w:val="FFFFFF"/>
                <w:sz w:val="17"/>
              </w:rPr>
              <w:t>Data class</w:t>
            </w:r>
          </w:p>
        </w:tc>
        <w:tc>
          <w:tcPr>
            <w:tcW w:w="2900" w:type="dxa"/>
            <w:shd w:val="clear" w:color="auto" w:fill="1F4E78"/>
          </w:tcPr>
          <w:p>
            <w:pPr>
              <w:spacing w:after="0" w:before="0"/>
            </w:pPr>
            <w:r/>
            <w:r>
              <w:rPr>
                <w:rFonts w:ascii="Arial" w:hAnsi="Arial" w:cs="Arial"/>
                <w:b/>
                <w:color w:val="FFFFFF"/>
                <w:sz w:val="17"/>
              </w:rPr>
              <w:t>Minimum retention</w:t>
            </w:r>
          </w:p>
        </w:tc>
        <w:tc>
          <w:tcPr>
            <w:tcW w:w="3560" w:type="dxa"/>
            <w:shd w:val="clear" w:color="auto" w:fill="1F4E78"/>
          </w:tcPr>
          <w:p>
            <w:pPr>
              <w:spacing w:after="0" w:before="0"/>
            </w:pPr>
            <w:r/>
            <w:r>
              <w:rPr>
                <w:rFonts w:ascii="Arial" w:hAnsi="Arial" w:cs="Arial"/>
                <w:b/>
                <w:color w:val="FFFFFF"/>
                <w:sz w:val="17"/>
              </w:rPr>
              <w:t>Basis</w:t>
            </w:r>
          </w:p>
        </w:tc>
      </w:tr>
      <w:tr>
        <w:tc>
          <w:tcPr>
            <w:tcW w:w="2900" w:type="dxa"/>
          </w:tcPr>
          <w:p>
            <w:pPr>
              <w:spacing w:after="0" w:before="0"/>
            </w:pPr>
            <w:r/>
            <w:r>
              <w:rPr>
                <w:rFonts w:ascii="Arial" w:hAnsi="Arial" w:cs="Arial"/>
                <w:b w:val="0"/>
                <w:sz w:val="17"/>
              </w:rPr>
              <w:t>KYC records &amp; documents</w:t>
            </w:r>
          </w:p>
        </w:tc>
        <w:tc>
          <w:tcPr>
            <w:tcW w:w="2900" w:type="dxa"/>
          </w:tcPr>
          <w:p>
            <w:pPr>
              <w:spacing w:after="0" w:before="0"/>
            </w:pPr>
            <w:r/>
            <w:r>
              <w:rPr>
                <w:rFonts w:ascii="Arial" w:hAnsi="Arial" w:cs="Arial"/>
                <w:b w:val="0"/>
                <w:sz w:val="17"/>
              </w:rPr>
              <w:t>5 years after account closure / relationship end</w:t>
            </w:r>
          </w:p>
        </w:tc>
        <w:tc>
          <w:tcPr>
            <w:tcW w:w="3560" w:type="dxa"/>
          </w:tcPr>
          <w:p>
            <w:pPr>
              <w:spacing w:after="0" w:before="0"/>
            </w:pPr>
            <w:r/>
            <w:r>
              <w:rPr>
                <w:rFonts w:ascii="Arial" w:hAnsi="Arial" w:cs="Arial"/>
                <w:b w:val="0"/>
                <w:sz w:val="17"/>
              </w:rPr>
              <w:t>PMLA Rules (Section 16.3)</w:t>
            </w:r>
          </w:p>
        </w:tc>
      </w:tr>
      <w:tr>
        <w:tc>
          <w:tcPr>
            <w:tcW w:w="2900" w:type="dxa"/>
          </w:tcPr>
          <w:p>
            <w:pPr>
              <w:spacing w:after="0" w:before="0"/>
            </w:pPr>
            <w:r/>
            <w:r>
              <w:rPr>
                <w:rFonts w:ascii="Arial" w:hAnsi="Arial" w:cs="Arial"/>
                <w:b w:val="0"/>
                <w:sz w:val="17"/>
              </w:rPr>
              <w:t>Transaction &amp; loan-account ledger</w:t>
            </w:r>
          </w:p>
        </w:tc>
        <w:tc>
          <w:tcPr>
            <w:tcW w:w="2900" w:type="dxa"/>
          </w:tcPr>
          <w:p>
            <w:pPr>
              <w:spacing w:after="0" w:before="0"/>
            </w:pPr>
            <w:r/>
            <w:r>
              <w:rPr>
                <w:rFonts w:ascii="Arial" w:hAnsi="Arial" w:cs="Arial"/>
                <w:b w:val="0"/>
                <w:sz w:val="17"/>
              </w:rPr>
              <w:t>8 years</w:t>
            </w:r>
          </w:p>
        </w:tc>
        <w:tc>
          <w:tcPr>
            <w:tcW w:w="3560" w:type="dxa"/>
          </w:tcPr>
          <w:p>
            <w:pPr>
              <w:spacing w:after="0" w:before="0"/>
            </w:pPr>
            <w:r/>
            <w:r>
              <w:rPr>
                <w:rFonts w:ascii="Arial" w:hAnsi="Arial" w:cs="Arial"/>
                <w:b w:val="0"/>
                <w:sz w:val="17"/>
              </w:rPr>
              <w:t>Companies Act books + audit</w:t>
            </w:r>
          </w:p>
        </w:tc>
      </w:tr>
      <w:tr>
        <w:tc>
          <w:tcPr>
            <w:tcW w:w="2900" w:type="dxa"/>
          </w:tcPr>
          <w:p>
            <w:pPr>
              <w:spacing w:after="0" w:before="0"/>
            </w:pPr>
            <w:r/>
            <w:r>
              <w:rPr>
                <w:rFonts w:ascii="Arial" w:hAnsi="Arial" w:cs="Arial"/>
                <w:b w:val="0"/>
                <w:sz w:val="17"/>
              </w:rPr>
              <w:t>CIC submission records</w:t>
            </w:r>
          </w:p>
        </w:tc>
        <w:tc>
          <w:tcPr>
            <w:tcW w:w="2900" w:type="dxa"/>
          </w:tcPr>
          <w:p>
            <w:pPr>
              <w:spacing w:after="0" w:before="0"/>
            </w:pPr>
            <w:r/>
            <w:r>
              <w:rPr>
                <w:rFonts w:ascii="Arial" w:hAnsi="Arial" w:cs="Arial"/>
                <w:b w:val="0"/>
                <w:sz w:val="17"/>
              </w:rPr>
              <w:t>As per CICRA / bureau agreement</w:t>
            </w:r>
          </w:p>
        </w:tc>
        <w:tc>
          <w:tcPr>
            <w:tcW w:w="3560" w:type="dxa"/>
          </w:tcPr>
          <w:p>
            <w:pPr>
              <w:spacing w:after="0" w:before="0"/>
            </w:pPr>
            <w:r/>
            <w:r>
              <w:rPr>
                <w:rFonts w:ascii="Arial" w:hAnsi="Arial" w:cs="Arial"/>
                <w:b w:val="0"/>
                <w:sz w:val="17"/>
              </w:rPr>
              <w:t>Section 10</w:t>
            </w:r>
          </w:p>
        </w:tc>
      </w:tr>
      <w:tr>
        <w:tc>
          <w:tcPr>
            <w:tcW w:w="2900" w:type="dxa"/>
          </w:tcPr>
          <w:p>
            <w:pPr>
              <w:spacing w:after="0" w:before="0"/>
            </w:pPr>
            <w:r/>
            <w:r>
              <w:rPr>
                <w:rFonts w:ascii="Arial" w:hAnsi="Arial" w:cs="Arial"/>
                <w:b w:val="0"/>
                <w:sz w:val="17"/>
              </w:rPr>
              <w:t>AML case records (STR/CTR)</w:t>
            </w:r>
          </w:p>
        </w:tc>
        <w:tc>
          <w:tcPr>
            <w:tcW w:w="2900" w:type="dxa"/>
          </w:tcPr>
          <w:p>
            <w:pPr>
              <w:spacing w:after="0" w:before="0"/>
            </w:pPr>
            <w:r/>
            <w:r>
              <w:rPr>
                <w:rFonts w:ascii="Arial" w:hAnsi="Arial" w:cs="Arial"/>
                <w:b w:val="0"/>
                <w:sz w:val="17"/>
              </w:rPr>
              <w:t>5 years from transaction/closure</w:t>
            </w:r>
          </w:p>
        </w:tc>
        <w:tc>
          <w:tcPr>
            <w:tcW w:w="3560" w:type="dxa"/>
          </w:tcPr>
          <w:p>
            <w:pPr>
              <w:spacing w:after="0" w:before="0"/>
            </w:pPr>
            <w:r/>
            <w:r>
              <w:rPr>
                <w:rFonts w:ascii="Arial" w:hAnsi="Arial" w:cs="Arial"/>
                <w:b w:val="0"/>
                <w:sz w:val="17"/>
              </w:rPr>
              <w:t>PMLA</w:t>
            </w:r>
          </w:p>
        </w:tc>
      </w:tr>
      <w:tr>
        <w:tc>
          <w:tcPr>
            <w:tcW w:w="2900" w:type="dxa"/>
          </w:tcPr>
          <w:p>
            <w:pPr>
              <w:spacing w:after="0" w:before="0"/>
            </w:pPr>
            <w:r/>
            <w:r>
              <w:rPr>
                <w:rFonts w:ascii="Arial" w:hAnsi="Arial" w:cs="Arial"/>
                <w:b w:val="0"/>
                <w:sz w:val="17"/>
              </w:rPr>
              <w:t>Call recordings (collections)</w:t>
            </w:r>
          </w:p>
        </w:tc>
        <w:tc>
          <w:tcPr>
            <w:tcW w:w="2900" w:type="dxa"/>
          </w:tcPr>
          <w:p>
            <w:pPr>
              <w:spacing w:after="0" w:before="0"/>
            </w:pPr>
            <w:r/>
            <w:r>
              <w:rPr>
                <w:rFonts w:ascii="Arial" w:hAnsi="Arial" w:cs="Arial"/>
                <w:b w:val="0"/>
                <w:sz w:val="17"/>
              </w:rPr>
              <w:t>Per policy (e.g., 6–12 months)</w:t>
            </w:r>
          </w:p>
        </w:tc>
        <w:tc>
          <w:tcPr>
            <w:tcW w:w="3560" w:type="dxa"/>
          </w:tcPr>
          <w:p>
            <w:pPr>
              <w:spacing w:after="0" w:before="0"/>
            </w:pPr>
            <w:r/>
            <w:r>
              <w:rPr>
                <w:rFonts w:ascii="Arial" w:hAnsi="Arial" w:cs="Arial"/>
                <w:b w:val="0"/>
                <w:sz w:val="17"/>
              </w:rPr>
              <w:t>Section 36</w:t>
            </w:r>
          </w:p>
        </w:tc>
      </w:tr>
      <w:tr>
        <w:tc>
          <w:tcPr>
            <w:tcW w:w="2900" w:type="dxa"/>
          </w:tcPr>
          <w:p>
            <w:pPr>
              <w:spacing w:after="0" w:before="0"/>
            </w:pPr>
            <w:r/>
            <w:r>
              <w:rPr>
                <w:rFonts w:ascii="Arial" w:hAnsi="Arial" w:cs="Arial"/>
                <w:b w:val="0"/>
                <w:sz w:val="17"/>
              </w:rPr>
              <w:t>Video-KYC recordings</w:t>
            </w:r>
          </w:p>
        </w:tc>
        <w:tc>
          <w:tcPr>
            <w:tcW w:w="2900" w:type="dxa"/>
          </w:tcPr>
          <w:p>
            <w:pPr>
              <w:spacing w:after="0" w:before="0"/>
            </w:pPr>
            <w:r/>
            <w:r>
              <w:rPr>
                <w:rFonts w:ascii="Arial" w:hAnsi="Arial" w:cs="Arial"/>
                <w:b w:val="0"/>
                <w:sz w:val="17"/>
              </w:rPr>
              <w:t>As per RBI KYC Master Direction</w:t>
            </w:r>
          </w:p>
        </w:tc>
        <w:tc>
          <w:tcPr>
            <w:tcW w:w="3560" w:type="dxa"/>
          </w:tcPr>
          <w:p>
            <w:pPr>
              <w:spacing w:after="0" w:before="0"/>
            </w:pPr>
            <w:r/>
            <w:r>
              <w:rPr>
                <w:rFonts w:ascii="Arial" w:hAnsi="Arial" w:cs="Arial"/>
                <w:b w:val="0"/>
                <w:sz w:val="17"/>
              </w:rPr>
              <w:t>Section 2</w:t>
            </w:r>
          </w:p>
        </w:tc>
      </w:tr>
      <w:tr>
        <w:tc>
          <w:tcPr>
            <w:tcW w:w="2900" w:type="dxa"/>
          </w:tcPr>
          <w:p>
            <w:pPr>
              <w:spacing w:after="0" w:before="0"/>
            </w:pPr>
            <w:r/>
            <w:r>
              <w:rPr>
                <w:rFonts w:ascii="Arial" w:hAnsi="Arial" w:cs="Arial"/>
                <w:b w:val="0"/>
                <w:sz w:val="17"/>
              </w:rPr>
              <w:t>Security &amp; audit logs</w:t>
            </w:r>
          </w:p>
        </w:tc>
        <w:tc>
          <w:tcPr>
            <w:tcW w:w="2900" w:type="dxa"/>
          </w:tcPr>
          <w:p>
            <w:pPr>
              <w:spacing w:after="0" w:before="0"/>
            </w:pPr>
            <w:r/>
            <w:r>
              <w:rPr>
                <w:rFonts w:ascii="Arial" w:hAnsi="Arial" w:cs="Arial"/>
                <w:b w:val="0"/>
                <w:sz w:val="17"/>
              </w:rPr>
              <w:t>≥ 180 days online (CERT-In); archive longer</w:t>
            </w:r>
          </w:p>
        </w:tc>
        <w:tc>
          <w:tcPr>
            <w:tcW w:w="3560" w:type="dxa"/>
          </w:tcPr>
          <w:p>
            <w:pPr>
              <w:spacing w:after="0" w:before="0"/>
            </w:pPr>
            <w:r/>
            <w:r>
              <w:rPr>
                <w:rFonts w:ascii="Arial" w:hAnsi="Arial" w:cs="Arial"/>
                <w:b w:val="0"/>
                <w:sz w:val="17"/>
              </w:rPr>
              <w:t>Section 34.3</w:t>
            </w:r>
          </w:p>
        </w:tc>
      </w:tr>
      <w:tr>
        <w:tc>
          <w:tcPr>
            <w:tcW w:w="2900" w:type="dxa"/>
          </w:tcPr>
          <w:p>
            <w:pPr>
              <w:spacing w:after="0" w:before="0"/>
            </w:pPr>
            <w:r/>
            <w:r>
              <w:rPr>
                <w:rFonts w:ascii="Arial" w:hAnsi="Arial" w:cs="Arial"/>
                <w:b w:val="0"/>
                <w:sz w:val="17"/>
              </w:rPr>
              <w:t>Consent artifacts</w:t>
            </w:r>
          </w:p>
        </w:tc>
        <w:tc>
          <w:tcPr>
            <w:tcW w:w="2900" w:type="dxa"/>
          </w:tcPr>
          <w:p>
            <w:pPr>
              <w:spacing w:after="0" w:before="0"/>
            </w:pPr>
            <w:r/>
            <w:r>
              <w:rPr>
                <w:rFonts w:ascii="Arial" w:hAnsi="Arial" w:cs="Arial"/>
                <w:b w:val="0"/>
                <w:sz w:val="17"/>
              </w:rPr>
              <w:t>Life of relationship + statutory tail</w:t>
            </w:r>
          </w:p>
        </w:tc>
        <w:tc>
          <w:tcPr>
            <w:tcW w:w="3560" w:type="dxa"/>
          </w:tcPr>
          <w:p>
            <w:pPr>
              <w:spacing w:after="0" w:before="0"/>
            </w:pPr>
            <w:r/>
            <w:r>
              <w:rPr>
                <w:rFonts w:ascii="Arial" w:hAnsi="Arial" w:cs="Arial"/>
                <w:b w:val="0"/>
                <w:sz w:val="17"/>
              </w:rPr>
              <w:t>DPDP + sectoral law</w:t>
            </w:r>
          </w:p>
        </w:tc>
      </w:tr>
    </w:tbl>
    <w:p/>
    <w:p>
      <w:pPr>
        <w:pStyle w:val="ListParagraph"/>
        <w:numPr>
          <w:ilvl w:val="0"/>
          <w:numId w:val="2"/>
        </w:numPr>
      </w:pPr>
      <w:r>
        <w:rPr>
          <w:rFonts w:ascii="Arial" w:hAnsi="Arial" w:cs="Arial"/>
          <w:rFonts w:ascii="Arial" w:hAnsi="Arial"/>
          <w:sz w:val="22"/>
        </w:rPr>
        <w:t>Erasure vs. retention: where a data principal requests erasure but the data is under a statutory retention obligation, retention prevails for the mandated period; the record is restricted/anonymised for all non-statutory uses and purged when the obligation lapses.</w:t>
      </w:r>
    </w:p>
    <w:p>
      <w:pPr>
        <w:pStyle w:val="ListParagraph"/>
        <w:numPr>
          <w:ilvl w:val="0"/>
          <w:numId w:val="2"/>
        </w:numPr>
      </w:pPr>
      <w:r>
        <w:rPr>
          <w:rFonts w:ascii="Arial" w:hAnsi="Arial" w:cs="Arial"/>
          <w:rFonts w:ascii="Arial" w:hAnsi="Arial"/>
          <w:sz w:val="22"/>
        </w:rPr>
        <w:t>All storage and processing remain within India (Section 15); processors operate under data-processing agreements with purpose limitation.</w:t>
      </w:r>
    </w:p>
    <w:p>
      <w:pPr>
        <w:pStyle w:val="Heading1"/>
      </w:pPr>
      <w:r>
        <w:t>36. Collections Conduct &amp; Recovery-Agent Governance</w:t>
      </w:r>
    </w:p>
    <w:p>
      <w:r>
        <w:rPr>
          <w:rFonts w:ascii="Arial" w:hAnsi="Arial" w:cs="Arial"/>
          <w:rFonts w:ascii="Arial" w:hAnsi="Arial"/>
          <w:b w:val="0"/>
          <w:i w:val="0"/>
          <w:sz w:val="22"/>
        </w:rPr>
        <w:t>Section 7 covers collections mechanics but not the conduct guardrails RBI enforces. These rules are built into the collections and field-app workflows, not left to agent discretion.</w:t>
      </w:r>
    </w:p>
    <w:p>
      <w:pPr>
        <w:pStyle w:val="Heading2"/>
      </w:pPr>
      <w:r>
        <w:t>36.1 Conduct Rules (system-enforced)</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3200"/>
        <w:gridCol w:w="6160"/>
      </w:tblGrid>
      <w:tr>
        <w:tc>
          <w:tcPr>
            <w:tcW w:w="3200" w:type="dxa"/>
            <w:shd w:val="clear" w:color="auto" w:fill="1F4E78"/>
          </w:tcPr>
          <w:p>
            <w:pPr>
              <w:spacing w:after="0" w:before="0"/>
            </w:pPr>
            <w:r/>
            <w:r>
              <w:rPr>
                <w:rFonts w:ascii="Arial" w:hAnsi="Arial" w:cs="Arial"/>
                <w:b/>
                <w:color w:val="FFFFFF"/>
                <w:sz w:val="17"/>
              </w:rPr>
              <w:t>Rule</w:t>
            </w:r>
          </w:p>
        </w:tc>
        <w:tc>
          <w:tcPr>
            <w:tcW w:w="6160" w:type="dxa"/>
            <w:shd w:val="clear" w:color="auto" w:fill="1F4E78"/>
          </w:tcPr>
          <w:p>
            <w:pPr>
              <w:spacing w:after="0" w:before="0"/>
            </w:pPr>
            <w:r/>
            <w:r>
              <w:rPr>
                <w:rFonts w:ascii="Arial" w:hAnsi="Arial" w:cs="Arial"/>
                <w:b/>
                <w:color w:val="FFFFFF"/>
                <w:sz w:val="17"/>
              </w:rPr>
              <w:t>Enforcement</w:t>
            </w:r>
          </w:p>
        </w:tc>
      </w:tr>
      <w:tr>
        <w:tc>
          <w:tcPr>
            <w:tcW w:w="3200" w:type="dxa"/>
          </w:tcPr>
          <w:p>
            <w:pPr>
              <w:spacing w:after="0" w:before="0"/>
            </w:pPr>
            <w:r/>
            <w:r>
              <w:rPr>
                <w:rFonts w:ascii="Arial" w:hAnsi="Arial" w:cs="Arial"/>
                <w:b w:val="0"/>
                <w:sz w:val="17"/>
              </w:rPr>
              <w:t>Permitted contact window 08:00–19:00</w:t>
            </w:r>
          </w:p>
        </w:tc>
        <w:tc>
          <w:tcPr>
            <w:tcW w:w="6160" w:type="dxa"/>
          </w:tcPr>
          <w:p>
            <w:pPr>
              <w:spacing w:after="0" w:before="0"/>
            </w:pPr>
            <w:r/>
            <w:r>
              <w:rPr>
                <w:rFonts w:ascii="Arial" w:hAnsi="Arial" w:cs="Arial"/>
                <w:b w:val="0"/>
                <w:sz w:val="17"/>
              </w:rPr>
              <w:t>Dialer/field-app blocks calls/visits outside the window and on borrower-set DND</w:t>
            </w:r>
          </w:p>
        </w:tc>
      </w:tr>
      <w:tr>
        <w:tc>
          <w:tcPr>
            <w:tcW w:w="3200" w:type="dxa"/>
          </w:tcPr>
          <w:p>
            <w:pPr>
              <w:spacing w:after="0" w:before="0"/>
            </w:pPr>
            <w:r/>
            <w:r>
              <w:rPr>
                <w:rFonts w:ascii="Arial" w:hAnsi="Arial" w:cs="Arial"/>
                <w:b w:val="0"/>
                <w:sz w:val="17"/>
              </w:rPr>
              <w:t>No harassment / coercion</w:t>
            </w:r>
          </w:p>
        </w:tc>
        <w:tc>
          <w:tcPr>
            <w:tcW w:w="6160" w:type="dxa"/>
          </w:tcPr>
          <w:p>
            <w:pPr>
              <w:spacing w:after="0" w:before="0"/>
            </w:pPr>
            <w:r/>
            <w:r>
              <w:rPr>
                <w:rFonts w:ascii="Arial" w:hAnsi="Arial" w:cs="Arial"/>
                <w:b w:val="0"/>
                <w:sz w:val="17"/>
              </w:rPr>
              <w:t>Scripted, recorded interactions; complaint linkage; supervisor review of escalations</w:t>
            </w:r>
          </w:p>
        </w:tc>
      </w:tr>
      <w:tr>
        <w:tc>
          <w:tcPr>
            <w:tcW w:w="3200" w:type="dxa"/>
          </w:tcPr>
          <w:p>
            <w:pPr>
              <w:spacing w:after="0" w:before="0"/>
            </w:pPr>
            <w:r/>
            <w:r>
              <w:rPr>
                <w:rFonts w:ascii="Arial" w:hAnsi="Arial" w:cs="Arial"/>
                <w:b w:val="0"/>
                <w:sz w:val="17"/>
              </w:rPr>
              <w:t>Call recording &amp; retention</w:t>
            </w:r>
          </w:p>
        </w:tc>
        <w:tc>
          <w:tcPr>
            <w:tcW w:w="6160" w:type="dxa"/>
          </w:tcPr>
          <w:p>
            <w:pPr>
              <w:spacing w:after="0" w:before="0"/>
            </w:pPr>
            <w:r/>
            <w:r>
              <w:rPr>
                <w:rFonts w:ascii="Arial" w:hAnsi="Arial" w:cs="Arial"/>
                <w:b w:val="0"/>
                <w:sz w:val="17"/>
              </w:rPr>
              <w:t>All tele-calling recorded and retained per Section 35.2 for dispute handling</w:t>
            </w:r>
          </w:p>
        </w:tc>
      </w:tr>
      <w:tr>
        <w:tc>
          <w:tcPr>
            <w:tcW w:w="3200" w:type="dxa"/>
          </w:tcPr>
          <w:p>
            <w:pPr>
              <w:spacing w:after="0" w:before="0"/>
            </w:pPr>
            <w:r/>
            <w:r>
              <w:rPr>
                <w:rFonts w:ascii="Arial" w:hAnsi="Arial" w:cs="Arial"/>
                <w:b w:val="0"/>
                <w:sz w:val="17"/>
              </w:rPr>
              <w:t>Language &amp; identification</w:t>
            </w:r>
          </w:p>
        </w:tc>
        <w:tc>
          <w:tcPr>
            <w:tcW w:w="6160" w:type="dxa"/>
          </w:tcPr>
          <w:p>
            <w:pPr>
              <w:spacing w:after="0" w:before="0"/>
            </w:pPr>
            <w:r/>
            <w:r>
              <w:rPr>
                <w:rFonts w:ascii="Arial" w:hAnsi="Arial" w:cs="Arial"/>
                <w:b w:val="0"/>
                <w:sz w:val="17"/>
              </w:rPr>
              <w:t>Agent identifies self/agency; communicates in the borrower’s language</w:t>
            </w:r>
          </w:p>
        </w:tc>
      </w:tr>
      <w:tr>
        <w:tc>
          <w:tcPr>
            <w:tcW w:w="3200" w:type="dxa"/>
          </w:tcPr>
          <w:p>
            <w:pPr>
              <w:spacing w:after="0" w:before="0"/>
            </w:pPr>
            <w:r/>
            <w:r>
              <w:rPr>
                <w:rFonts w:ascii="Arial" w:hAnsi="Arial" w:cs="Arial"/>
                <w:b w:val="0"/>
                <w:sz w:val="17"/>
              </w:rPr>
              <w:t>Privacy in recovery</w:t>
            </w:r>
          </w:p>
        </w:tc>
        <w:tc>
          <w:tcPr>
            <w:tcW w:w="6160" w:type="dxa"/>
          </w:tcPr>
          <w:p>
            <w:pPr>
              <w:spacing w:after="0" w:before="0"/>
            </w:pPr>
            <w:r/>
            <w:r>
              <w:rPr>
                <w:rFonts w:ascii="Arial" w:hAnsi="Arial" w:cs="Arial"/>
                <w:b w:val="0"/>
                <w:sz w:val="17"/>
              </w:rPr>
              <w:t>No disclosure of the debt to third parties/relatives beyond permitted contacts</w:t>
            </w:r>
          </w:p>
        </w:tc>
      </w:tr>
      <w:tr>
        <w:tc>
          <w:tcPr>
            <w:tcW w:w="3200" w:type="dxa"/>
          </w:tcPr>
          <w:p>
            <w:pPr>
              <w:spacing w:after="0" w:before="0"/>
            </w:pPr>
            <w:r/>
            <w:r>
              <w:rPr>
                <w:rFonts w:ascii="Arial" w:hAnsi="Arial" w:cs="Arial"/>
                <w:b w:val="0"/>
                <w:sz w:val="17"/>
              </w:rPr>
              <w:t>Digital lending</w:t>
            </w:r>
          </w:p>
        </w:tc>
        <w:tc>
          <w:tcPr>
            <w:tcW w:w="6160" w:type="dxa"/>
          </w:tcPr>
          <w:p>
            <w:pPr>
              <w:spacing w:after="0" w:before="0"/>
            </w:pPr>
            <w:r/>
            <w:r>
              <w:rPr>
                <w:rFonts w:ascii="Arial" w:hAnsi="Arial" w:cs="Arial"/>
                <w:b w:val="0"/>
                <w:sz w:val="17"/>
              </w:rPr>
              <w:t>No coercive recovery; recovery only via the regulated entity/authorised LSP</w:t>
            </w:r>
          </w:p>
        </w:tc>
      </w:tr>
      <w:tr>
        <w:tc>
          <w:tcPr>
            <w:tcW w:w="3200" w:type="dxa"/>
          </w:tcPr>
          <w:p>
            <w:pPr>
              <w:spacing w:after="0" w:before="0"/>
            </w:pPr>
            <w:r/>
            <w:r>
              <w:rPr>
                <w:rFonts w:ascii="Arial" w:hAnsi="Arial" w:cs="Arial"/>
                <w:b w:val="0"/>
                <w:sz w:val="17"/>
              </w:rPr>
              <w:t>No unsolicited limit increase</w:t>
            </w:r>
          </w:p>
        </w:tc>
        <w:tc>
          <w:tcPr>
            <w:tcW w:w="6160" w:type="dxa"/>
          </w:tcPr>
          <w:p>
            <w:pPr>
              <w:spacing w:after="0" w:before="0"/>
            </w:pPr>
            <w:r/>
            <w:r>
              <w:rPr>
                <w:rFonts w:ascii="Arial" w:hAnsi="Arial" w:cs="Arial"/>
                <w:b w:val="0"/>
                <w:sz w:val="17"/>
              </w:rPr>
              <w:t>Revolving-limit increases (Section 3.2/3.33) require explicit borrower consent</w:t>
            </w:r>
          </w:p>
        </w:tc>
      </w:tr>
    </w:tbl>
    <w:p/>
    <w:p>
      <w:pPr>
        <w:pStyle w:val="Heading2"/>
      </w:pPr>
      <w:r>
        <w:t>36.2 Recovery-Agent / Agency Governance</w:t>
      </w:r>
    </w:p>
    <w:p>
      <w:pPr>
        <w:pStyle w:val="ListParagraph"/>
        <w:numPr>
          <w:ilvl w:val="0"/>
          <w:numId w:val="2"/>
        </w:numPr>
      </w:pPr>
      <w:r>
        <w:rPr>
          <w:rFonts w:ascii="Arial" w:hAnsi="Arial" w:cs="Arial"/>
          <w:rFonts w:ascii="Arial" w:hAnsi="Arial"/>
          <w:sz w:val="22"/>
        </w:rPr>
        <w:t>Agents and agencies are empanelled through the Vendor Master (Section 21) with a signed Code of Conduct, mandatory training/certification, and coverage mapping.</w:t>
      </w:r>
    </w:p>
    <w:p>
      <w:pPr>
        <w:pStyle w:val="ListParagraph"/>
        <w:numPr>
          <w:ilvl w:val="0"/>
          <w:numId w:val="2"/>
        </w:numPr>
      </w:pPr>
      <w:r>
        <w:rPr>
          <w:rFonts w:ascii="Arial" w:hAnsi="Arial" w:cs="Arial"/>
          <w:rFonts w:ascii="Arial" w:hAnsi="Arial"/>
          <w:sz w:val="22"/>
        </w:rPr>
        <w:t>Performance and complaint history feed the vendor performance score; breaches trigger warning/suspension workflows and are reportable to the Board.</w:t>
      </w:r>
    </w:p>
    <w:p>
      <w:pPr>
        <w:pStyle w:val="ListParagraph"/>
        <w:numPr>
          <w:ilvl w:val="0"/>
          <w:numId w:val="2"/>
        </w:numPr>
      </w:pPr>
      <w:r>
        <w:rPr>
          <w:rFonts w:ascii="Arial" w:hAnsi="Arial" w:cs="Arial"/>
          <w:rFonts w:ascii="Arial" w:hAnsi="Arial"/>
          <w:sz w:val="22"/>
        </w:rPr>
        <w:t>Outsourcing follows RBI’s outsourcing directions — the NBFC remains responsible for agent conduct; right-to-audit is retained.</w:t>
      </w:r>
    </w:p>
    <w:p>
      <w:pPr>
        <w:pStyle w:val="Heading1"/>
      </w:pPr>
      <w:r>
        <w:t>37. Fraud Risk — Early Warning Signals, RFA, FMR &amp; Wilful/Large Defaulters</w:t>
      </w:r>
    </w:p>
    <w:p>
      <w:r>
        <w:rPr>
          <w:rFonts w:ascii="Arial" w:hAnsi="Arial" w:cs="Arial"/>
          <w:rFonts w:ascii="Arial" w:hAnsi="Arial"/>
          <w:b w:val="0"/>
          <w:i w:val="0"/>
          <w:sz w:val="22"/>
        </w:rPr>
        <w:t>Version 1.0 covers AML (Section 16) but not credit-fraud risk management, which RBI mandates separately. This module adds Early Warning Signals (EWS), the Red-Flagged Account (RFA) workflow, Fraud Monitoring Return (FMR) reporting, and the wilful/large-defaulter process.</w:t>
      </w:r>
    </w:p>
    <w:p>
      <w:pPr>
        <w:pStyle w:val="Heading2"/>
      </w:pPr>
      <w:r>
        <w:t>37.1 Early Warning Signals (EWS)</w:t>
      </w:r>
    </w:p>
    <w:p>
      <w:pPr>
        <w:pStyle w:val="ListParagraph"/>
        <w:numPr>
          <w:ilvl w:val="0"/>
          <w:numId w:val="2"/>
        </w:numPr>
      </w:pPr>
      <w:r>
        <w:rPr>
          <w:rFonts w:ascii="Arial" w:hAnsi="Arial" w:cs="Arial"/>
          <w:rFonts w:ascii="Arial" w:hAnsi="Arial"/>
          <w:sz w:val="22"/>
        </w:rPr>
        <w:t>Indicators (configurable, scored): first-payment / early default, cheque/mandate bounces, sudden turnover or settlement drop (GST/AA/UPI analytics), fund diversion or unexplained related-party flows, over-invoicing in SCF/factoring, multiple AA/KYC rejections, device/velocity/identity-fraud signals at digital origination.</w:t>
      </w:r>
    </w:p>
    <w:p>
      <w:pPr>
        <w:pStyle w:val="ListParagraph"/>
        <w:numPr>
          <w:ilvl w:val="0"/>
          <w:numId w:val="2"/>
        </w:numPr>
      </w:pPr>
      <w:r>
        <w:rPr>
          <w:rFonts w:ascii="Arial" w:hAnsi="Arial" w:cs="Arial"/>
          <w:rFonts w:ascii="Arial" w:hAnsi="Arial"/>
          <w:sz w:val="22"/>
        </w:rPr>
        <w:t>EWS alerts route to a review queue; a triggered account can be tagged for enhanced monitoring or escalated to RFA.</w:t>
      </w:r>
    </w:p>
    <w:p>
      <w:pPr>
        <w:pStyle w:val="Heading2"/>
      </w:pPr>
      <w:r>
        <w:t>37.2 Red-Flagged Account (RFA) &amp; Fraud Workflow</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400"/>
        <w:gridCol w:w="6960"/>
      </w:tblGrid>
      <w:tr>
        <w:tc>
          <w:tcPr>
            <w:tcW w:w="2400" w:type="dxa"/>
            <w:shd w:val="clear" w:color="auto" w:fill="1F4E78"/>
          </w:tcPr>
          <w:p>
            <w:pPr>
              <w:spacing w:after="0" w:before="0"/>
            </w:pPr>
            <w:r/>
            <w:r>
              <w:rPr>
                <w:rFonts w:ascii="Arial" w:hAnsi="Arial" w:cs="Arial"/>
                <w:b/>
                <w:color w:val="FFFFFF"/>
                <w:sz w:val="17"/>
              </w:rPr>
              <w:t>Stage</w:t>
            </w:r>
          </w:p>
        </w:tc>
        <w:tc>
          <w:tcPr>
            <w:tcW w:w="6960" w:type="dxa"/>
            <w:shd w:val="clear" w:color="auto" w:fill="1F4E78"/>
          </w:tcPr>
          <w:p>
            <w:pPr>
              <w:spacing w:after="0" w:before="0"/>
            </w:pPr>
            <w:r/>
            <w:r>
              <w:rPr>
                <w:rFonts w:ascii="Arial" w:hAnsi="Arial" w:cs="Arial"/>
                <w:b/>
                <w:color w:val="FFFFFF"/>
                <w:sz w:val="17"/>
              </w:rPr>
              <w:t>Action</w:t>
            </w:r>
          </w:p>
        </w:tc>
      </w:tr>
      <w:tr>
        <w:tc>
          <w:tcPr>
            <w:tcW w:w="2400" w:type="dxa"/>
          </w:tcPr>
          <w:p>
            <w:pPr>
              <w:spacing w:after="0" w:before="0"/>
            </w:pPr>
            <w:r/>
            <w:r>
              <w:rPr>
                <w:rFonts w:ascii="Arial" w:hAnsi="Arial" w:cs="Arial"/>
                <w:b w:val="0"/>
                <w:sz w:val="17"/>
              </w:rPr>
              <w:t>EWS trigger</w:t>
            </w:r>
          </w:p>
        </w:tc>
        <w:tc>
          <w:tcPr>
            <w:tcW w:w="6960" w:type="dxa"/>
          </w:tcPr>
          <w:p>
            <w:pPr>
              <w:spacing w:after="0" w:before="0"/>
            </w:pPr>
            <w:r/>
            <w:r>
              <w:rPr>
                <w:rFonts w:ascii="Arial" w:hAnsi="Arial" w:cs="Arial"/>
                <w:b w:val="0"/>
                <w:sz w:val="17"/>
              </w:rPr>
              <w:t>Alert raised; analyst review within SLA</w:t>
            </w:r>
          </w:p>
        </w:tc>
      </w:tr>
      <w:tr>
        <w:tc>
          <w:tcPr>
            <w:tcW w:w="2400" w:type="dxa"/>
          </w:tcPr>
          <w:p>
            <w:pPr>
              <w:spacing w:after="0" w:before="0"/>
            </w:pPr>
            <w:r/>
            <w:r>
              <w:rPr>
                <w:rFonts w:ascii="Arial" w:hAnsi="Arial" w:cs="Arial"/>
                <w:b w:val="0"/>
                <w:sz w:val="17"/>
              </w:rPr>
              <w:t>RFA classification</w:t>
            </w:r>
          </w:p>
        </w:tc>
        <w:tc>
          <w:tcPr>
            <w:tcW w:w="6960" w:type="dxa"/>
          </w:tcPr>
          <w:p>
            <w:pPr>
              <w:spacing w:after="0" w:before="0"/>
            </w:pPr>
            <w:r/>
            <w:r>
              <w:rPr>
                <w:rFonts w:ascii="Arial" w:hAnsi="Arial" w:cs="Arial"/>
                <w:b w:val="0"/>
                <w:sz w:val="17"/>
              </w:rPr>
              <w:t>Account red-flagged; forensic/stock audit commissioned where warranted</w:t>
            </w:r>
          </w:p>
        </w:tc>
      </w:tr>
      <w:tr>
        <w:tc>
          <w:tcPr>
            <w:tcW w:w="2400" w:type="dxa"/>
          </w:tcPr>
          <w:p>
            <w:pPr>
              <w:spacing w:after="0" w:before="0"/>
            </w:pPr>
            <w:r/>
            <w:r>
              <w:rPr>
                <w:rFonts w:ascii="Arial" w:hAnsi="Arial" w:cs="Arial"/>
                <w:b w:val="0"/>
                <w:sz w:val="17"/>
              </w:rPr>
              <w:t>Fraud determination</w:t>
            </w:r>
          </w:p>
        </w:tc>
        <w:tc>
          <w:tcPr>
            <w:tcW w:w="6960" w:type="dxa"/>
          </w:tcPr>
          <w:p>
            <w:pPr>
              <w:spacing w:after="0" w:before="0"/>
            </w:pPr>
            <w:r/>
            <w:r>
              <w:rPr>
                <w:rFonts w:ascii="Arial" w:hAnsi="Arial" w:cs="Arial"/>
                <w:b w:val="0"/>
                <w:sz w:val="17"/>
              </w:rPr>
              <w:t>Fraud committee decision within the RBI-prescribed timeline from RFA</w:t>
            </w:r>
          </w:p>
        </w:tc>
      </w:tr>
      <w:tr>
        <w:tc>
          <w:tcPr>
            <w:tcW w:w="2400" w:type="dxa"/>
          </w:tcPr>
          <w:p>
            <w:pPr>
              <w:spacing w:after="0" w:before="0"/>
            </w:pPr>
            <w:r/>
            <w:r>
              <w:rPr>
                <w:rFonts w:ascii="Arial" w:hAnsi="Arial" w:cs="Arial"/>
                <w:b w:val="0"/>
                <w:sz w:val="17"/>
              </w:rPr>
              <w:t>Reporting</w:t>
            </w:r>
          </w:p>
        </w:tc>
        <w:tc>
          <w:tcPr>
            <w:tcW w:w="6960" w:type="dxa"/>
          </w:tcPr>
          <w:p>
            <w:pPr>
              <w:spacing w:after="0" w:before="0"/>
            </w:pPr>
            <w:r/>
            <w:r>
              <w:rPr>
                <w:rFonts w:ascii="Arial" w:hAnsi="Arial" w:cs="Arial"/>
                <w:b w:val="0"/>
                <w:sz w:val="17"/>
              </w:rPr>
              <w:t>Fraud Monitoring Return (FMR) to RBI; borrower flagged in CIC (Section 10) and CRILC (Section 9.2)</w:t>
            </w:r>
          </w:p>
        </w:tc>
      </w:tr>
      <w:tr>
        <w:tc>
          <w:tcPr>
            <w:tcW w:w="2400" w:type="dxa"/>
          </w:tcPr>
          <w:p>
            <w:pPr>
              <w:spacing w:after="0" w:before="0"/>
            </w:pPr>
            <w:r/>
            <w:r>
              <w:rPr>
                <w:rFonts w:ascii="Arial" w:hAnsi="Arial" w:cs="Arial"/>
                <w:b w:val="0"/>
                <w:sz w:val="17"/>
              </w:rPr>
              <w:t>Recovery / legal</w:t>
            </w:r>
          </w:p>
        </w:tc>
        <w:tc>
          <w:tcPr>
            <w:tcW w:w="6960" w:type="dxa"/>
          </w:tcPr>
          <w:p>
            <w:pPr>
              <w:spacing w:after="0" w:before="0"/>
            </w:pPr>
            <w:r/>
            <w:r>
              <w:rPr>
                <w:rFonts w:ascii="Arial" w:hAnsi="Arial" w:cs="Arial"/>
                <w:b w:val="0"/>
                <w:sz w:val="17"/>
              </w:rPr>
              <w:t>Parallel legal action (Section 7.2); provisioning per norms</w:t>
            </w:r>
          </w:p>
        </w:tc>
      </w:tr>
    </w:tbl>
    <w:p/>
    <w:p>
      <w:pPr>
        <w:pStyle w:val="Heading2"/>
      </w:pPr>
      <w:r>
        <w:t>37.3 Wilful &amp; Large Defaulters</w:t>
      </w:r>
    </w:p>
    <w:p>
      <w:pPr>
        <w:pStyle w:val="ListParagraph"/>
        <w:numPr>
          <w:ilvl w:val="0"/>
          <w:numId w:val="2"/>
        </w:numPr>
      </w:pPr>
      <w:r>
        <w:rPr>
          <w:rFonts w:ascii="Arial" w:hAnsi="Arial" w:cs="Arial"/>
          <w:rFonts w:ascii="Arial" w:hAnsi="Arial"/>
          <w:sz w:val="22"/>
        </w:rPr>
        <w:t>Identification committee and review committee process per RBI’s Master Direction on Treatment of Wilful Defaulters and Large Defaulters, with borrower representation before final classification.</w:t>
      </w:r>
    </w:p>
    <w:p>
      <w:pPr>
        <w:pStyle w:val="ListParagraph"/>
        <w:numPr>
          <w:ilvl w:val="0"/>
          <w:numId w:val="2"/>
        </w:numPr>
      </w:pPr>
      <w:r>
        <w:rPr>
          <w:rFonts w:ascii="Arial" w:hAnsi="Arial" w:cs="Arial"/>
          <w:rFonts w:ascii="Arial" w:hAnsi="Arial"/>
          <w:sz w:val="22"/>
        </w:rPr>
        <w:t>Confirmed wilful/large defaulters and non-cooperative borrowers (Section 7) are reported to all CICs and in CRILC; consequences (no further credit) are enforced at origination (Section 5).</w:t>
      </w:r>
    </w:p>
    <w:p>
      <w:pPr>
        <w:pStyle w:val="Heading1"/>
      </w:pPr>
      <w:r>
        <w:t>38. Integration Resilience Patterns &amp; Per-Integration SLAs</w:t>
      </w:r>
    </w:p>
    <w:p>
      <w:r>
        <w:rPr>
          <w:rFonts w:ascii="Arial" w:hAnsi="Arial" w:cs="Arial"/>
          <w:rFonts w:ascii="Arial" w:hAnsi="Arial"/>
          <w:b w:val="0"/>
          <w:i w:val="0"/>
          <w:sz w:val="22"/>
        </w:rPr>
        <w:t>Section 12 lists external integrations but not how the platform behaves when they are slow or down — critical when a UIDAI, bureau, GSTN, or payment-rail outage must not corrupt money or block the whole pipeline.</w:t>
      </w:r>
    </w:p>
    <w:p>
      <w:pPr>
        <w:pStyle w:val="Heading2"/>
      </w:pPr>
      <w:r>
        <w:t>38.1 Standard Patterns</w:t>
      </w:r>
    </w:p>
    <w:p>
      <w:pPr>
        <w:pStyle w:val="ListParagraph"/>
        <w:numPr>
          <w:ilvl w:val="0"/>
          <w:numId w:val="2"/>
        </w:numPr>
      </w:pPr>
      <w:r>
        <w:rPr>
          <w:rFonts w:ascii="Arial" w:hAnsi="Arial" w:cs="Arial"/>
          <w:rFonts w:ascii="Arial" w:hAnsi="Arial"/>
          <w:sz w:val="22"/>
        </w:rPr>
        <w:t>Every outbound call has a timeout budget, retry with exponential backoff + jitter, and a circuit breaker that fails fast when a dependency is unhealthy; bulkheads isolate one slow dependency from the rest.</w:t>
      </w:r>
    </w:p>
    <w:p>
      <w:pPr>
        <w:pStyle w:val="ListParagraph"/>
        <w:numPr>
          <w:ilvl w:val="0"/>
          <w:numId w:val="2"/>
        </w:numPr>
      </w:pPr>
      <w:r>
        <w:rPr>
          <w:rFonts w:ascii="Arial" w:hAnsi="Arial" w:cs="Arial"/>
          <w:rFonts w:ascii="Arial" w:hAnsi="Arial"/>
          <w:sz w:val="22"/>
        </w:rPr>
        <w:t>State-changing calls carry an idempotency key (Section 40) and use the transactional outbox pattern so an event is delivered exactly once even across retries and restarts; unprocessable messages go to a dead-letter queue with alerting.</w:t>
      </w:r>
    </w:p>
    <w:p>
      <w:pPr>
        <w:pStyle w:val="ListParagraph"/>
        <w:numPr>
          <w:ilvl w:val="0"/>
          <w:numId w:val="2"/>
        </w:numPr>
      </w:pPr>
      <w:r>
        <w:rPr>
          <w:rFonts w:ascii="Arial" w:hAnsi="Arial" w:cs="Arial"/>
          <w:rFonts w:ascii="Arial" w:hAnsi="Arial"/>
          <w:sz w:val="22"/>
        </w:rPr>
        <w:t>Inbound webhooks/callbacks (payment status, TReDS settlement, bureau async) are signature-verified, idempotent, and reconciled against a daily settlement/status file.</w:t>
      </w:r>
    </w:p>
    <w:p>
      <w:pPr>
        <w:pStyle w:val="ListParagraph"/>
        <w:numPr>
          <w:ilvl w:val="0"/>
          <w:numId w:val="2"/>
        </w:numPr>
      </w:pPr>
      <w:r>
        <w:rPr>
          <w:rFonts w:ascii="Arial" w:hAnsi="Arial" w:cs="Arial"/>
          <w:rFonts w:ascii="Arial" w:hAnsi="Arial"/>
          <w:sz w:val="22"/>
        </w:rPr>
        <w:t>Graceful degradation: queue KYC when UIDAI/CKYC is down; reuse a cached bureau report within its validity; allow a maker-checker manual override where a non-critical dependency is unavailable — never silently skip a mandatory control.</w:t>
      </w:r>
    </w:p>
    <w:p>
      <w:pPr>
        <w:pStyle w:val="Heading2"/>
      </w:pPr>
      <w:r>
        <w:t>38.2 Per-Integration Profile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900"/>
        <w:gridCol w:w="1200"/>
        <w:gridCol w:w="1500"/>
        <w:gridCol w:w="2100"/>
        <w:gridCol w:w="2660"/>
      </w:tblGrid>
      <w:tr>
        <w:tc>
          <w:tcPr>
            <w:tcW w:w="1900" w:type="dxa"/>
            <w:shd w:val="clear" w:color="auto" w:fill="1F4E78"/>
          </w:tcPr>
          <w:p>
            <w:pPr>
              <w:spacing w:after="0" w:before="0"/>
            </w:pPr>
            <w:r/>
            <w:r>
              <w:rPr>
                <w:rFonts w:ascii="Arial" w:hAnsi="Arial" w:cs="Arial"/>
                <w:b/>
                <w:color w:val="FFFFFF"/>
                <w:sz w:val="17"/>
              </w:rPr>
              <w:t>Integration</w:t>
            </w:r>
          </w:p>
        </w:tc>
        <w:tc>
          <w:tcPr>
            <w:tcW w:w="1200" w:type="dxa"/>
            <w:shd w:val="clear" w:color="auto" w:fill="1F4E78"/>
          </w:tcPr>
          <w:p>
            <w:pPr>
              <w:spacing w:after="0" w:before="0"/>
            </w:pPr>
            <w:r/>
            <w:r>
              <w:rPr>
                <w:rFonts w:ascii="Arial" w:hAnsi="Arial" w:cs="Arial"/>
                <w:b/>
                <w:color w:val="FFFFFF"/>
                <w:sz w:val="17"/>
              </w:rPr>
              <w:t>Mode</w:t>
            </w:r>
          </w:p>
        </w:tc>
        <w:tc>
          <w:tcPr>
            <w:tcW w:w="1500" w:type="dxa"/>
            <w:shd w:val="clear" w:color="auto" w:fill="1F4E78"/>
          </w:tcPr>
          <w:p>
            <w:pPr>
              <w:spacing w:after="0" w:before="0"/>
            </w:pPr>
            <w:r/>
            <w:r>
              <w:rPr>
                <w:rFonts w:ascii="Arial" w:hAnsi="Arial" w:cs="Arial"/>
                <w:b/>
                <w:color w:val="FFFFFF"/>
                <w:sz w:val="17"/>
              </w:rPr>
              <w:t>Timeout / retry</w:t>
            </w:r>
          </w:p>
        </w:tc>
        <w:tc>
          <w:tcPr>
            <w:tcW w:w="2100" w:type="dxa"/>
            <w:shd w:val="clear" w:color="auto" w:fill="1F4E78"/>
          </w:tcPr>
          <w:p>
            <w:pPr>
              <w:spacing w:after="0" w:before="0"/>
            </w:pPr>
            <w:r/>
            <w:r>
              <w:rPr>
                <w:rFonts w:ascii="Arial" w:hAnsi="Arial" w:cs="Arial"/>
                <w:b/>
                <w:color w:val="FFFFFF"/>
                <w:sz w:val="17"/>
              </w:rPr>
              <w:t>Fallback</w:t>
            </w:r>
          </w:p>
        </w:tc>
        <w:tc>
          <w:tcPr>
            <w:tcW w:w="2660" w:type="dxa"/>
            <w:shd w:val="clear" w:color="auto" w:fill="1F4E78"/>
          </w:tcPr>
          <w:p>
            <w:pPr>
              <w:spacing w:after="0" w:before="0"/>
            </w:pPr>
            <w:r/>
            <w:r>
              <w:rPr>
                <w:rFonts w:ascii="Arial" w:hAnsi="Arial" w:cs="Arial"/>
                <w:b/>
                <w:color w:val="FFFFFF"/>
                <w:sz w:val="17"/>
              </w:rPr>
              <w:t>Reconciliation</w:t>
            </w:r>
          </w:p>
        </w:tc>
      </w:tr>
      <w:tr>
        <w:tc>
          <w:tcPr>
            <w:tcW w:w="1900" w:type="dxa"/>
          </w:tcPr>
          <w:p>
            <w:pPr>
              <w:spacing w:after="0" w:before="0"/>
            </w:pPr>
            <w:r/>
            <w:r>
              <w:rPr>
                <w:rFonts w:ascii="Arial" w:hAnsi="Arial" w:cs="Arial"/>
                <w:b w:val="0"/>
                <w:sz w:val="17"/>
              </w:rPr>
              <w:t>Credit bureaus</w:t>
            </w:r>
          </w:p>
        </w:tc>
        <w:tc>
          <w:tcPr>
            <w:tcW w:w="1200" w:type="dxa"/>
          </w:tcPr>
          <w:p>
            <w:pPr>
              <w:spacing w:after="0" w:before="0"/>
            </w:pPr>
            <w:r/>
            <w:r>
              <w:rPr>
                <w:rFonts w:ascii="Arial" w:hAnsi="Arial" w:cs="Arial"/>
                <w:b w:val="0"/>
                <w:sz w:val="17"/>
              </w:rPr>
              <w:t>Sync + async</w:t>
            </w:r>
          </w:p>
        </w:tc>
        <w:tc>
          <w:tcPr>
            <w:tcW w:w="1500" w:type="dxa"/>
          </w:tcPr>
          <w:p>
            <w:pPr>
              <w:spacing w:after="0" w:before="0"/>
            </w:pPr>
            <w:r/>
            <w:r>
              <w:rPr>
                <w:rFonts w:ascii="Arial" w:hAnsi="Arial" w:cs="Arial"/>
                <w:b w:val="0"/>
                <w:sz w:val="17"/>
              </w:rPr>
              <w:t>8s / 2 retries</w:t>
            </w:r>
          </w:p>
        </w:tc>
        <w:tc>
          <w:tcPr>
            <w:tcW w:w="2100" w:type="dxa"/>
          </w:tcPr>
          <w:p>
            <w:pPr>
              <w:spacing w:after="0" w:before="0"/>
            </w:pPr>
            <w:r/>
            <w:r>
              <w:rPr>
                <w:rFonts w:ascii="Arial" w:hAnsi="Arial" w:cs="Arial"/>
                <w:b w:val="0"/>
                <w:sz w:val="17"/>
              </w:rPr>
              <w:t>Cached report within validity; async on breach</w:t>
            </w:r>
          </w:p>
        </w:tc>
        <w:tc>
          <w:tcPr>
            <w:tcW w:w="2660" w:type="dxa"/>
          </w:tcPr>
          <w:p>
            <w:pPr>
              <w:spacing w:after="0" w:before="0"/>
            </w:pPr>
            <w:r/>
            <w:r>
              <w:rPr>
                <w:rFonts w:ascii="Arial" w:hAnsi="Arial" w:cs="Arial"/>
                <w:b w:val="0"/>
                <w:sz w:val="17"/>
              </w:rPr>
              <w:t>Pull log vs. billing</w:t>
            </w:r>
          </w:p>
        </w:tc>
      </w:tr>
      <w:tr>
        <w:tc>
          <w:tcPr>
            <w:tcW w:w="1900" w:type="dxa"/>
          </w:tcPr>
          <w:p>
            <w:pPr>
              <w:spacing w:after="0" w:before="0"/>
            </w:pPr>
            <w:r/>
            <w:r>
              <w:rPr>
                <w:rFonts w:ascii="Arial" w:hAnsi="Arial" w:cs="Arial"/>
                <w:b w:val="0"/>
                <w:sz w:val="17"/>
              </w:rPr>
              <w:t>UIDAI / CKYC</w:t>
            </w:r>
          </w:p>
        </w:tc>
        <w:tc>
          <w:tcPr>
            <w:tcW w:w="1200" w:type="dxa"/>
          </w:tcPr>
          <w:p>
            <w:pPr>
              <w:spacing w:after="0" w:before="0"/>
            </w:pPr>
            <w:r/>
            <w:r>
              <w:rPr>
                <w:rFonts w:ascii="Arial" w:hAnsi="Arial" w:cs="Arial"/>
                <w:b w:val="0"/>
                <w:sz w:val="17"/>
              </w:rPr>
              <w:t>Sync</w:t>
            </w:r>
          </w:p>
        </w:tc>
        <w:tc>
          <w:tcPr>
            <w:tcW w:w="1500" w:type="dxa"/>
          </w:tcPr>
          <w:p>
            <w:pPr>
              <w:spacing w:after="0" w:before="0"/>
            </w:pPr>
            <w:r/>
            <w:r>
              <w:rPr>
                <w:rFonts w:ascii="Arial" w:hAnsi="Arial" w:cs="Arial"/>
                <w:b w:val="0"/>
                <w:sz w:val="17"/>
              </w:rPr>
              <w:t>5s / 1 retry</w:t>
            </w:r>
          </w:p>
        </w:tc>
        <w:tc>
          <w:tcPr>
            <w:tcW w:w="2100" w:type="dxa"/>
          </w:tcPr>
          <w:p>
            <w:pPr>
              <w:spacing w:after="0" w:before="0"/>
            </w:pPr>
            <w:r/>
            <w:r>
              <w:rPr>
                <w:rFonts w:ascii="Arial" w:hAnsi="Arial" w:cs="Arial"/>
                <w:b w:val="0"/>
                <w:sz w:val="17"/>
              </w:rPr>
              <w:t>Queue &amp; resume; offline XML</w:t>
            </w:r>
          </w:p>
        </w:tc>
        <w:tc>
          <w:tcPr>
            <w:tcW w:w="2660" w:type="dxa"/>
          </w:tcPr>
          <w:p>
            <w:pPr>
              <w:spacing w:after="0" w:before="0"/>
            </w:pPr>
            <w:r/>
            <w:r>
              <w:rPr>
                <w:rFonts w:ascii="Arial" w:hAnsi="Arial" w:cs="Arial"/>
                <w:b w:val="0"/>
                <w:sz w:val="17"/>
              </w:rPr>
              <w:t>Daily verify count</w:t>
            </w:r>
          </w:p>
        </w:tc>
      </w:tr>
      <w:tr>
        <w:tc>
          <w:tcPr>
            <w:tcW w:w="1900" w:type="dxa"/>
          </w:tcPr>
          <w:p>
            <w:pPr>
              <w:spacing w:after="0" w:before="0"/>
            </w:pPr>
            <w:r/>
            <w:r>
              <w:rPr>
                <w:rFonts w:ascii="Arial" w:hAnsi="Arial" w:cs="Arial"/>
                <w:b w:val="0"/>
                <w:sz w:val="17"/>
              </w:rPr>
              <w:t>GSTN / Account Aggregator</w:t>
            </w:r>
          </w:p>
        </w:tc>
        <w:tc>
          <w:tcPr>
            <w:tcW w:w="1200" w:type="dxa"/>
          </w:tcPr>
          <w:p>
            <w:pPr>
              <w:spacing w:after="0" w:before="0"/>
            </w:pPr>
            <w:r/>
            <w:r>
              <w:rPr>
                <w:rFonts w:ascii="Arial" w:hAnsi="Arial" w:cs="Arial"/>
                <w:b w:val="0"/>
                <w:sz w:val="17"/>
              </w:rPr>
              <w:t>Async (consent)</w:t>
            </w:r>
          </w:p>
        </w:tc>
        <w:tc>
          <w:tcPr>
            <w:tcW w:w="1500" w:type="dxa"/>
          </w:tcPr>
          <w:p>
            <w:pPr>
              <w:spacing w:after="0" w:before="0"/>
            </w:pPr>
            <w:r/>
            <w:r>
              <w:rPr>
                <w:rFonts w:ascii="Arial" w:hAnsi="Arial" w:cs="Arial"/>
                <w:b w:val="0"/>
                <w:sz w:val="17"/>
              </w:rPr>
              <w:t>Per API / backoff</w:t>
            </w:r>
          </w:p>
        </w:tc>
        <w:tc>
          <w:tcPr>
            <w:tcW w:w="2100" w:type="dxa"/>
          </w:tcPr>
          <w:p>
            <w:pPr>
              <w:spacing w:after="0" w:before="0"/>
            </w:pPr>
            <w:r/>
            <w:r>
              <w:rPr>
                <w:rFonts w:ascii="Arial" w:hAnsi="Arial" w:cs="Arial"/>
                <w:b w:val="0"/>
                <w:sz w:val="17"/>
              </w:rPr>
              <w:t>Retry within consent window</w:t>
            </w:r>
          </w:p>
        </w:tc>
        <w:tc>
          <w:tcPr>
            <w:tcW w:w="2660" w:type="dxa"/>
          </w:tcPr>
          <w:p>
            <w:pPr>
              <w:spacing w:after="0" w:before="0"/>
            </w:pPr>
            <w:r/>
            <w:r>
              <w:rPr>
                <w:rFonts w:ascii="Arial" w:hAnsi="Arial" w:cs="Arial"/>
                <w:b w:val="0"/>
                <w:sz w:val="17"/>
              </w:rPr>
              <w:t>Consent-artifact ledger</w:t>
            </w:r>
          </w:p>
        </w:tc>
      </w:tr>
      <w:tr>
        <w:tc>
          <w:tcPr>
            <w:tcW w:w="1900" w:type="dxa"/>
          </w:tcPr>
          <w:p>
            <w:pPr>
              <w:spacing w:after="0" w:before="0"/>
            </w:pPr>
            <w:r/>
            <w:r>
              <w:rPr>
                <w:rFonts w:ascii="Arial" w:hAnsi="Arial" w:cs="Arial"/>
                <w:b w:val="0"/>
                <w:sz w:val="17"/>
              </w:rPr>
              <w:t>Payment rails (NACH/UPI/RTGS)</w:t>
            </w:r>
          </w:p>
        </w:tc>
        <w:tc>
          <w:tcPr>
            <w:tcW w:w="1200" w:type="dxa"/>
          </w:tcPr>
          <w:p>
            <w:pPr>
              <w:spacing w:after="0" w:before="0"/>
            </w:pPr>
            <w:r/>
            <w:r>
              <w:rPr>
                <w:rFonts w:ascii="Arial" w:hAnsi="Arial" w:cs="Arial"/>
                <w:b w:val="0"/>
                <w:sz w:val="17"/>
              </w:rPr>
              <w:t>Async</w:t>
            </w:r>
          </w:p>
        </w:tc>
        <w:tc>
          <w:tcPr>
            <w:tcW w:w="1500" w:type="dxa"/>
          </w:tcPr>
          <w:p>
            <w:pPr>
              <w:spacing w:after="0" w:before="0"/>
            </w:pPr>
            <w:r/>
            <w:r>
              <w:rPr>
                <w:rFonts w:ascii="Arial" w:hAnsi="Arial" w:cs="Arial"/>
                <w:b w:val="0"/>
                <w:sz w:val="17"/>
              </w:rPr>
              <w:t>Rail SLA</w:t>
            </w:r>
          </w:p>
        </w:tc>
        <w:tc>
          <w:tcPr>
            <w:tcW w:w="2100" w:type="dxa"/>
          </w:tcPr>
          <w:p>
            <w:pPr>
              <w:spacing w:after="0" w:before="0"/>
            </w:pPr>
            <w:r/>
            <w:r>
              <w:rPr>
                <w:rFonts w:ascii="Arial" w:hAnsi="Arial" w:cs="Arial"/>
                <w:b w:val="0"/>
                <w:sz w:val="17"/>
              </w:rPr>
              <w:t>Retry; move to manual</w:t>
            </w:r>
          </w:p>
        </w:tc>
        <w:tc>
          <w:tcPr>
            <w:tcW w:w="2660" w:type="dxa"/>
          </w:tcPr>
          <w:p>
            <w:pPr>
              <w:spacing w:after="0" w:before="0"/>
            </w:pPr>
            <w:r/>
            <w:r>
              <w:rPr>
                <w:rFonts w:ascii="Arial" w:hAnsi="Arial" w:cs="Arial"/>
                <w:b w:val="0"/>
                <w:sz w:val="17"/>
              </w:rPr>
              <w:t>T+1 settlement &amp; return-code recon (38.3)</w:t>
            </w:r>
          </w:p>
        </w:tc>
      </w:tr>
      <w:tr>
        <w:tc>
          <w:tcPr>
            <w:tcW w:w="1900" w:type="dxa"/>
          </w:tcPr>
          <w:p>
            <w:pPr>
              <w:spacing w:after="0" w:before="0"/>
            </w:pPr>
            <w:r/>
            <w:r>
              <w:rPr>
                <w:rFonts w:ascii="Arial" w:hAnsi="Arial" w:cs="Arial"/>
                <w:b w:val="0"/>
                <w:sz w:val="17"/>
              </w:rPr>
              <w:t>CERSAI / Depository (NSDL/CDSL)</w:t>
            </w:r>
          </w:p>
        </w:tc>
        <w:tc>
          <w:tcPr>
            <w:tcW w:w="1200" w:type="dxa"/>
          </w:tcPr>
          <w:p>
            <w:pPr>
              <w:spacing w:after="0" w:before="0"/>
            </w:pPr>
            <w:r/>
            <w:r>
              <w:rPr>
                <w:rFonts w:ascii="Arial" w:hAnsi="Arial" w:cs="Arial"/>
                <w:b w:val="0"/>
                <w:sz w:val="17"/>
              </w:rPr>
              <w:t>Sync/async</w:t>
            </w:r>
          </w:p>
        </w:tc>
        <w:tc>
          <w:tcPr>
            <w:tcW w:w="1500" w:type="dxa"/>
          </w:tcPr>
          <w:p>
            <w:pPr>
              <w:spacing w:after="0" w:before="0"/>
            </w:pPr>
            <w:r/>
            <w:r>
              <w:rPr>
                <w:rFonts w:ascii="Arial" w:hAnsi="Arial" w:cs="Arial"/>
                <w:b w:val="0"/>
                <w:sz w:val="17"/>
              </w:rPr>
              <w:t>10s / 2 retries</w:t>
            </w:r>
          </w:p>
        </w:tc>
        <w:tc>
          <w:tcPr>
            <w:tcW w:w="2100" w:type="dxa"/>
          </w:tcPr>
          <w:p>
            <w:pPr>
              <w:spacing w:after="0" w:before="0"/>
            </w:pPr>
            <w:r/>
            <w:r>
              <w:rPr>
                <w:rFonts w:ascii="Arial" w:hAnsi="Arial" w:cs="Arial"/>
                <w:b w:val="0"/>
                <w:sz w:val="17"/>
              </w:rPr>
              <w:t>Retry queue</w:t>
            </w:r>
          </w:p>
        </w:tc>
        <w:tc>
          <w:tcPr>
            <w:tcW w:w="2660" w:type="dxa"/>
          </w:tcPr>
          <w:p>
            <w:pPr>
              <w:spacing w:after="0" w:before="0"/>
            </w:pPr>
            <w:r/>
            <w:r>
              <w:rPr>
                <w:rFonts w:ascii="Arial" w:hAnsi="Arial" w:cs="Arial"/>
                <w:b w:val="0"/>
                <w:sz w:val="17"/>
              </w:rPr>
              <w:t>Charge/pledge register tie-out</w:t>
            </w:r>
          </w:p>
        </w:tc>
      </w:tr>
      <w:tr>
        <w:tc>
          <w:tcPr>
            <w:tcW w:w="1900" w:type="dxa"/>
          </w:tcPr>
          <w:p>
            <w:pPr>
              <w:spacing w:after="0" w:before="0"/>
            </w:pPr>
            <w:r/>
            <w:r>
              <w:rPr>
                <w:rFonts w:ascii="Arial" w:hAnsi="Arial" w:cs="Arial"/>
                <w:b w:val="0"/>
                <w:sz w:val="17"/>
              </w:rPr>
              <w:t>RBI CIMS</w:t>
            </w:r>
          </w:p>
        </w:tc>
        <w:tc>
          <w:tcPr>
            <w:tcW w:w="1200" w:type="dxa"/>
          </w:tcPr>
          <w:p>
            <w:pPr>
              <w:spacing w:after="0" w:before="0"/>
            </w:pPr>
            <w:r/>
            <w:r>
              <w:rPr>
                <w:rFonts w:ascii="Arial" w:hAnsi="Arial" w:cs="Arial"/>
                <w:b w:val="0"/>
                <w:sz w:val="17"/>
              </w:rPr>
              <w:t>Batch</w:t>
            </w:r>
          </w:p>
        </w:tc>
        <w:tc>
          <w:tcPr>
            <w:tcW w:w="1500" w:type="dxa"/>
          </w:tcPr>
          <w:p>
            <w:pPr>
              <w:spacing w:after="0" w:before="0"/>
            </w:pPr>
            <w:r/>
            <w:r>
              <w:rPr>
                <w:rFonts w:ascii="Arial" w:hAnsi="Arial" w:cs="Arial"/>
                <w:b w:val="0"/>
                <w:sz w:val="17"/>
              </w:rPr>
              <w:t>Portal SLA</w:t>
            </w:r>
          </w:p>
        </w:tc>
        <w:tc>
          <w:tcPr>
            <w:tcW w:w="2100" w:type="dxa"/>
          </w:tcPr>
          <w:p>
            <w:pPr>
              <w:spacing w:after="0" w:before="0"/>
            </w:pPr>
            <w:r/>
            <w:r>
              <w:rPr>
                <w:rFonts w:ascii="Arial" w:hAnsi="Arial" w:cs="Arial"/>
                <w:b w:val="0"/>
                <w:sz w:val="17"/>
              </w:rPr>
              <w:t>Re-submit</w:t>
            </w:r>
          </w:p>
        </w:tc>
        <w:tc>
          <w:tcPr>
            <w:tcW w:w="2660" w:type="dxa"/>
          </w:tcPr>
          <w:p>
            <w:pPr>
              <w:spacing w:after="0" w:before="0"/>
            </w:pPr>
            <w:r/>
            <w:r>
              <w:rPr>
                <w:rFonts w:ascii="Arial" w:hAnsi="Arial" w:cs="Arial"/>
                <w:b w:val="0"/>
                <w:sz w:val="17"/>
              </w:rPr>
              <w:t>Acknowledgement archive (Section 9.3)</w:t>
            </w:r>
          </w:p>
        </w:tc>
      </w:tr>
      <w:tr>
        <w:tc>
          <w:tcPr>
            <w:tcW w:w="1900" w:type="dxa"/>
          </w:tcPr>
          <w:p>
            <w:pPr>
              <w:spacing w:after="0" w:before="0"/>
            </w:pPr>
            <w:r/>
            <w:r>
              <w:rPr>
                <w:rFonts w:ascii="Arial" w:hAnsi="Arial" w:cs="Arial"/>
                <w:b w:val="0"/>
                <w:sz w:val="17"/>
              </w:rPr>
              <w:t>e-Sign / e-Stamp</w:t>
            </w:r>
          </w:p>
        </w:tc>
        <w:tc>
          <w:tcPr>
            <w:tcW w:w="1200" w:type="dxa"/>
          </w:tcPr>
          <w:p>
            <w:pPr>
              <w:spacing w:after="0" w:before="0"/>
            </w:pPr>
            <w:r/>
            <w:r>
              <w:rPr>
                <w:rFonts w:ascii="Arial" w:hAnsi="Arial" w:cs="Arial"/>
                <w:b w:val="0"/>
                <w:sz w:val="17"/>
              </w:rPr>
              <w:t>Sync</w:t>
            </w:r>
          </w:p>
        </w:tc>
        <w:tc>
          <w:tcPr>
            <w:tcW w:w="1500" w:type="dxa"/>
          </w:tcPr>
          <w:p>
            <w:pPr>
              <w:spacing w:after="0" w:before="0"/>
            </w:pPr>
            <w:r/>
            <w:r>
              <w:rPr>
                <w:rFonts w:ascii="Arial" w:hAnsi="Arial" w:cs="Arial"/>
                <w:b w:val="0"/>
                <w:sz w:val="17"/>
              </w:rPr>
              <w:t>15s</w:t>
            </w:r>
          </w:p>
        </w:tc>
        <w:tc>
          <w:tcPr>
            <w:tcW w:w="2100" w:type="dxa"/>
          </w:tcPr>
          <w:p>
            <w:pPr>
              <w:spacing w:after="0" w:before="0"/>
            </w:pPr>
            <w:r/>
            <w:r>
              <w:rPr>
                <w:rFonts w:ascii="Arial" w:hAnsi="Arial" w:cs="Arial"/>
                <w:b w:val="0"/>
                <w:sz w:val="17"/>
              </w:rPr>
              <w:t>Retry; fall back to alternate vendor</w:t>
            </w:r>
          </w:p>
        </w:tc>
        <w:tc>
          <w:tcPr>
            <w:tcW w:w="2660" w:type="dxa"/>
          </w:tcPr>
          <w:p>
            <w:pPr>
              <w:spacing w:after="0" w:before="0"/>
            </w:pPr>
            <w:r/>
            <w:r>
              <w:rPr>
                <w:rFonts w:ascii="Arial" w:hAnsi="Arial" w:cs="Arial"/>
                <w:b w:val="0"/>
                <w:sz w:val="17"/>
              </w:rPr>
              <w:t>Executed-doc register</w:t>
            </w:r>
          </w:p>
        </w:tc>
      </w:tr>
    </w:tbl>
    <w:p/>
    <w:p>
      <w:pPr>
        <w:pStyle w:val="Heading2"/>
      </w:pPr>
      <w:r>
        <w:t>38.3 Payment-Rail Reconciliation</w:t>
      </w:r>
    </w:p>
    <w:p>
      <w:pPr>
        <w:pStyle w:val="ListParagraph"/>
        <w:numPr>
          <w:ilvl w:val="0"/>
          <w:numId w:val="2"/>
        </w:numPr>
      </w:pPr>
      <w:r>
        <w:rPr>
          <w:rFonts w:ascii="Arial" w:hAnsi="Arial" w:cs="Arial"/>
          <w:rFonts w:ascii="Arial" w:hAnsi="Arial"/>
          <w:sz w:val="22"/>
        </w:rPr>
        <w:t>NACH/e-NACH returns are mapped from standard return-reason codes to system actions (bounce → penal charge → DPD roll, Section 24.7 / D5); UPI Autopay reversals and RTGS/NEFT returns are handled symmetrically.</w:t>
      </w:r>
    </w:p>
    <w:p>
      <w:pPr>
        <w:pStyle w:val="ListParagraph"/>
        <w:numPr>
          <w:ilvl w:val="0"/>
          <w:numId w:val="2"/>
        </w:numPr>
      </w:pPr>
      <w:r>
        <w:rPr>
          <w:rFonts w:ascii="Arial" w:hAnsi="Arial" w:cs="Arial"/>
          <w:rFonts w:ascii="Arial" w:hAnsi="Arial"/>
          <w:sz w:val="22"/>
        </w:rPr>
        <w:t>A daily settlement reconciliation matches instructed vs. settled vs. returned amounts to the GL (Section 8.3), with an exception queue for breaks; disbursements and collections are idempotent so a re-presented instruction cannot double-post.</w:t>
      </w:r>
    </w:p>
    <w:p>
      <w:pPr>
        <w:pStyle w:val="Heading1"/>
      </w:pPr>
      <w:r>
        <w:t>39. Data Dictionary, Temporal Design &amp; Indexing</w:t>
      </w:r>
    </w:p>
    <w:p>
      <w:r>
        <w:rPr>
          <w:rFonts w:ascii="Arial" w:hAnsi="Arial" w:cs="Arial"/>
          <w:rFonts w:ascii="Arial" w:hAnsi="Arial"/>
          <w:b w:val="0"/>
          <w:i w:val="0"/>
          <w:sz w:val="22"/>
        </w:rPr>
        <w:t>Section 11 lists key entities and PK/FKs. This section adds the column-level conventions, the temporal (effective-dated) design that lets a loan retain the exact configuration it was booked under, and the indexing/partitioning strategy needed to hit Section 29 targets.</w:t>
      </w:r>
    </w:p>
    <w:p>
      <w:pPr>
        <w:pStyle w:val="Heading2"/>
      </w:pPr>
      <w:r>
        <w:t>39.1 Standard Columns (every table)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400"/>
        <w:gridCol w:w="2100"/>
        <w:gridCol w:w="4860"/>
      </w:tblGrid>
      <w:tr>
        <w:tc>
          <w:tcPr>
            <w:tcW w:w="2400" w:type="dxa"/>
            <w:shd w:val="clear" w:color="auto" w:fill="1F4E78"/>
          </w:tcPr>
          <w:p>
            <w:pPr>
              <w:spacing w:after="0" w:before="0"/>
            </w:pPr>
            <w:r/>
            <w:r>
              <w:rPr>
                <w:rFonts w:ascii="Arial" w:hAnsi="Arial" w:cs="Arial"/>
                <w:b/>
                <w:color w:val="FFFFFF"/>
                <w:sz w:val="17"/>
              </w:rPr>
              <w:t>Column</w:t>
            </w:r>
          </w:p>
        </w:tc>
        <w:tc>
          <w:tcPr>
            <w:tcW w:w="2100" w:type="dxa"/>
            <w:shd w:val="clear" w:color="auto" w:fill="1F4E78"/>
          </w:tcPr>
          <w:p>
            <w:pPr>
              <w:spacing w:after="0" w:before="0"/>
            </w:pPr>
            <w:r/>
            <w:r>
              <w:rPr>
                <w:rFonts w:ascii="Arial" w:hAnsi="Arial" w:cs="Arial"/>
                <w:b/>
                <w:color w:val="FFFFFF"/>
                <w:sz w:val="17"/>
              </w:rPr>
              <w:t>Type</w:t>
            </w:r>
          </w:p>
        </w:tc>
        <w:tc>
          <w:tcPr>
            <w:tcW w:w="4860" w:type="dxa"/>
            <w:shd w:val="clear" w:color="auto" w:fill="1F4E78"/>
          </w:tcPr>
          <w:p>
            <w:pPr>
              <w:spacing w:after="0" w:before="0"/>
            </w:pPr>
            <w:r/>
            <w:r>
              <w:rPr>
                <w:rFonts w:ascii="Arial" w:hAnsi="Arial" w:cs="Arial"/>
                <w:b/>
                <w:color w:val="FFFFFF"/>
                <w:sz w:val="17"/>
              </w:rPr>
              <w:t>Purpose</w:t>
            </w:r>
          </w:p>
        </w:tc>
      </w:tr>
      <w:tr>
        <w:tc>
          <w:tcPr>
            <w:tcW w:w="2400" w:type="dxa"/>
          </w:tcPr>
          <w:p>
            <w:pPr>
              <w:spacing w:after="0" w:before="0"/>
            </w:pPr>
            <w:r/>
            <w:r>
              <w:rPr>
                <w:rFonts w:ascii="Arial" w:hAnsi="Arial" w:cs="Arial"/>
                <w:b w:val="0"/>
                <w:sz w:val="17"/>
              </w:rPr>
              <w:t>id</w:t>
            </w:r>
          </w:p>
        </w:tc>
        <w:tc>
          <w:tcPr>
            <w:tcW w:w="2100" w:type="dxa"/>
          </w:tcPr>
          <w:p>
            <w:pPr>
              <w:spacing w:after="0" w:before="0"/>
            </w:pPr>
            <w:r/>
            <w:r>
              <w:rPr>
                <w:rFonts w:ascii="Arial" w:hAnsi="Arial" w:cs="Arial"/>
                <w:b w:val="0"/>
                <w:sz w:val="17"/>
              </w:rPr>
              <w:t>UUID/BIGINT (PK)</w:t>
            </w:r>
          </w:p>
        </w:tc>
        <w:tc>
          <w:tcPr>
            <w:tcW w:w="4860" w:type="dxa"/>
          </w:tcPr>
          <w:p>
            <w:pPr>
              <w:spacing w:after="0" w:before="0"/>
            </w:pPr>
            <w:r/>
            <w:r>
              <w:rPr>
                <w:rFonts w:ascii="Arial" w:hAnsi="Arial" w:cs="Arial"/>
                <w:b w:val="0"/>
                <w:sz w:val="17"/>
              </w:rPr>
              <w:t>Surrogate key</w:t>
            </w:r>
          </w:p>
        </w:tc>
      </w:tr>
      <w:tr>
        <w:tc>
          <w:tcPr>
            <w:tcW w:w="2400" w:type="dxa"/>
          </w:tcPr>
          <w:p>
            <w:pPr>
              <w:spacing w:after="0" w:before="0"/>
            </w:pPr>
            <w:r/>
            <w:r>
              <w:rPr>
                <w:rFonts w:ascii="Arial" w:hAnsi="Arial" w:cs="Arial"/>
                <w:b w:val="0"/>
                <w:sz w:val="17"/>
              </w:rPr>
              <w:t>tenant_id</w:t>
            </w:r>
          </w:p>
        </w:tc>
        <w:tc>
          <w:tcPr>
            <w:tcW w:w="2100" w:type="dxa"/>
          </w:tcPr>
          <w:p>
            <w:pPr>
              <w:spacing w:after="0" w:before="0"/>
            </w:pPr>
            <w:r/>
            <w:r>
              <w:rPr>
                <w:rFonts w:ascii="Arial" w:hAnsi="Arial" w:cs="Arial"/>
                <w:b w:val="0"/>
                <w:sz w:val="17"/>
              </w:rPr>
              <w:t>UUID</w:t>
            </w:r>
          </w:p>
        </w:tc>
        <w:tc>
          <w:tcPr>
            <w:tcW w:w="4860" w:type="dxa"/>
          </w:tcPr>
          <w:p>
            <w:pPr>
              <w:spacing w:after="0" w:before="0"/>
            </w:pPr>
            <w:r/>
            <w:r>
              <w:rPr>
                <w:rFonts w:ascii="Arial" w:hAnsi="Arial" w:cs="Arial"/>
                <w:b w:val="0"/>
                <w:sz w:val="17"/>
              </w:rPr>
              <w:t>Row-level tenant isolation (Section 15)</w:t>
            </w:r>
          </w:p>
        </w:tc>
      </w:tr>
      <w:tr>
        <w:tc>
          <w:tcPr>
            <w:tcW w:w="2400" w:type="dxa"/>
          </w:tcPr>
          <w:p>
            <w:pPr>
              <w:spacing w:after="0" w:before="0"/>
            </w:pPr>
            <w:r/>
            <w:r>
              <w:rPr>
                <w:rFonts w:ascii="Arial" w:hAnsi="Arial" w:cs="Arial"/>
                <w:b w:val="0"/>
                <w:sz w:val="17"/>
              </w:rPr>
              <w:t>created_at / created_by</w:t>
            </w:r>
          </w:p>
        </w:tc>
        <w:tc>
          <w:tcPr>
            <w:tcW w:w="2100" w:type="dxa"/>
          </w:tcPr>
          <w:p>
            <w:pPr>
              <w:spacing w:after="0" w:before="0"/>
            </w:pPr>
            <w:r/>
            <w:r>
              <w:rPr>
                <w:rFonts w:ascii="Arial" w:hAnsi="Arial" w:cs="Arial"/>
                <w:b w:val="0"/>
                <w:sz w:val="17"/>
              </w:rPr>
              <w:t>TIMESTAMPTZ / user</w:t>
            </w:r>
          </w:p>
        </w:tc>
        <w:tc>
          <w:tcPr>
            <w:tcW w:w="4860" w:type="dxa"/>
          </w:tcPr>
          <w:p>
            <w:pPr>
              <w:spacing w:after="0" w:before="0"/>
            </w:pPr>
            <w:r/>
            <w:r>
              <w:rPr>
                <w:rFonts w:ascii="Arial" w:hAnsi="Arial" w:cs="Arial"/>
                <w:b w:val="0"/>
                <w:sz w:val="17"/>
              </w:rPr>
              <w:t>Audit</w:t>
            </w:r>
          </w:p>
        </w:tc>
      </w:tr>
      <w:tr>
        <w:tc>
          <w:tcPr>
            <w:tcW w:w="2400" w:type="dxa"/>
          </w:tcPr>
          <w:p>
            <w:pPr>
              <w:spacing w:after="0" w:before="0"/>
            </w:pPr>
            <w:r/>
            <w:r>
              <w:rPr>
                <w:rFonts w:ascii="Arial" w:hAnsi="Arial" w:cs="Arial"/>
                <w:b w:val="0"/>
                <w:sz w:val="17"/>
              </w:rPr>
              <w:t>updated_at / updated_by</w:t>
            </w:r>
          </w:p>
        </w:tc>
        <w:tc>
          <w:tcPr>
            <w:tcW w:w="2100" w:type="dxa"/>
          </w:tcPr>
          <w:p>
            <w:pPr>
              <w:spacing w:after="0" w:before="0"/>
            </w:pPr>
            <w:r/>
            <w:r>
              <w:rPr>
                <w:rFonts w:ascii="Arial" w:hAnsi="Arial" w:cs="Arial"/>
                <w:b w:val="0"/>
                <w:sz w:val="17"/>
              </w:rPr>
              <w:t>TIMESTAMPTZ / user</w:t>
            </w:r>
          </w:p>
        </w:tc>
        <w:tc>
          <w:tcPr>
            <w:tcW w:w="4860" w:type="dxa"/>
          </w:tcPr>
          <w:p>
            <w:pPr>
              <w:spacing w:after="0" w:before="0"/>
            </w:pPr>
            <w:r/>
            <w:r>
              <w:rPr>
                <w:rFonts w:ascii="Arial" w:hAnsi="Arial" w:cs="Arial"/>
                <w:b w:val="0"/>
                <w:sz w:val="17"/>
              </w:rPr>
              <w:t>Audit</w:t>
            </w:r>
          </w:p>
        </w:tc>
      </w:tr>
      <w:tr>
        <w:tc>
          <w:tcPr>
            <w:tcW w:w="2400" w:type="dxa"/>
          </w:tcPr>
          <w:p>
            <w:pPr>
              <w:spacing w:after="0" w:before="0"/>
            </w:pPr>
            <w:r/>
            <w:r>
              <w:rPr>
                <w:rFonts w:ascii="Arial" w:hAnsi="Arial" w:cs="Arial"/>
                <w:b w:val="0"/>
                <w:sz w:val="17"/>
              </w:rPr>
              <w:t>row_version</w:t>
            </w:r>
          </w:p>
        </w:tc>
        <w:tc>
          <w:tcPr>
            <w:tcW w:w="2100" w:type="dxa"/>
          </w:tcPr>
          <w:p>
            <w:pPr>
              <w:spacing w:after="0" w:before="0"/>
            </w:pPr>
            <w:r/>
            <w:r>
              <w:rPr>
                <w:rFonts w:ascii="Arial" w:hAnsi="Arial" w:cs="Arial"/>
                <w:b w:val="0"/>
                <w:sz w:val="17"/>
              </w:rPr>
              <w:t>INT</w:t>
            </w:r>
          </w:p>
        </w:tc>
        <w:tc>
          <w:tcPr>
            <w:tcW w:w="4860" w:type="dxa"/>
          </w:tcPr>
          <w:p>
            <w:pPr>
              <w:spacing w:after="0" w:before="0"/>
            </w:pPr>
            <w:r/>
            <w:r>
              <w:rPr>
                <w:rFonts w:ascii="Arial" w:hAnsi="Arial" w:cs="Arial"/>
                <w:b w:val="0"/>
                <w:sz w:val="17"/>
              </w:rPr>
              <w:t>Optimistic concurrency (Section 28.4)</w:t>
            </w:r>
          </w:p>
        </w:tc>
      </w:tr>
      <w:tr>
        <w:tc>
          <w:tcPr>
            <w:tcW w:w="2400" w:type="dxa"/>
          </w:tcPr>
          <w:p>
            <w:pPr>
              <w:spacing w:after="0" w:before="0"/>
            </w:pPr>
            <w:r/>
            <w:r>
              <w:rPr>
                <w:rFonts w:ascii="Arial" w:hAnsi="Arial" w:cs="Arial"/>
                <w:b w:val="0"/>
                <w:sz w:val="17"/>
              </w:rPr>
              <w:t>is_deleted / deleted_at</w:t>
            </w:r>
          </w:p>
        </w:tc>
        <w:tc>
          <w:tcPr>
            <w:tcW w:w="2100" w:type="dxa"/>
          </w:tcPr>
          <w:p>
            <w:pPr>
              <w:spacing w:after="0" w:before="0"/>
            </w:pPr>
            <w:r/>
            <w:r>
              <w:rPr>
                <w:rFonts w:ascii="Arial" w:hAnsi="Arial" w:cs="Arial"/>
                <w:b w:val="0"/>
                <w:sz w:val="17"/>
              </w:rPr>
              <w:t>BOOL / TS</w:t>
            </w:r>
          </w:p>
        </w:tc>
        <w:tc>
          <w:tcPr>
            <w:tcW w:w="4860" w:type="dxa"/>
          </w:tcPr>
          <w:p>
            <w:pPr>
              <w:spacing w:after="0" w:before="0"/>
            </w:pPr>
            <w:r/>
            <w:r>
              <w:rPr>
                <w:rFonts w:ascii="Arial" w:hAnsi="Arial" w:cs="Arial"/>
                <w:b w:val="0"/>
                <w:sz w:val="17"/>
              </w:rPr>
              <w:t>Soft delete; hard-delete only per retention (Section 35)</w:t>
            </w:r>
          </w:p>
        </w:tc>
      </w:tr>
      <w:tr>
        <w:tc>
          <w:tcPr>
            <w:tcW w:w="2400" w:type="dxa"/>
          </w:tcPr>
          <w:p>
            <w:pPr>
              <w:spacing w:after="0" w:before="0"/>
            </w:pPr>
            <w:r/>
            <w:r>
              <w:rPr>
                <w:rFonts w:ascii="Arial" w:hAnsi="Arial" w:cs="Arial"/>
                <w:b w:val="0"/>
                <w:sz w:val="17"/>
              </w:rPr>
              <w:t>source</w:t>
            </w:r>
          </w:p>
        </w:tc>
        <w:tc>
          <w:tcPr>
            <w:tcW w:w="2100" w:type="dxa"/>
          </w:tcPr>
          <w:p>
            <w:pPr>
              <w:spacing w:after="0" w:before="0"/>
            </w:pPr>
            <w:r/>
            <w:r>
              <w:rPr>
                <w:rFonts w:ascii="Arial" w:hAnsi="Arial" w:cs="Arial"/>
                <w:b w:val="0"/>
                <w:sz w:val="17"/>
              </w:rPr>
              <w:t>ENUM</w:t>
            </w:r>
          </w:p>
        </w:tc>
        <w:tc>
          <w:tcPr>
            <w:tcW w:w="4860" w:type="dxa"/>
          </w:tcPr>
          <w:p>
            <w:pPr>
              <w:spacing w:after="0" w:before="0"/>
            </w:pPr>
            <w:r/>
            <w:r>
              <w:rPr>
                <w:rFonts w:ascii="Arial" w:hAnsi="Arial" w:cs="Arial"/>
                <w:b w:val="0"/>
                <w:sz w:val="17"/>
              </w:rPr>
              <w:t>Channel/system of record</w:t>
            </w:r>
          </w:p>
        </w:tc>
      </w:tr>
    </w:tbl>
    <w:p/>
    <w:p>
      <w:pPr>
        <w:pStyle w:val="Heading2"/>
      </w:pPr>
      <w:r>
        <w:t>39.2 Temporal / Effective-Dating</w:t>
      </w:r>
    </w:p>
    <w:p>
      <w:pPr>
        <w:pStyle w:val="ListParagraph"/>
        <w:numPr>
          <w:ilvl w:val="0"/>
          <w:numId w:val="2"/>
        </w:numPr>
      </w:pPr>
      <w:r>
        <w:rPr>
          <w:rFonts w:ascii="Arial" w:hAnsi="Arial" w:cs="Arial"/>
          <w:rFonts w:ascii="Arial" w:hAnsi="Arial"/>
          <w:sz w:val="22"/>
        </w:rPr>
        <w:t>Configuration entities — Product Master, interest rate grid (Section 5.4), LTV/haircut tables, COA-to-Schedule-III mapping, regulatory-returns catalogue — are versioned with valid_from / valid_to (business time) plus system-time audit.</w:t>
      </w:r>
    </w:p>
    <w:p>
      <w:pPr>
        <w:pStyle w:val="ListParagraph"/>
        <w:numPr>
          <w:ilvl w:val="0"/>
          <w:numId w:val="2"/>
        </w:numPr>
      </w:pPr>
      <w:r>
        <w:rPr>
          <w:rFonts w:ascii="Arial" w:hAnsi="Arial" w:cs="Arial"/>
          <w:rFonts w:ascii="Arial" w:hAnsi="Arial"/>
          <w:sz w:val="22"/>
        </w:rPr>
        <w:t>A Loan Account stores the config_version it was booked under, so servicing, disclosures, and disputes always reflect the terms in force at origination even after the product is re-configured — a bi-temporal design.</w:t>
      </w:r>
    </w:p>
    <w:p>
      <w:pPr>
        <w:pStyle w:val="ListParagraph"/>
        <w:numPr>
          <w:ilvl w:val="0"/>
          <w:numId w:val="2"/>
        </w:numPr>
      </w:pPr>
      <w:r>
        <w:rPr>
          <w:rFonts w:ascii="Arial" w:hAnsi="Arial" w:cs="Arial"/>
          <w:rFonts w:ascii="Arial" w:hAnsi="Arial"/>
          <w:sz w:val="22"/>
        </w:rPr>
        <w:t>Rate-change grandfathering (Section 5.4) is expressed as effective-dated rate rows, not in-place edits.</w:t>
      </w:r>
    </w:p>
    <w:p>
      <w:pPr>
        <w:pStyle w:val="Heading2"/>
      </w:pPr>
      <w:r>
        <w:t>39.3 Types, Money &amp; PII</w:t>
      </w:r>
    </w:p>
    <w:p>
      <w:pPr>
        <w:pStyle w:val="ListParagraph"/>
        <w:numPr>
          <w:ilvl w:val="0"/>
          <w:numId w:val="2"/>
        </w:numPr>
      </w:pPr>
      <w:r>
        <w:rPr>
          <w:rFonts w:ascii="Arial" w:hAnsi="Arial" w:cs="Arial"/>
          <w:rFonts w:ascii="Arial" w:hAnsi="Arial"/>
          <w:sz w:val="22"/>
        </w:rPr>
        <w:t>All money columns are DECIMAL(18,4) (Section 28.1); enumerations use the state values in Section 25.2; PII columns are encrypted/tokenised (Section 34.2).</w:t>
      </w:r>
    </w:p>
    <w:p>
      <w:pPr>
        <w:pStyle w:val="Heading2"/>
      </w:pPr>
      <w:r>
        <w:t>39.4 Indexing &amp; Partitioning</w:t>
      </w:r>
    </w:p>
    <w:p>
      <w:pPr>
        <w:pStyle w:val="ListParagraph"/>
        <w:numPr>
          <w:ilvl w:val="0"/>
          <w:numId w:val="2"/>
        </w:numPr>
      </w:pPr>
      <w:r>
        <w:rPr>
          <w:rFonts w:ascii="Arial" w:hAnsi="Arial" w:cs="Arial"/>
          <w:rFonts w:ascii="Arial" w:hAnsi="Arial"/>
          <w:sz w:val="22"/>
        </w:rPr>
        <w:t>Partition Loan Account and Transaction/Ledger by tenant_id and time (monthly) to keep hot data small; archive closed-loan partitions.</w:t>
      </w:r>
    </w:p>
    <w:p>
      <w:pPr>
        <w:pStyle w:val="ListParagraph"/>
        <w:numPr>
          <w:ilvl w:val="0"/>
          <w:numId w:val="2"/>
        </w:numPr>
      </w:pPr>
      <w:r>
        <w:rPr>
          <w:rFonts w:ascii="Arial" w:hAnsi="Arial" w:cs="Arial"/>
          <w:rFonts w:ascii="Arial" w:hAnsi="Arial"/>
          <w:sz w:val="22"/>
        </w:rPr>
        <w:t>Indexes on every FK, on (status, dpd_bucket) for collections/NPA queries, on party natural keys (PAN, Aadhaar-hash) for de-dupe, and covering indexes for the heaviest MIS queries — served from read-replicas (Section 15).</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700"/>
        <w:gridCol w:w="5000"/>
        <w:gridCol w:w="2660"/>
      </w:tblGrid>
      <w:tr>
        <w:tc>
          <w:tcPr>
            <w:tcW w:w="1700" w:type="dxa"/>
            <w:shd w:val="clear" w:color="auto" w:fill="1F4E78"/>
          </w:tcPr>
          <w:p>
            <w:pPr>
              <w:spacing w:after="0" w:before="0"/>
            </w:pPr>
            <w:r/>
            <w:r>
              <w:rPr>
                <w:rFonts w:ascii="Arial" w:hAnsi="Arial" w:cs="Arial"/>
                <w:b/>
                <w:color w:val="FFFFFF"/>
                <w:sz w:val="17"/>
              </w:rPr>
              <w:t>Table</w:t>
            </w:r>
          </w:p>
        </w:tc>
        <w:tc>
          <w:tcPr>
            <w:tcW w:w="5000" w:type="dxa"/>
            <w:shd w:val="clear" w:color="auto" w:fill="1F4E78"/>
          </w:tcPr>
          <w:p>
            <w:pPr>
              <w:spacing w:after="0" w:before="0"/>
            </w:pPr>
            <w:r/>
            <w:r>
              <w:rPr>
                <w:rFonts w:ascii="Arial" w:hAnsi="Arial" w:cs="Arial"/>
                <w:b/>
                <w:color w:val="FFFFFF"/>
                <w:sz w:val="17"/>
              </w:rPr>
              <w:t>Sample columns</w:t>
            </w:r>
          </w:p>
        </w:tc>
        <w:tc>
          <w:tcPr>
            <w:tcW w:w="2660" w:type="dxa"/>
            <w:shd w:val="clear" w:color="auto" w:fill="1F4E78"/>
          </w:tcPr>
          <w:p>
            <w:pPr>
              <w:spacing w:after="0" w:before="0"/>
            </w:pPr>
            <w:r/>
            <w:r>
              <w:rPr>
                <w:rFonts w:ascii="Arial" w:hAnsi="Arial" w:cs="Arial"/>
                <w:b/>
                <w:color w:val="FFFFFF"/>
                <w:sz w:val="17"/>
              </w:rPr>
              <w:t>Keys/Index</w:t>
            </w:r>
          </w:p>
        </w:tc>
      </w:tr>
      <w:tr>
        <w:tc>
          <w:tcPr>
            <w:tcW w:w="1700" w:type="dxa"/>
          </w:tcPr>
          <w:p>
            <w:pPr>
              <w:spacing w:after="0" w:before="0"/>
            </w:pPr>
            <w:r/>
            <w:r>
              <w:rPr>
                <w:rFonts w:ascii="Arial" w:hAnsi="Arial" w:cs="Arial"/>
                <w:b w:val="0"/>
                <w:sz w:val="17"/>
              </w:rPr>
              <w:t>loan_account</w:t>
            </w:r>
          </w:p>
        </w:tc>
        <w:tc>
          <w:tcPr>
            <w:tcW w:w="5000" w:type="dxa"/>
          </w:tcPr>
          <w:p>
            <w:pPr>
              <w:spacing w:after="0" w:before="0"/>
            </w:pPr>
            <w:r/>
            <w:r>
              <w:rPr>
                <w:rFonts w:ascii="Arial" w:hAnsi="Arial" w:cs="Arial"/>
                <w:b w:val="0"/>
                <w:sz w:val="17"/>
              </w:rPr>
              <w:t>loan_account_id, party_id, product_code, config_version, sanctioned_amt DECIMAL(18,4), roi DECIMAL(9,6), status, dpd_bucket, valid_from</w:t>
            </w:r>
          </w:p>
        </w:tc>
        <w:tc>
          <w:tcPr>
            <w:tcW w:w="2660" w:type="dxa"/>
          </w:tcPr>
          <w:p>
            <w:pPr>
              <w:spacing w:after="0" w:before="0"/>
            </w:pPr>
            <w:r/>
            <w:r>
              <w:rPr>
                <w:rFonts w:ascii="Arial" w:hAnsi="Arial" w:cs="Arial"/>
                <w:b w:val="0"/>
                <w:sz w:val="17"/>
              </w:rPr>
              <w:t>PK loan_account_id; FKs; idx(status,dpd_bucket); partition(tenant_id, opened_month)</w:t>
            </w:r>
          </w:p>
        </w:tc>
      </w:tr>
      <w:tr>
        <w:tc>
          <w:tcPr>
            <w:tcW w:w="1700" w:type="dxa"/>
          </w:tcPr>
          <w:p>
            <w:pPr>
              <w:spacing w:after="0" w:before="0"/>
            </w:pPr>
            <w:r/>
            <w:r>
              <w:rPr>
                <w:rFonts w:ascii="Arial" w:hAnsi="Arial" w:cs="Arial"/>
                <w:b w:val="0"/>
                <w:sz w:val="17"/>
              </w:rPr>
              <w:t>txn_ledger</w:t>
            </w:r>
          </w:p>
        </w:tc>
        <w:tc>
          <w:tcPr>
            <w:tcW w:w="5000" w:type="dxa"/>
          </w:tcPr>
          <w:p>
            <w:pPr>
              <w:spacing w:after="0" w:before="0"/>
            </w:pPr>
            <w:r/>
            <w:r>
              <w:rPr>
                <w:rFonts w:ascii="Arial" w:hAnsi="Arial" w:cs="Arial"/>
                <w:b w:val="0"/>
                <w:sz w:val="17"/>
              </w:rPr>
              <w:t>txn_id, loan_account_id, debit_gl, credit_gl, amount DECIMAL(18,4), value_date, posting_date, event_id</w:t>
            </w:r>
          </w:p>
        </w:tc>
        <w:tc>
          <w:tcPr>
            <w:tcW w:w="2660" w:type="dxa"/>
          </w:tcPr>
          <w:p>
            <w:pPr>
              <w:spacing w:after="0" w:before="0"/>
            </w:pPr>
            <w:r/>
            <w:r>
              <w:rPr>
                <w:rFonts w:ascii="Arial" w:hAnsi="Arial" w:cs="Arial"/>
                <w:b w:val="0"/>
                <w:sz w:val="17"/>
              </w:rPr>
              <w:t>PK txn_id; uniq(event_id) idempotency; partition(tenant_id, posting_month)</w:t>
            </w:r>
          </w:p>
        </w:tc>
      </w:tr>
    </w:tbl>
    <w:p/>
    <w:p>
      <w:pPr>
        <w:pStyle w:val="Heading1"/>
      </w:pPr>
      <w:r>
        <w:t>40. API Engineering Standard — Idempotency, Errors, Versioning &amp; Async</w:t>
      </w:r>
    </w:p>
    <w:p>
      <w:r>
        <w:rPr>
          <w:rFonts w:ascii="Arial" w:hAnsi="Arial" w:cs="Arial"/>
          <w:rFonts w:ascii="Arial" w:hAnsi="Arial"/>
          <w:b w:val="0"/>
          <w:i w:val="0"/>
          <w:sz w:val="22"/>
        </w:rPr>
        <w:t>Section 26 shows happy-path payloads. This section adds the production contract: idempotency (so a retried disbursement cannot pay twice), a uniform error envelope, versioning, pagination, auth, and the async pattern for long-running calls.</w:t>
      </w:r>
    </w:p>
    <w:p>
      <w:pPr>
        <w:pStyle w:val="Heading2"/>
      </w:pPr>
      <w:r>
        <w:t>40.1 Idempotency</w:t>
      </w:r>
    </w:p>
    <w:p>
      <w:pPr>
        <w:pStyle w:val="ListParagraph"/>
        <w:numPr>
          <w:ilvl w:val="0"/>
          <w:numId w:val="2"/>
        </w:numPr>
      </w:pPr>
      <w:r>
        <w:rPr>
          <w:rFonts w:ascii="Arial" w:hAnsi="Arial" w:cs="Arial"/>
          <w:rFonts w:ascii="Arial" w:hAnsi="Arial"/>
          <w:sz w:val="22"/>
        </w:rPr>
        <w:t>Every state-changing POST accepts an Idempotency-Key header; the server stores key → response for 24 hours and replays the stored result on any retry, so disbursements/repayments execute exactly once (Sections 26.3–26.4, D4/D5).</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POST /loan-accounts/{id}/disburse</w:t>
            </w:r>
            <w:r>
              <w:rPr>
                <w:rFonts w:ascii="Consolas" w:hAnsi="Consolas" w:cs="Consolas"/>
                <w:b w:val="0"/>
                <w:sz w:val="19"/>
              </w:rPr>
              <w:br/>
              <w:t>Idempotency-Key: 5f3a...c91</w:t>
            </w:r>
            <w:r>
              <w:rPr>
                <w:rFonts w:ascii="Consolas" w:hAnsi="Consolas" w:cs="Consolas"/>
                <w:b w:val="0"/>
                <w:sz w:val="19"/>
              </w:rPr>
              <w:br/>
              <w:t>Authorization: Bearer &lt;token&gt;          # OAuth2 client-credentials + mTLS</w:t>
            </w:r>
            <w:r>
              <w:rPr>
                <w:rFonts w:ascii="Consolas" w:hAnsi="Consolas" w:cs="Consolas"/>
                <w:b w:val="0"/>
                <w:sz w:val="19"/>
              </w:rPr>
              <w:br/>
              <w:t>{ "disbursementAmount": 2000000, "disbursementMode": "FULL",</w:t>
            </w:r>
            <w:r>
              <w:rPr>
                <w:rFonts w:ascii="Consolas" w:hAnsi="Consolas" w:cs="Consolas"/>
                <w:b w:val="0"/>
                <w:sz w:val="19"/>
              </w:rPr>
              <w:br/>
              <w:t xml:space="preserve">  "beneficiaryAccount": { "accountNumber": "XXXXXXXXXX1234", "ifsc": "HDFC0001234" },</w:t>
            </w:r>
            <w:r>
              <w:rPr>
                <w:rFonts w:ascii="Consolas" w:hAnsi="Consolas" w:cs="Consolas"/>
                <w:b w:val="0"/>
                <w:sz w:val="19"/>
              </w:rPr>
              <w:br/>
              <w:t xml:space="preserve">  "valueDate": "2026-07-05" }</w:t>
            </w:r>
          </w:p>
        </w:tc>
      </w:tr>
    </w:tbl>
    <w:p/>
    <w:p>
      <w:pPr>
        <w:pStyle w:val="Heading2"/>
      </w:pPr>
      <w:r>
        <w:t>40.2 Error Envelope &amp; Status Codes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HTTP/1.1 422 Unprocessable Entity</w:t>
            </w:r>
            <w:r>
              <w:rPr>
                <w:rFonts w:ascii="Consolas" w:hAnsi="Consolas" w:cs="Consolas"/>
                <w:b w:val="0"/>
                <w:sz w:val="19"/>
              </w:rPr>
              <w:br/>
              <w:t>{ "error": {</w:t>
            </w:r>
            <w:r>
              <w:rPr>
                <w:rFonts w:ascii="Consolas" w:hAnsi="Consolas" w:cs="Consolas"/>
                <w:b w:val="0"/>
                <w:sz w:val="19"/>
              </w:rPr>
              <w:br/>
              <w:t xml:space="preserve">    "code": "SANCTION_CONDITION_PENDING",</w:t>
            </w:r>
            <w:r>
              <w:rPr>
                <w:rFonts w:ascii="Consolas" w:hAnsi="Consolas" w:cs="Consolas"/>
                <w:b w:val="0"/>
                <w:sz w:val="19"/>
              </w:rPr>
              <w:br/>
              <w:t xml:space="preserve">    "message": "Disbursement blocked: 1 pending sanction condition.",</w:t>
            </w:r>
            <w:r>
              <w:rPr>
                <w:rFonts w:ascii="Consolas" w:hAnsi="Consolas" w:cs="Consolas"/>
                <w:b w:val="0"/>
                <w:sz w:val="19"/>
              </w:rPr>
              <w:br/>
              <w:t xml:space="preserve">    "traceId": "b7e2-4a10-9c33",</w:t>
            </w:r>
            <w:r>
              <w:rPr>
                <w:rFonts w:ascii="Consolas" w:hAnsi="Consolas" w:cs="Consolas"/>
                <w:b w:val="0"/>
                <w:sz w:val="19"/>
              </w:rPr>
              <w:br/>
              <w:t xml:space="preserve">    "fields": [ { "field": "conditionId", "issue": "CON-118 not cleared" } ] } }</w:t>
            </w:r>
          </w:p>
        </w:tc>
      </w:tr>
    </w:tbl>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500"/>
        <w:gridCol w:w="3200"/>
        <w:gridCol w:w="4660"/>
      </w:tblGrid>
      <w:tr>
        <w:tc>
          <w:tcPr>
            <w:tcW w:w="1500" w:type="dxa"/>
            <w:shd w:val="clear" w:color="auto" w:fill="1F4E78"/>
          </w:tcPr>
          <w:p>
            <w:pPr>
              <w:spacing w:after="0" w:before="0"/>
            </w:pPr>
            <w:r/>
            <w:r>
              <w:rPr>
                <w:rFonts w:ascii="Arial" w:hAnsi="Arial" w:cs="Arial"/>
                <w:b/>
                <w:color w:val="FFFFFF"/>
                <w:sz w:val="17"/>
              </w:rPr>
              <w:t>HTTP</w:t>
            </w:r>
          </w:p>
        </w:tc>
        <w:tc>
          <w:tcPr>
            <w:tcW w:w="3200" w:type="dxa"/>
            <w:shd w:val="clear" w:color="auto" w:fill="1F4E78"/>
          </w:tcPr>
          <w:p>
            <w:pPr>
              <w:spacing w:after="0" w:before="0"/>
            </w:pPr>
            <w:r/>
            <w:r>
              <w:rPr>
                <w:rFonts w:ascii="Arial" w:hAnsi="Arial" w:cs="Arial"/>
                <w:b/>
                <w:color w:val="FFFFFF"/>
                <w:sz w:val="17"/>
              </w:rPr>
              <w:t>Meaning</w:t>
            </w:r>
          </w:p>
        </w:tc>
        <w:tc>
          <w:tcPr>
            <w:tcW w:w="4660" w:type="dxa"/>
            <w:shd w:val="clear" w:color="auto" w:fill="1F4E78"/>
          </w:tcPr>
          <w:p>
            <w:pPr>
              <w:spacing w:after="0" w:before="0"/>
            </w:pPr>
            <w:r/>
            <w:r>
              <w:rPr>
                <w:rFonts w:ascii="Arial" w:hAnsi="Arial" w:cs="Arial"/>
                <w:b/>
                <w:color w:val="FFFFFF"/>
                <w:sz w:val="17"/>
              </w:rPr>
              <w:t>Example</w:t>
            </w:r>
          </w:p>
        </w:tc>
      </w:tr>
      <w:tr>
        <w:tc>
          <w:tcPr>
            <w:tcW w:w="1500" w:type="dxa"/>
          </w:tcPr>
          <w:p>
            <w:pPr>
              <w:spacing w:after="0" w:before="0"/>
            </w:pPr>
            <w:r/>
            <w:r>
              <w:rPr>
                <w:rFonts w:ascii="Arial" w:hAnsi="Arial" w:cs="Arial"/>
                <w:b w:val="0"/>
                <w:sz w:val="17"/>
              </w:rPr>
              <w:t>400 / 422</w:t>
            </w:r>
          </w:p>
        </w:tc>
        <w:tc>
          <w:tcPr>
            <w:tcW w:w="3200" w:type="dxa"/>
          </w:tcPr>
          <w:p>
            <w:pPr>
              <w:spacing w:after="0" w:before="0"/>
            </w:pPr>
            <w:r/>
            <w:r>
              <w:rPr>
                <w:rFonts w:ascii="Arial" w:hAnsi="Arial" w:cs="Arial"/>
                <w:b w:val="0"/>
                <w:sz w:val="17"/>
              </w:rPr>
              <w:t>Malformed / business-rule validation</w:t>
            </w:r>
          </w:p>
        </w:tc>
        <w:tc>
          <w:tcPr>
            <w:tcW w:w="4660" w:type="dxa"/>
          </w:tcPr>
          <w:p>
            <w:pPr>
              <w:spacing w:after="0" w:before="0"/>
            </w:pPr>
            <w:r/>
            <w:r>
              <w:rPr>
                <w:rFonts w:ascii="Arial" w:hAnsi="Arial" w:cs="Arial"/>
                <w:b w:val="0"/>
                <w:sz w:val="17"/>
              </w:rPr>
              <w:t>Invalid PAN; pending sanction condition</w:t>
            </w:r>
          </w:p>
        </w:tc>
      </w:tr>
      <w:tr>
        <w:tc>
          <w:tcPr>
            <w:tcW w:w="1500" w:type="dxa"/>
          </w:tcPr>
          <w:p>
            <w:pPr>
              <w:spacing w:after="0" w:before="0"/>
            </w:pPr>
            <w:r/>
            <w:r>
              <w:rPr>
                <w:rFonts w:ascii="Arial" w:hAnsi="Arial" w:cs="Arial"/>
                <w:b w:val="0"/>
                <w:sz w:val="17"/>
              </w:rPr>
              <w:t>401 / 403</w:t>
            </w:r>
          </w:p>
        </w:tc>
        <w:tc>
          <w:tcPr>
            <w:tcW w:w="3200" w:type="dxa"/>
          </w:tcPr>
          <w:p>
            <w:pPr>
              <w:spacing w:after="0" w:before="0"/>
            </w:pPr>
            <w:r/>
            <w:r>
              <w:rPr>
                <w:rFonts w:ascii="Arial" w:hAnsi="Arial" w:cs="Arial"/>
                <w:b w:val="0"/>
                <w:sz w:val="17"/>
              </w:rPr>
              <w:t>Unauthenticated / unauthorised</w:t>
            </w:r>
          </w:p>
        </w:tc>
        <w:tc>
          <w:tcPr>
            <w:tcW w:w="4660" w:type="dxa"/>
          </w:tcPr>
          <w:p>
            <w:pPr>
              <w:spacing w:after="0" w:before="0"/>
            </w:pPr>
            <w:r/>
            <w:r>
              <w:rPr>
                <w:rFonts w:ascii="Arial" w:hAnsi="Arial" w:cs="Arial"/>
                <w:b w:val="0"/>
                <w:sz w:val="17"/>
              </w:rPr>
              <w:t>Missing token; role lacks approve rights</w:t>
            </w:r>
          </w:p>
        </w:tc>
      </w:tr>
      <w:tr>
        <w:tc>
          <w:tcPr>
            <w:tcW w:w="1500" w:type="dxa"/>
          </w:tcPr>
          <w:p>
            <w:pPr>
              <w:spacing w:after="0" w:before="0"/>
            </w:pPr>
            <w:r/>
            <w:r>
              <w:rPr>
                <w:rFonts w:ascii="Arial" w:hAnsi="Arial" w:cs="Arial"/>
                <w:b w:val="0"/>
                <w:sz w:val="17"/>
              </w:rPr>
              <w:t>404</w:t>
            </w:r>
          </w:p>
        </w:tc>
        <w:tc>
          <w:tcPr>
            <w:tcW w:w="3200" w:type="dxa"/>
          </w:tcPr>
          <w:p>
            <w:pPr>
              <w:spacing w:after="0" w:before="0"/>
            </w:pPr>
            <w:r/>
            <w:r>
              <w:rPr>
                <w:rFonts w:ascii="Arial" w:hAnsi="Arial" w:cs="Arial"/>
                <w:b w:val="0"/>
                <w:sz w:val="17"/>
              </w:rPr>
              <w:t>Resource not found</w:t>
            </w:r>
          </w:p>
        </w:tc>
        <w:tc>
          <w:tcPr>
            <w:tcW w:w="4660" w:type="dxa"/>
          </w:tcPr>
          <w:p>
            <w:pPr>
              <w:spacing w:after="0" w:before="0"/>
            </w:pPr>
            <w:r/>
            <w:r>
              <w:rPr>
                <w:rFonts w:ascii="Arial" w:hAnsi="Arial" w:cs="Arial"/>
                <w:b w:val="0"/>
                <w:sz w:val="17"/>
              </w:rPr>
              <w:t>Unknown loanAccountId</w:t>
            </w:r>
          </w:p>
        </w:tc>
      </w:tr>
      <w:tr>
        <w:tc>
          <w:tcPr>
            <w:tcW w:w="1500" w:type="dxa"/>
          </w:tcPr>
          <w:p>
            <w:pPr>
              <w:spacing w:after="0" w:before="0"/>
            </w:pPr>
            <w:r/>
            <w:r>
              <w:rPr>
                <w:rFonts w:ascii="Arial" w:hAnsi="Arial" w:cs="Arial"/>
                <w:b w:val="0"/>
                <w:sz w:val="17"/>
              </w:rPr>
              <w:t>409</w:t>
            </w:r>
          </w:p>
        </w:tc>
        <w:tc>
          <w:tcPr>
            <w:tcW w:w="3200" w:type="dxa"/>
          </w:tcPr>
          <w:p>
            <w:pPr>
              <w:spacing w:after="0" w:before="0"/>
            </w:pPr>
            <w:r/>
            <w:r>
              <w:rPr>
                <w:rFonts w:ascii="Arial" w:hAnsi="Arial" w:cs="Arial"/>
                <w:b w:val="0"/>
                <w:sz w:val="17"/>
              </w:rPr>
              <w:t>Conflict / duplicate</w:t>
            </w:r>
          </w:p>
        </w:tc>
        <w:tc>
          <w:tcPr>
            <w:tcW w:w="4660" w:type="dxa"/>
          </w:tcPr>
          <w:p>
            <w:pPr>
              <w:spacing w:after="0" w:before="0"/>
            </w:pPr>
            <w:r/>
            <w:r>
              <w:rPr>
                <w:rFonts w:ascii="Arial" w:hAnsi="Arial" w:cs="Arial"/>
                <w:b w:val="0"/>
                <w:sz w:val="17"/>
              </w:rPr>
              <w:t>Idempotency-Key reused with different body</w:t>
            </w:r>
          </w:p>
        </w:tc>
      </w:tr>
      <w:tr>
        <w:tc>
          <w:tcPr>
            <w:tcW w:w="1500" w:type="dxa"/>
          </w:tcPr>
          <w:p>
            <w:pPr>
              <w:spacing w:after="0" w:before="0"/>
            </w:pPr>
            <w:r/>
            <w:r>
              <w:rPr>
                <w:rFonts w:ascii="Arial" w:hAnsi="Arial" w:cs="Arial"/>
                <w:b w:val="0"/>
                <w:sz w:val="17"/>
              </w:rPr>
              <w:t>429</w:t>
            </w:r>
          </w:p>
        </w:tc>
        <w:tc>
          <w:tcPr>
            <w:tcW w:w="3200" w:type="dxa"/>
          </w:tcPr>
          <w:p>
            <w:pPr>
              <w:spacing w:after="0" w:before="0"/>
            </w:pPr>
            <w:r/>
            <w:r>
              <w:rPr>
                <w:rFonts w:ascii="Arial" w:hAnsi="Arial" w:cs="Arial"/>
                <w:b w:val="0"/>
                <w:sz w:val="17"/>
              </w:rPr>
              <w:t>Rate-limited</w:t>
            </w:r>
          </w:p>
        </w:tc>
        <w:tc>
          <w:tcPr>
            <w:tcW w:w="4660" w:type="dxa"/>
          </w:tcPr>
          <w:p>
            <w:pPr>
              <w:spacing w:after="0" w:before="0"/>
            </w:pPr>
            <w:r/>
            <w:r>
              <w:rPr>
                <w:rFonts w:ascii="Arial" w:hAnsi="Arial" w:cs="Arial"/>
                <w:b w:val="0"/>
                <w:sz w:val="17"/>
              </w:rPr>
              <w:t>Retry-After header returned</w:t>
            </w:r>
          </w:p>
        </w:tc>
      </w:tr>
      <w:tr>
        <w:tc>
          <w:tcPr>
            <w:tcW w:w="1500" w:type="dxa"/>
          </w:tcPr>
          <w:p>
            <w:pPr>
              <w:spacing w:after="0" w:before="0"/>
            </w:pPr>
            <w:r/>
            <w:r>
              <w:rPr>
                <w:rFonts w:ascii="Arial" w:hAnsi="Arial" w:cs="Arial"/>
                <w:b w:val="0"/>
                <w:sz w:val="17"/>
              </w:rPr>
              <w:t>500 / 503</w:t>
            </w:r>
          </w:p>
        </w:tc>
        <w:tc>
          <w:tcPr>
            <w:tcW w:w="3200" w:type="dxa"/>
          </w:tcPr>
          <w:p>
            <w:pPr>
              <w:spacing w:after="0" w:before="0"/>
            </w:pPr>
            <w:r/>
            <w:r>
              <w:rPr>
                <w:rFonts w:ascii="Arial" w:hAnsi="Arial" w:cs="Arial"/>
                <w:b w:val="0"/>
                <w:sz w:val="17"/>
              </w:rPr>
              <w:t>Server / dependency error</w:t>
            </w:r>
          </w:p>
        </w:tc>
        <w:tc>
          <w:tcPr>
            <w:tcW w:w="4660" w:type="dxa"/>
          </w:tcPr>
          <w:p>
            <w:pPr>
              <w:spacing w:after="0" w:before="0"/>
            </w:pPr>
            <w:r/>
            <w:r>
              <w:rPr>
                <w:rFonts w:ascii="Arial" w:hAnsi="Arial" w:cs="Arial"/>
                <w:b w:val="0"/>
                <w:sz w:val="17"/>
              </w:rPr>
              <w:t>Bureau circuit open (Section 38)</w:t>
            </w:r>
          </w:p>
        </w:tc>
      </w:tr>
    </w:tbl>
    <w:p/>
    <w:p>
      <w:pPr>
        <w:pStyle w:val="Heading2"/>
      </w:pPr>
      <w:r>
        <w:t>40.3 Versioning, Pagination &amp; Auth</w:t>
      </w:r>
    </w:p>
    <w:p>
      <w:pPr>
        <w:pStyle w:val="ListParagraph"/>
        <w:numPr>
          <w:ilvl w:val="0"/>
          <w:numId w:val="2"/>
        </w:numPr>
      </w:pPr>
      <w:r>
        <w:rPr>
          <w:rFonts w:ascii="Arial" w:hAnsi="Arial" w:cs="Arial"/>
          <w:rFonts w:ascii="Arial" w:hAnsi="Arial"/>
          <w:sz w:val="22"/>
        </w:rPr>
        <w:t>URI versioning (/v1) with a published deprecation policy; only backward-compatible changes within a version.</w:t>
      </w:r>
    </w:p>
    <w:p>
      <w:pPr>
        <w:pStyle w:val="ListParagraph"/>
        <w:numPr>
          <w:ilvl w:val="0"/>
          <w:numId w:val="2"/>
        </w:numPr>
      </w:pPr>
      <w:r>
        <w:rPr>
          <w:rFonts w:ascii="Arial" w:hAnsi="Arial" w:cs="Arial"/>
          <w:rFonts w:ascii="Arial" w:hAnsi="Arial"/>
          <w:sz w:val="22"/>
        </w:rPr>
        <w:t>List endpoints use cursor pagination (limit + nextCursor), documented filtering/sorting, and standard rate-limit headers (X-RateLimit-*).</w:t>
      </w:r>
    </w:p>
    <w:p>
      <w:pPr>
        <w:pStyle w:val="ListParagraph"/>
        <w:numPr>
          <w:ilvl w:val="0"/>
          <w:numId w:val="2"/>
        </w:numPr>
      </w:pPr>
      <w:r>
        <w:rPr>
          <w:rFonts w:ascii="Arial" w:hAnsi="Arial" w:cs="Arial"/>
          <w:rFonts w:ascii="Arial" w:hAnsi="Arial"/>
          <w:sz w:val="22"/>
        </w:rPr>
        <w:t>User calls: OIDC + MFA (Section 34.2); server-to-server: OAuth2 client-credentials + mTLS; webhooks are HMAC-signed and verified.</w:t>
      </w:r>
    </w:p>
    <w:p>
      <w:pPr>
        <w:pStyle w:val="Heading2"/>
      </w:pPr>
      <w:r>
        <w:t>40.4 Async / Long-Running Operations</w:t>
      </w:r>
    </w:p>
    <w:p>
      <w:pPr>
        <w:pStyle w:val="ListParagraph"/>
        <w:numPr>
          <w:ilvl w:val="0"/>
          <w:numId w:val="2"/>
        </w:numPr>
      </w:pPr>
      <w:r>
        <w:rPr>
          <w:rFonts w:ascii="Arial" w:hAnsi="Arial" w:cs="Arial"/>
          <w:rFonts w:ascii="Arial" w:hAnsi="Arial"/>
          <w:sz w:val="22"/>
        </w:rPr>
        <w:t>Bureau pulls, regulatory-return generation, bulk disbursement, and file generation return 202 Accepted with a job resource; the client polls the job or receives a signed webhook on completion (avoids gateway timeouts, Section 29.1).</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POST /applications/{id}/bureau-pull   →   202 Accepted</w:t>
            </w:r>
            <w:r>
              <w:rPr>
                <w:rFonts w:ascii="Consolas" w:hAnsi="Consolas" w:cs="Consolas"/>
                <w:b w:val="0"/>
                <w:sz w:val="19"/>
              </w:rPr>
              <w:br/>
              <w:t>{ "jobId": "JOB-77213", "status": "PROCESSING", "poll": "/jobs/JOB-77213" }</w:t>
            </w:r>
            <w:r>
              <w:rPr>
                <w:rFonts w:ascii="Consolas" w:hAnsi="Consolas" w:cs="Consolas"/>
                <w:b w:val="0"/>
                <w:sz w:val="19"/>
              </w:rPr>
              <w:br/>
              <w:t/>
            </w:r>
            <w:r>
              <w:rPr>
                <w:rFonts w:ascii="Consolas" w:hAnsi="Consolas" w:cs="Consolas"/>
                <w:b w:val="0"/>
                <w:sz w:val="19"/>
              </w:rPr>
              <w:br/>
              <w:t>GET /jobs/JOB-77213   →   200 OK</w:t>
            </w:r>
            <w:r>
              <w:rPr>
                <w:rFonts w:ascii="Consolas" w:hAnsi="Consolas" w:cs="Consolas"/>
                <w:b w:val="0"/>
                <w:sz w:val="19"/>
              </w:rPr>
              <w:br/>
              <w:t>{ "jobId": "JOB-77213", "status": "COMPLETED", "result": { "bureauReportId": "BUR-77213", "score": 742 } }</w:t>
            </w:r>
          </w:p>
        </w:tc>
      </w:tr>
    </w:tbl>
    <w:p/>
    <w:p>
      <w:pPr>
        <w:pStyle w:val="Heading1"/>
      </w:pPr>
      <w:r>
        <w:t>41. Test Strategy &amp; Golden Test Vectors</w:t>
      </w:r>
    </w:p>
    <w:p>
      <w:r>
        <w:rPr>
          <w:rFonts w:ascii="Arial" w:hAnsi="Arial" w:cs="Arial"/>
          <w:rFonts w:ascii="Arial" w:hAnsi="Arial"/>
          <w:b w:val="0"/>
          <w:i w:val="0"/>
          <w:sz w:val="22"/>
        </w:rPr>
        <w:t>Section 23 covers UAT at a high level. This section adds the engineering test strategy, formalises the Section 24/32 worked examples as a regression suite, and defines the reconciliation harness that protects financial integrity.</w:t>
      </w:r>
    </w:p>
    <w:p>
      <w:pPr>
        <w:pStyle w:val="Heading2"/>
      </w:pPr>
      <w:r>
        <w:t>41.1 Test Pyramid &amp; Coverage</w:t>
      </w:r>
    </w:p>
    <w:p>
      <w:pPr>
        <w:pStyle w:val="ListParagraph"/>
        <w:numPr>
          <w:ilvl w:val="0"/>
          <w:numId w:val="2"/>
        </w:numPr>
      </w:pPr>
      <w:r>
        <w:rPr>
          <w:rFonts w:ascii="Arial" w:hAnsi="Arial" w:cs="Arial"/>
          <w:rFonts w:ascii="Arial" w:hAnsi="Arial"/>
          <w:sz w:val="22"/>
        </w:rPr>
        <w:t>Unit tests ≥ 80% on the calculation and GL engines (the financial core); contract tests for every external integration (Section 12/38); end-to-end tests covering each product (Section 3) and borrower type (Section 2) at least once.</w:t>
      </w:r>
    </w:p>
    <w:p>
      <w:pPr>
        <w:pStyle w:val="ListParagraph"/>
        <w:numPr>
          <w:ilvl w:val="0"/>
          <w:numId w:val="2"/>
        </w:numPr>
      </w:pPr>
      <w:r>
        <w:rPr>
          <w:rFonts w:ascii="Arial" w:hAnsi="Arial" w:cs="Arial"/>
          <w:rFonts w:ascii="Arial" w:hAnsi="Arial"/>
          <w:sz w:val="22"/>
        </w:rPr>
        <w:t>Negative and boundary tests: zero/one-month tenure, leap-year day-count (Section 24.1), part-payment on the final installment, rounding edges (Section 28.2), NPA classification exactly at 90 DPD, concurrent drawdown on a revolving limit.</w:t>
      </w:r>
    </w:p>
    <w:p>
      <w:pPr>
        <w:pStyle w:val="Heading2"/>
      </w:pPr>
      <w:r>
        <w:t>41.2 Golden Test Vectors (calculation engine)</w:t>
      </w:r>
    </w:p>
    <w:p>
      <w:r>
        <w:rPr>
          <w:rFonts w:ascii="Arial" w:hAnsi="Arial" w:cs="Arial"/>
          <w:rFonts w:ascii="Arial" w:hAnsi="Arial"/>
          <w:b w:val="0"/>
          <w:i w:val="0"/>
          <w:sz w:val="22"/>
        </w:rPr>
        <w:t>These fixed input→output cases are the canonical regression suite; the engine must reproduce each to the paisa before release.</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700"/>
        <w:gridCol w:w="3600"/>
        <w:gridCol w:w="4060"/>
      </w:tblGrid>
      <w:tr>
        <w:tc>
          <w:tcPr>
            <w:tcW w:w="1700" w:type="dxa"/>
            <w:shd w:val="clear" w:color="auto" w:fill="1F4E78"/>
          </w:tcPr>
          <w:p>
            <w:pPr>
              <w:spacing w:after="0" w:before="0"/>
            </w:pPr>
            <w:r/>
            <w:r>
              <w:rPr>
                <w:rFonts w:ascii="Arial" w:hAnsi="Arial" w:cs="Arial"/>
                <w:b/>
                <w:color w:val="FFFFFF"/>
                <w:sz w:val="17"/>
              </w:rPr>
              <w:t>Case</w:t>
            </w:r>
          </w:p>
        </w:tc>
        <w:tc>
          <w:tcPr>
            <w:tcW w:w="3600" w:type="dxa"/>
            <w:shd w:val="clear" w:color="auto" w:fill="1F4E78"/>
          </w:tcPr>
          <w:p>
            <w:pPr>
              <w:spacing w:after="0" w:before="0"/>
            </w:pPr>
            <w:r/>
            <w:r>
              <w:rPr>
                <w:rFonts w:ascii="Arial" w:hAnsi="Arial" w:cs="Arial"/>
                <w:b/>
                <w:color w:val="FFFFFF"/>
                <w:sz w:val="17"/>
              </w:rPr>
              <w:t>Inputs</w:t>
            </w:r>
          </w:p>
        </w:tc>
        <w:tc>
          <w:tcPr>
            <w:tcW w:w="4060" w:type="dxa"/>
            <w:shd w:val="clear" w:color="auto" w:fill="1F4E78"/>
          </w:tcPr>
          <w:p>
            <w:pPr>
              <w:spacing w:after="0" w:before="0"/>
            </w:pPr>
            <w:r/>
            <w:r>
              <w:rPr>
                <w:rFonts w:ascii="Arial" w:hAnsi="Arial" w:cs="Arial"/>
                <w:b/>
                <w:color w:val="FFFFFF"/>
                <w:sz w:val="17"/>
              </w:rPr>
              <w:t>Expected output</w:t>
            </w:r>
          </w:p>
        </w:tc>
      </w:tr>
      <w:tr>
        <w:tc>
          <w:tcPr>
            <w:tcW w:w="1700" w:type="dxa"/>
          </w:tcPr>
          <w:p>
            <w:pPr>
              <w:spacing w:after="0" w:before="0"/>
            </w:pPr>
            <w:r/>
            <w:r>
              <w:rPr>
                <w:rFonts w:ascii="Arial" w:hAnsi="Arial" w:cs="Arial"/>
                <w:b w:val="0"/>
                <w:sz w:val="17"/>
              </w:rPr>
              <w:t>EMI (24.2)</w:t>
            </w:r>
          </w:p>
        </w:tc>
        <w:tc>
          <w:tcPr>
            <w:tcW w:w="3600" w:type="dxa"/>
          </w:tcPr>
          <w:p>
            <w:pPr>
              <w:spacing w:after="0" w:before="0"/>
            </w:pPr>
            <w:r/>
            <w:r>
              <w:rPr>
                <w:rFonts w:ascii="Arial" w:hAnsi="Arial" w:cs="Arial"/>
                <w:b w:val="0"/>
                <w:sz w:val="17"/>
              </w:rPr>
              <w:t>₹5,00,000 · 14% · 36m</w:t>
            </w:r>
          </w:p>
        </w:tc>
        <w:tc>
          <w:tcPr>
            <w:tcW w:w="4060" w:type="dxa"/>
          </w:tcPr>
          <w:p>
            <w:pPr>
              <w:spacing w:after="0" w:before="0"/>
            </w:pPr>
            <w:r/>
            <w:r>
              <w:rPr>
                <w:rFonts w:ascii="Arial" w:hAnsi="Arial" w:cs="Arial"/>
                <w:b w:val="0"/>
                <w:sz w:val="17"/>
              </w:rPr>
              <w:t>EMI ₹17,088.81</w:t>
            </w:r>
          </w:p>
        </w:tc>
      </w:tr>
      <w:tr>
        <w:tc>
          <w:tcPr>
            <w:tcW w:w="1700" w:type="dxa"/>
          </w:tcPr>
          <w:p>
            <w:pPr>
              <w:spacing w:after="0" w:before="0"/>
            </w:pPr>
            <w:r/>
            <w:r>
              <w:rPr>
                <w:rFonts w:ascii="Arial" w:hAnsi="Arial" w:cs="Arial"/>
                <w:b w:val="0"/>
                <w:sz w:val="17"/>
              </w:rPr>
              <w:t>LAP broken-period (24.3)</w:t>
            </w:r>
          </w:p>
        </w:tc>
        <w:tc>
          <w:tcPr>
            <w:tcW w:w="3600" w:type="dxa"/>
          </w:tcPr>
          <w:p>
            <w:pPr>
              <w:spacing w:after="0" w:before="0"/>
            </w:pPr>
            <w:r/>
            <w:r>
              <w:rPr>
                <w:rFonts w:ascii="Arial" w:hAnsi="Arial" w:cs="Arial"/>
                <w:b w:val="0"/>
                <w:sz w:val="17"/>
              </w:rPr>
              <w:t>₹20,00,000 · 11% · 28-day first period</w:t>
            </w:r>
          </w:p>
        </w:tc>
        <w:tc>
          <w:tcPr>
            <w:tcW w:w="4060" w:type="dxa"/>
          </w:tcPr>
          <w:p>
            <w:pPr>
              <w:spacing w:after="0" w:before="0"/>
            </w:pPr>
            <w:r/>
            <w:r>
              <w:rPr>
                <w:rFonts w:ascii="Arial" w:hAnsi="Arial" w:cs="Arial"/>
                <w:b w:val="0"/>
                <w:sz w:val="17"/>
              </w:rPr>
              <w:t>First-period interest ₹16,876.71</w:t>
            </w:r>
          </w:p>
        </w:tc>
      </w:tr>
      <w:tr>
        <w:tc>
          <w:tcPr>
            <w:tcW w:w="1700" w:type="dxa"/>
          </w:tcPr>
          <w:p>
            <w:pPr>
              <w:spacing w:after="0" w:before="0"/>
            </w:pPr>
            <w:r/>
            <w:r>
              <w:rPr>
                <w:rFonts w:ascii="Arial" w:hAnsi="Arial" w:cs="Arial"/>
                <w:b w:val="0"/>
                <w:sz w:val="17"/>
              </w:rPr>
              <w:t>LAS daily (24.6)</w:t>
            </w:r>
          </w:p>
        </w:tc>
        <w:tc>
          <w:tcPr>
            <w:tcW w:w="3600" w:type="dxa"/>
          </w:tcPr>
          <w:p>
            <w:pPr>
              <w:spacing w:after="0" w:before="0"/>
            </w:pPr>
            <w:r/>
            <w:r>
              <w:rPr>
                <w:rFonts w:ascii="Arial" w:hAnsi="Arial" w:cs="Arial"/>
                <w:b w:val="0"/>
                <w:sz w:val="17"/>
              </w:rPr>
              <w:t>₹2,00,000→₹1,50,000 · 10.5% · 15+15d</w:t>
            </w:r>
          </w:p>
        </w:tc>
        <w:tc>
          <w:tcPr>
            <w:tcW w:w="4060" w:type="dxa"/>
          </w:tcPr>
          <w:p>
            <w:pPr>
              <w:spacing w:after="0" w:before="0"/>
            </w:pPr>
            <w:r/>
            <w:r>
              <w:rPr>
                <w:rFonts w:ascii="Arial" w:hAnsi="Arial" w:cs="Arial"/>
                <w:b w:val="0"/>
                <w:sz w:val="17"/>
              </w:rPr>
              <w:t>Cycle interest ₹1,510.27</w:t>
            </w:r>
          </w:p>
        </w:tc>
      </w:tr>
      <w:tr>
        <w:tc>
          <w:tcPr>
            <w:tcW w:w="1700" w:type="dxa"/>
          </w:tcPr>
          <w:p>
            <w:pPr>
              <w:spacing w:after="0" w:before="0"/>
            </w:pPr>
            <w:r/>
            <w:r>
              <w:rPr>
                <w:rFonts w:ascii="Arial" w:hAnsi="Arial" w:cs="Arial"/>
                <w:b w:val="0"/>
                <w:sz w:val="17"/>
              </w:rPr>
              <w:t>Gold bullet (24.5)</w:t>
            </w:r>
          </w:p>
        </w:tc>
        <w:tc>
          <w:tcPr>
            <w:tcW w:w="3600" w:type="dxa"/>
          </w:tcPr>
          <w:p>
            <w:pPr>
              <w:spacing w:after="0" w:before="0"/>
            </w:pPr>
            <w:r/>
            <w:r>
              <w:rPr>
                <w:rFonts w:ascii="Arial" w:hAnsi="Arial" w:cs="Arial"/>
                <w:b w:val="0"/>
                <w:sz w:val="17"/>
              </w:rPr>
              <w:t>₹1,00,000 · 12% · 180d</w:t>
            </w:r>
          </w:p>
        </w:tc>
        <w:tc>
          <w:tcPr>
            <w:tcW w:w="4060" w:type="dxa"/>
          </w:tcPr>
          <w:p>
            <w:pPr>
              <w:spacing w:after="0" w:before="0"/>
            </w:pPr>
            <w:r/>
            <w:r>
              <w:rPr>
                <w:rFonts w:ascii="Arial" w:hAnsi="Arial" w:cs="Arial"/>
                <w:b w:val="0"/>
                <w:sz w:val="17"/>
              </w:rPr>
              <w:t>Interest ₹5,917.81</w:t>
            </w:r>
          </w:p>
        </w:tc>
      </w:tr>
      <w:tr>
        <w:tc>
          <w:tcPr>
            <w:tcW w:w="1700" w:type="dxa"/>
          </w:tcPr>
          <w:p>
            <w:pPr>
              <w:spacing w:after="0" w:before="0"/>
            </w:pPr>
            <w:r/>
            <w:r>
              <w:rPr>
                <w:rFonts w:ascii="Arial" w:hAnsi="Arial" w:cs="Arial"/>
                <w:b w:val="0"/>
                <w:sz w:val="17"/>
              </w:rPr>
              <w:t>Foreclosure (24.9)</w:t>
            </w:r>
          </w:p>
        </w:tc>
        <w:tc>
          <w:tcPr>
            <w:tcW w:w="3600" w:type="dxa"/>
          </w:tcPr>
          <w:p>
            <w:pPr>
              <w:spacing w:after="0" w:before="0"/>
            </w:pPr>
            <w:r/>
            <w:r>
              <w:rPr>
                <w:rFonts w:ascii="Arial" w:hAnsi="Arial" w:cs="Arial"/>
                <w:b w:val="0"/>
                <w:sz w:val="17"/>
              </w:rPr>
              <w:t>Outstanding ₹3,55,921.50 · 4%</w:t>
            </w:r>
          </w:p>
        </w:tc>
        <w:tc>
          <w:tcPr>
            <w:tcW w:w="4060" w:type="dxa"/>
          </w:tcPr>
          <w:p>
            <w:pPr>
              <w:spacing w:after="0" w:before="0"/>
            </w:pPr>
            <w:r/>
            <w:r>
              <w:rPr>
                <w:rFonts w:ascii="Arial" w:hAnsi="Arial" w:cs="Arial"/>
                <w:b w:val="0"/>
                <w:sz w:val="17"/>
              </w:rPr>
              <w:t>Payoff ₹3,70,158.31</w:t>
            </w:r>
          </w:p>
        </w:tc>
      </w:tr>
      <w:tr>
        <w:tc>
          <w:tcPr>
            <w:tcW w:w="1700" w:type="dxa"/>
          </w:tcPr>
          <w:p>
            <w:pPr>
              <w:spacing w:after="0" w:before="0"/>
            </w:pPr>
            <w:r/>
            <w:r>
              <w:rPr>
                <w:rFonts w:ascii="Arial" w:hAnsi="Arial" w:cs="Arial"/>
                <w:b w:val="0"/>
                <w:sz w:val="17"/>
              </w:rPr>
              <w:t>Moratorium (32.1)</w:t>
            </w:r>
          </w:p>
        </w:tc>
        <w:tc>
          <w:tcPr>
            <w:tcW w:w="3600" w:type="dxa"/>
          </w:tcPr>
          <w:p>
            <w:pPr>
              <w:spacing w:after="0" w:before="0"/>
            </w:pPr>
            <w:r/>
            <w:r>
              <w:rPr>
                <w:rFonts w:ascii="Arial" w:hAnsi="Arial" w:cs="Arial"/>
                <w:b w:val="0"/>
                <w:sz w:val="17"/>
              </w:rPr>
              <w:t>₹8,00,000 · 11% · 24m</w:t>
            </w:r>
          </w:p>
        </w:tc>
        <w:tc>
          <w:tcPr>
            <w:tcW w:w="4060" w:type="dxa"/>
          </w:tcPr>
          <w:p>
            <w:pPr>
              <w:spacing w:after="0" w:before="0"/>
            </w:pPr>
            <w:r/>
            <w:r>
              <w:rPr>
                <w:rFonts w:ascii="Arial" w:hAnsi="Arial" w:cs="Arial"/>
                <w:b w:val="0"/>
                <w:sz w:val="17"/>
              </w:rPr>
              <w:t>Capitalised ₹976,000; EMI ₹16,711.50</w:t>
            </w:r>
          </w:p>
        </w:tc>
      </w:tr>
      <w:tr>
        <w:tc>
          <w:tcPr>
            <w:tcW w:w="1700" w:type="dxa"/>
          </w:tcPr>
          <w:p>
            <w:pPr>
              <w:spacing w:after="0" w:before="0"/>
            </w:pPr>
            <w:r/>
            <w:r>
              <w:rPr>
                <w:rFonts w:ascii="Arial" w:hAnsi="Arial" w:cs="Arial"/>
                <w:b w:val="0"/>
                <w:sz w:val="17"/>
              </w:rPr>
              <w:t>Top-up (32.3)</w:t>
            </w:r>
          </w:p>
        </w:tc>
        <w:tc>
          <w:tcPr>
            <w:tcW w:w="3600" w:type="dxa"/>
          </w:tcPr>
          <w:p>
            <w:pPr>
              <w:spacing w:after="0" w:before="0"/>
            </w:pPr>
            <w:r/>
            <w:r>
              <w:rPr>
                <w:rFonts w:ascii="Arial" w:hAnsi="Arial" w:cs="Arial"/>
                <w:b w:val="0"/>
                <w:sz w:val="17"/>
              </w:rPr>
              <w:t>₹355,921 + ₹2,00,000 · 13% · 48m</w:t>
            </w:r>
          </w:p>
        </w:tc>
        <w:tc>
          <w:tcPr>
            <w:tcW w:w="4060" w:type="dxa"/>
          </w:tcPr>
          <w:p>
            <w:pPr>
              <w:spacing w:after="0" w:before="0"/>
            </w:pPr>
            <w:r/>
            <w:r>
              <w:rPr>
                <w:rFonts w:ascii="Arial" w:hAnsi="Arial" w:cs="Arial"/>
                <w:b w:val="0"/>
                <w:sz w:val="17"/>
              </w:rPr>
              <w:t>EMI ₹14,913.98</w:t>
            </w:r>
          </w:p>
        </w:tc>
      </w:tr>
    </w:tbl>
    <w:p/>
    <w:p>
      <w:pPr>
        <w:pStyle w:val="Heading2"/>
      </w:pPr>
      <w:r>
        <w:t>41.3 Reconciliation Harness</w:t>
      </w:r>
    </w:p>
    <w:p>
      <w:pPr>
        <w:pStyle w:val="ListParagraph"/>
        <w:numPr>
          <w:ilvl w:val="0"/>
          <w:numId w:val="2"/>
        </w:numPr>
      </w:pPr>
      <w:r>
        <w:rPr>
          <w:rFonts w:ascii="Arial" w:hAnsi="Arial" w:cs="Arial"/>
          <w:rFonts w:ascii="Arial" w:hAnsi="Arial"/>
          <w:sz w:val="22"/>
        </w:rPr>
        <w:t>Automated trial-balance tie-out (Σ GL = 0), loan sub-ledger-to-GL reconciliation (Section 8.3), and bureau-file data-quality validation (Section 10.5) run in CI against seeded data and at day-end in production.</w:t>
      </w:r>
    </w:p>
    <w:p>
      <w:pPr>
        <w:pStyle w:val="ListParagraph"/>
        <w:numPr>
          <w:ilvl w:val="0"/>
          <w:numId w:val="2"/>
        </w:numPr>
      </w:pPr>
      <w:r>
        <w:rPr>
          <w:rFonts w:ascii="Arial" w:hAnsi="Arial" w:cs="Arial"/>
          <w:rFonts w:ascii="Arial" w:hAnsi="Arial"/>
          <w:sz w:val="22"/>
        </w:rPr>
        <w:t>Regulatory-return totals are cross-checked to the GL before a return is marked ready (Section 9.3); any break blocks submission.</w:t>
      </w:r>
    </w:p>
    <w:p>
      <w:pPr>
        <w:pStyle w:val="Heading2"/>
      </w:pPr>
      <w:r>
        <w:t>41.4 Performance, Resilience &amp; Security Testing</w:t>
      </w:r>
    </w:p>
    <w:p>
      <w:pPr>
        <w:pStyle w:val="ListParagraph"/>
        <w:numPr>
          <w:ilvl w:val="0"/>
          <w:numId w:val="2"/>
        </w:numPr>
      </w:pPr>
      <w:r>
        <w:rPr>
          <w:rFonts w:ascii="Arial" w:hAnsi="Arial" w:cs="Arial"/>
          <w:rFonts w:ascii="Arial" w:hAnsi="Arial"/>
          <w:sz w:val="22"/>
        </w:rPr>
        <w:t>Load and soak tests to the Section 29 thresholds; chaos/failover tests validating RPO/RTO and circuit-breaker behaviour (Section 38).</w:t>
      </w:r>
    </w:p>
    <w:p>
      <w:pPr>
        <w:pStyle w:val="ListParagraph"/>
        <w:numPr>
          <w:ilvl w:val="0"/>
          <w:numId w:val="2"/>
        </w:numPr>
      </w:pPr>
      <w:r>
        <w:rPr>
          <w:rFonts w:ascii="Arial" w:hAnsi="Arial" w:cs="Arial"/>
          <w:rFonts w:ascii="Arial" w:hAnsi="Arial"/>
          <w:sz w:val="22"/>
        </w:rPr>
        <w:t>SAST/DAST, dependency &amp; SBOM scanning in the pipeline; independent VAPT before go-live and at least annually or on major change (Section 34); a dedicated regulatory-reporting UAT pass generating a full cycle of RBI returns and bureau files against sample data.</w:t>
      </w:r>
    </w:p>
    <w:p>
      <w:pPr>
        <w:pStyle w:val="Heading1"/>
      </w:pPr>
      <w:r>
        <w:t>42. DevOps, Observability, Capacity &amp; Cost Model</w:t>
      </w:r>
    </w:p>
    <w:p>
      <w:r>
        <w:rPr>
          <w:rFonts w:ascii="Arial" w:hAnsi="Arial" w:cs="Arial"/>
          <w:rFonts w:ascii="Arial" w:hAnsi="Arial"/>
          <w:b w:val="0"/>
          <w:i w:val="0"/>
          <w:sz w:val="22"/>
        </w:rPr>
        <w:t>Extends the SaaS/operational notes in Section 15 with concrete delivery, monitoring, and sizing practices.</w:t>
      </w:r>
    </w:p>
    <w:p>
      <w:pPr>
        <w:pStyle w:val="Heading2"/>
      </w:pPr>
      <w:r>
        <w:t>42.1 CI/CD &amp; Environments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200"/>
        <w:gridCol w:w="7160"/>
      </w:tblGrid>
      <w:tr>
        <w:tc>
          <w:tcPr>
            <w:tcW w:w="2200" w:type="dxa"/>
            <w:shd w:val="clear" w:color="auto" w:fill="1F4E78"/>
          </w:tcPr>
          <w:p>
            <w:pPr>
              <w:spacing w:after="0" w:before="0"/>
            </w:pPr>
            <w:r/>
            <w:r>
              <w:rPr>
                <w:rFonts w:ascii="Arial" w:hAnsi="Arial" w:cs="Arial"/>
                <w:b/>
                <w:color w:val="FFFFFF"/>
                <w:sz w:val="17"/>
              </w:rPr>
              <w:t>Aspect</w:t>
            </w:r>
          </w:p>
        </w:tc>
        <w:tc>
          <w:tcPr>
            <w:tcW w:w="7160" w:type="dxa"/>
            <w:shd w:val="clear" w:color="auto" w:fill="1F4E78"/>
          </w:tcPr>
          <w:p>
            <w:pPr>
              <w:spacing w:after="0" w:before="0"/>
            </w:pPr>
            <w:r/>
            <w:r>
              <w:rPr>
                <w:rFonts w:ascii="Arial" w:hAnsi="Arial" w:cs="Arial"/>
                <w:b/>
                <w:color w:val="FFFFFF"/>
                <w:sz w:val="17"/>
              </w:rPr>
              <w:t>Practice</w:t>
            </w:r>
          </w:p>
        </w:tc>
      </w:tr>
      <w:tr>
        <w:tc>
          <w:tcPr>
            <w:tcW w:w="2200" w:type="dxa"/>
          </w:tcPr>
          <w:p>
            <w:pPr>
              <w:spacing w:after="0" w:before="0"/>
            </w:pPr>
            <w:r/>
            <w:r>
              <w:rPr>
                <w:rFonts w:ascii="Arial" w:hAnsi="Arial" w:cs="Arial"/>
                <w:b w:val="0"/>
                <w:sz w:val="17"/>
              </w:rPr>
              <w:t>Pipeline</w:t>
            </w:r>
          </w:p>
        </w:tc>
        <w:tc>
          <w:tcPr>
            <w:tcW w:w="7160" w:type="dxa"/>
          </w:tcPr>
          <w:p>
            <w:pPr>
              <w:spacing w:after="0" w:before="0"/>
            </w:pPr>
            <w:r/>
            <w:r>
              <w:rPr>
                <w:rFonts w:ascii="Arial" w:hAnsi="Arial" w:cs="Arial"/>
                <w:b w:val="0"/>
                <w:sz w:val="17"/>
              </w:rPr>
              <w:t>Build → test → SAST/DAST → artifact sign → deploy; no manual production edits</w:t>
            </w:r>
          </w:p>
        </w:tc>
      </w:tr>
      <w:tr>
        <w:tc>
          <w:tcPr>
            <w:tcW w:w="2200" w:type="dxa"/>
          </w:tcPr>
          <w:p>
            <w:pPr>
              <w:spacing w:after="0" w:before="0"/>
            </w:pPr>
            <w:r/>
            <w:r>
              <w:rPr>
                <w:rFonts w:ascii="Arial" w:hAnsi="Arial" w:cs="Arial"/>
                <w:b w:val="0"/>
                <w:sz w:val="17"/>
              </w:rPr>
              <w:t>Infrastructure</w:t>
            </w:r>
          </w:p>
        </w:tc>
        <w:tc>
          <w:tcPr>
            <w:tcW w:w="7160" w:type="dxa"/>
          </w:tcPr>
          <w:p>
            <w:pPr>
              <w:spacing w:after="0" w:before="0"/>
            </w:pPr>
            <w:r/>
            <w:r>
              <w:rPr>
                <w:rFonts w:ascii="Arial" w:hAnsi="Arial" w:cs="Arial"/>
                <w:b w:val="0"/>
                <w:sz w:val="17"/>
              </w:rPr>
              <w:t>Terraform IaC; immutable images; per-tenant config as code</w:t>
            </w:r>
          </w:p>
        </w:tc>
      </w:tr>
      <w:tr>
        <w:tc>
          <w:tcPr>
            <w:tcW w:w="2200" w:type="dxa"/>
          </w:tcPr>
          <w:p>
            <w:pPr>
              <w:spacing w:after="0" w:before="0"/>
            </w:pPr>
            <w:r/>
            <w:r>
              <w:rPr>
                <w:rFonts w:ascii="Arial" w:hAnsi="Arial" w:cs="Arial"/>
                <w:b w:val="0"/>
                <w:sz w:val="17"/>
              </w:rPr>
              <w:t>Releases</w:t>
            </w:r>
          </w:p>
        </w:tc>
        <w:tc>
          <w:tcPr>
            <w:tcW w:w="7160" w:type="dxa"/>
          </w:tcPr>
          <w:p>
            <w:pPr>
              <w:spacing w:after="0" w:before="0"/>
            </w:pPr>
            <w:r/>
            <w:r>
              <w:rPr>
                <w:rFonts w:ascii="Arial" w:hAnsi="Arial" w:cs="Arial"/>
                <w:b w:val="0"/>
                <w:sz w:val="17"/>
              </w:rPr>
              <w:t>Blue-green / canary (Section 1.1); feature flags for staged rollout</w:t>
            </w:r>
          </w:p>
        </w:tc>
      </w:tr>
      <w:tr>
        <w:tc>
          <w:tcPr>
            <w:tcW w:w="2200" w:type="dxa"/>
          </w:tcPr>
          <w:p>
            <w:pPr>
              <w:spacing w:after="0" w:before="0"/>
            </w:pPr>
            <w:r/>
            <w:r>
              <w:rPr>
                <w:rFonts w:ascii="Arial" w:hAnsi="Arial" w:cs="Arial"/>
                <w:b w:val="0"/>
                <w:sz w:val="17"/>
              </w:rPr>
              <w:t>DB migrations</w:t>
            </w:r>
          </w:p>
        </w:tc>
        <w:tc>
          <w:tcPr>
            <w:tcW w:w="7160" w:type="dxa"/>
          </w:tcPr>
          <w:p>
            <w:pPr>
              <w:spacing w:after="0" w:before="0"/>
            </w:pPr>
            <w:r/>
            <w:r>
              <w:rPr>
                <w:rFonts w:ascii="Arial" w:hAnsi="Arial" w:cs="Arial"/>
                <w:b w:val="0"/>
                <w:sz w:val="17"/>
              </w:rPr>
              <w:t>Expand-contract (backward-compatible) migrations; no destructive change without a reversible plan</w:t>
            </w:r>
          </w:p>
        </w:tc>
      </w:tr>
      <w:tr>
        <w:tc>
          <w:tcPr>
            <w:tcW w:w="2200" w:type="dxa"/>
          </w:tcPr>
          <w:p>
            <w:pPr>
              <w:spacing w:after="0" w:before="0"/>
            </w:pPr>
            <w:r/>
            <w:r>
              <w:rPr>
                <w:rFonts w:ascii="Arial" w:hAnsi="Arial" w:cs="Arial"/>
                <w:b w:val="0"/>
                <w:sz w:val="17"/>
              </w:rPr>
              <w:t>Environments</w:t>
            </w:r>
          </w:p>
        </w:tc>
        <w:tc>
          <w:tcPr>
            <w:tcW w:w="7160" w:type="dxa"/>
          </w:tcPr>
          <w:p>
            <w:pPr>
              <w:spacing w:after="0" w:before="0"/>
            </w:pPr>
            <w:r/>
            <w:r>
              <w:rPr>
                <w:rFonts w:ascii="Arial" w:hAnsi="Arial" w:cs="Arial"/>
                <w:b w:val="0"/>
                <w:sz w:val="17"/>
              </w:rPr>
              <w:t>Dev → QA/UAT → Staging → Prod + DR (Section 1.1), with production-like data masking</w:t>
            </w:r>
          </w:p>
        </w:tc>
      </w:tr>
      <w:tr>
        <w:tc>
          <w:tcPr>
            <w:tcW w:w="2200" w:type="dxa"/>
          </w:tcPr>
          <w:p>
            <w:pPr>
              <w:spacing w:after="0" w:before="0"/>
            </w:pPr>
            <w:r/>
            <w:r>
              <w:rPr>
                <w:rFonts w:ascii="Arial" w:hAnsi="Arial" w:cs="Arial"/>
                <w:b w:val="0"/>
                <w:sz w:val="17"/>
              </w:rPr>
              <w:t>Secrets</w:t>
            </w:r>
          </w:p>
        </w:tc>
        <w:tc>
          <w:tcPr>
            <w:tcW w:w="7160" w:type="dxa"/>
          </w:tcPr>
          <w:p>
            <w:pPr>
              <w:spacing w:after="0" w:before="0"/>
            </w:pPr>
            <w:r/>
            <w:r>
              <w:rPr>
                <w:rFonts w:ascii="Arial" w:hAnsi="Arial" w:cs="Arial"/>
                <w:b w:val="0"/>
                <w:sz w:val="17"/>
              </w:rPr>
              <w:t>KMS/Vault only (Section 34.2); rotation automated</w:t>
            </w:r>
          </w:p>
        </w:tc>
      </w:tr>
    </w:tbl>
    <w:p/>
    <w:p>
      <w:pPr>
        <w:pStyle w:val="Heading2"/>
      </w:pPr>
      <w:r>
        <w:t>42.2 Observability</w:t>
      </w:r>
    </w:p>
    <w:p>
      <w:pPr>
        <w:pStyle w:val="ListParagraph"/>
        <w:numPr>
          <w:ilvl w:val="0"/>
          <w:numId w:val="2"/>
        </w:numPr>
      </w:pPr>
      <w:r>
        <w:rPr>
          <w:rFonts w:ascii="Arial" w:hAnsi="Arial" w:cs="Arial"/>
          <w:rFonts w:ascii="Arial" w:hAnsi="Arial"/>
          <w:sz w:val="22"/>
        </w:rPr>
        <w:t>OpenTelemetry traces with a correlation id propagated across services and into logs; RED metrics (rate/errors/duration) per endpoint and USE metrics per resource.</w:t>
      </w:r>
    </w:p>
    <w:p>
      <w:pPr>
        <w:pStyle w:val="ListParagraph"/>
        <w:numPr>
          <w:ilvl w:val="0"/>
          <w:numId w:val="2"/>
        </w:numPr>
      </w:pPr>
      <w:r>
        <w:rPr>
          <w:rFonts w:ascii="Arial" w:hAnsi="Arial" w:cs="Arial"/>
          <w:rFonts w:ascii="Arial" w:hAnsi="Arial"/>
          <w:sz w:val="22"/>
        </w:rPr>
        <w:t>SLA/TAT dashboards for both business (loan TAT, collection efficiency) and regulatory-submission timelines; alert thresholds tied to Section 29 targets (e.g., page when p99 &gt; 800 ms for 5 min, or EOD accrual risks the 02:00 window).</w:t>
      </w:r>
    </w:p>
    <w:p>
      <w:pPr>
        <w:pStyle w:val="ListParagraph"/>
        <w:numPr>
          <w:ilvl w:val="0"/>
          <w:numId w:val="2"/>
        </w:numPr>
      </w:pPr>
      <w:r>
        <w:rPr>
          <w:rFonts w:ascii="Arial" w:hAnsi="Arial" w:cs="Arial"/>
          <w:rFonts w:ascii="Arial" w:hAnsi="Arial"/>
          <w:sz w:val="22"/>
        </w:rPr>
        <w:t>Audit and security logs ship to a WORM store (Section 34.3) separate from application logs.</w:t>
      </w:r>
    </w:p>
    <w:p>
      <w:pPr>
        <w:pStyle w:val="Heading2"/>
      </w:pPr>
      <w:r>
        <w:t>42.3 Capacity &amp; Cost Model</w:t>
      </w:r>
    </w:p>
    <w:p>
      <w:pPr>
        <w:pStyle w:val="ListParagraph"/>
        <w:numPr>
          <w:ilvl w:val="0"/>
          <w:numId w:val="2"/>
        </w:numPr>
      </w:pPr>
      <w:r>
        <w:rPr>
          <w:rFonts w:ascii="Arial" w:hAnsi="Arial" w:cs="Arial"/>
          <w:rFonts w:ascii="Arial" w:hAnsi="Arial"/>
          <w:sz w:val="22"/>
        </w:rPr>
        <w:t>Capacity is modelled from the Section 29.3 volume assumptions: compute sized for 2,000 TPS peak with headroom, DB IOPS for the collection-day spike, and 8–12 TB of tiered document storage at year 3.</w:t>
      </w:r>
    </w:p>
    <w:p>
      <w:pPr>
        <w:pStyle w:val="ListParagraph"/>
        <w:numPr>
          <w:ilvl w:val="0"/>
          <w:numId w:val="2"/>
        </w:numPr>
      </w:pPr>
      <w:r>
        <w:rPr>
          <w:rFonts w:ascii="Arial" w:hAnsi="Arial" w:cs="Arial"/>
          <w:rFonts w:ascii="Arial" w:hAnsi="Arial"/>
          <w:sz w:val="22"/>
        </w:rPr>
        <w:t>A per-tenant cost model attributes compute, storage, bureau/API call, and communication costs to each tenant/product for FinOps and pricing; unit economics are tracked against the product-profitability MIS (Section 13).</w:t>
      </w:r>
    </w:p>
    <w:p>
      <w:pPr>
        <w:pStyle w:val="Heading1"/>
      </w:pPr>
      <w:r>
        <w:t>43. Cross-Cutting Field Standards &amp; New Product Variants</w:t>
      </w:r>
    </w:p>
    <w:p>
      <w:r>
        <w:rPr>
          <w:rFonts w:ascii="Arial" w:hAnsi="Arial" w:cs="Arial"/>
          <w:rFonts w:ascii="Arial" w:hAnsi="Arial"/>
          <w:b w:val="0"/>
          <w:i w:val="0"/>
          <w:sz w:val="22"/>
        </w:rPr>
        <w:t>Addresses the form/field gaps in Sections 2–3: a reusable consent block, mandatory field additions applied across all applicant types, a machine-evaluable convention for conditional fields, and two common product variants that were missing.</w:t>
      </w:r>
    </w:p>
    <w:p>
      <w:pPr>
        <w:pStyle w:val="Heading2"/>
      </w:pPr>
      <w:r>
        <w:t>43.1 Standard Consent Block (reusable on every application)</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Bureau-Pull Consent</w:t>
            </w:r>
          </w:p>
        </w:tc>
        <w:tc>
          <w:tcPr>
            <w:tcW w:w="1300" w:type="dxa"/>
          </w:tcPr>
          <w:p>
            <w:pPr>
              <w:spacing w:after="0" w:before="0"/>
            </w:pPr>
            <w:r/>
            <w:r>
              <w:rPr>
                <w:rFonts w:ascii="Arial" w:hAnsi="Arial" w:cs="Arial"/>
                <w:b w:val="0"/>
                <w:sz w:val="17"/>
              </w:rPr>
              <w:t>e-consent + ref</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Purpose-tagged; links to Section 35 consent entity</w:t>
            </w:r>
          </w:p>
        </w:tc>
      </w:tr>
      <w:tr>
        <w:tc>
          <w:tcPr>
            <w:tcW w:w="2900" w:type="dxa"/>
          </w:tcPr>
          <w:p>
            <w:pPr>
              <w:spacing w:after="0" w:before="0"/>
            </w:pPr>
            <w:r/>
            <w:r>
              <w:rPr>
                <w:rFonts w:ascii="Arial" w:hAnsi="Arial" w:cs="Arial"/>
                <w:b w:val="0"/>
                <w:sz w:val="17"/>
              </w:rPr>
              <w:t>Account Aggregator Consent Handle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For AA-based cash-flow underwriting (Section 3.33)</w:t>
            </w:r>
          </w:p>
        </w:tc>
      </w:tr>
      <w:tr>
        <w:tc>
          <w:tcPr>
            <w:tcW w:w="2900" w:type="dxa"/>
          </w:tcPr>
          <w:p>
            <w:pPr>
              <w:spacing w:after="0" w:before="0"/>
            </w:pPr>
            <w:r/>
            <w:r>
              <w:rPr>
                <w:rFonts w:ascii="Arial" w:hAnsi="Arial" w:cs="Arial"/>
                <w:b w:val="0"/>
                <w:sz w:val="17"/>
              </w:rPr>
              <w:t>GSTN Data-Pull Consent</w:t>
            </w:r>
          </w:p>
        </w:tc>
        <w:tc>
          <w:tcPr>
            <w:tcW w:w="1300" w:type="dxa"/>
          </w:tcPr>
          <w:p>
            <w:pPr>
              <w:spacing w:after="0" w:before="0"/>
            </w:pPr>
            <w:r/>
            <w:r>
              <w:rPr>
                <w:rFonts w:ascii="Arial" w:hAnsi="Arial" w:cs="Arial"/>
                <w:b w:val="0"/>
                <w:sz w:val="17"/>
              </w:rPr>
              <w:t>e-consent</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For GST-based products (Section 3.26)</w:t>
            </w:r>
          </w:p>
        </w:tc>
      </w:tr>
      <w:tr>
        <w:tc>
          <w:tcPr>
            <w:tcW w:w="2900" w:type="dxa"/>
          </w:tcPr>
          <w:p>
            <w:pPr>
              <w:spacing w:after="0" w:before="0"/>
            </w:pPr>
            <w:r/>
            <w:r>
              <w:rPr>
                <w:rFonts w:ascii="Arial" w:hAnsi="Arial" w:cs="Arial"/>
                <w:b w:val="0"/>
                <w:sz w:val="17"/>
              </w:rPr>
              <w:t>DPDP Processing Consent</w:t>
            </w:r>
          </w:p>
        </w:tc>
        <w:tc>
          <w:tcPr>
            <w:tcW w:w="1300" w:type="dxa"/>
          </w:tcPr>
          <w:p>
            <w:pPr>
              <w:spacing w:after="0" w:before="0"/>
            </w:pPr>
            <w:r/>
            <w:r>
              <w:rPr>
                <w:rFonts w:ascii="Arial" w:hAnsi="Arial" w:cs="Arial"/>
                <w:b w:val="0"/>
                <w:sz w:val="17"/>
              </w:rPr>
              <w:t>e-consent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Purpose limitation; revocable and logged</w:t>
            </w:r>
          </w:p>
        </w:tc>
      </w:tr>
      <w:tr>
        <w:tc>
          <w:tcPr>
            <w:tcW w:w="2900" w:type="dxa"/>
          </w:tcPr>
          <w:p>
            <w:pPr>
              <w:spacing w:after="0" w:before="0"/>
            </w:pPr>
            <w:r/>
            <w:r>
              <w:rPr>
                <w:rFonts w:ascii="Arial" w:hAnsi="Arial" w:cs="Arial"/>
                <w:b w:val="0"/>
                <w:sz w:val="17"/>
              </w:rPr>
              <w:t>LSP / Data-Sharing Consent</w:t>
            </w:r>
          </w:p>
        </w:tc>
        <w:tc>
          <w:tcPr>
            <w:tcW w:w="1300" w:type="dxa"/>
          </w:tcPr>
          <w:p>
            <w:pPr>
              <w:spacing w:after="0" w:before="0"/>
            </w:pPr>
            <w:r/>
            <w:r>
              <w:rPr>
                <w:rFonts w:ascii="Arial" w:hAnsi="Arial" w:cs="Arial"/>
                <w:b w:val="0"/>
                <w:sz w:val="17"/>
              </w:rPr>
              <w:t>e-consent</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Where sourced via an LSP (Section 17.2)</w:t>
            </w:r>
          </w:p>
        </w:tc>
      </w:tr>
      <w:tr>
        <w:tc>
          <w:tcPr>
            <w:tcW w:w="2900" w:type="dxa"/>
          </w:tcPr>
          <w:p>
            <w:pPr>
              <w:spacing w:after="0" w:before="0"/>
            </w:pPr>
            <w:r/>
            <w:r>
              <w:rPr>
                <w:rFonts w:ascii="Arial" w:hAnsi="Arial" w:cs="Arial"/>
                <w:b w:val="0"/>
                <w:sz w:val="17"/>
              </w:rPr>
              <w:t>e-Sign / e-Stamp Consent</w:t>
            </w:r>
          </w:p>
        </w:tc>
        <w:tc>
          <w:tcPr>
            <w:tcW w:w="1300" w:type="dxa"/>
          </w:tcPr>
          <w:p>
            <w:pPr>
              <w:spacing w:after="0" w:before="0"/>
            </w:pPr>
            <w:r/>
            <w:r>
              <w:rPr>
                <w:rFonts w:ascii="Arial" w:hAnsi="Arial" w:cs="Arial"/>
                <w:b w:val="0"/>
                <w:sz w:val="17"/>
              </w:rPr>
              <w:t>Digital signature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Aadhaar e-Sign or DSC (Section 4)</w:t>
            </w:r>
          </w:p>
        </w:tc>
      </w:tr>
    </w:tbl>
    <w:p/>
    <w:p>
      <w:pPr>
        <w:pStyle w:val="Heading2"/>
      </w:pPr>
      <w:r>
        <w:t>43.2 Mandatory Field Additions (all applicant types)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500"/>
        <w:gridCol w:w="2700"/>
        <w:gridCol w:w="4160"/>
      </w:tblGrid>
      <w:tr>
        <w:tc>
          <w:tcPr>
            <w:tcW w:w="2500" w:type="dxa"/>
            <w:shd w:val="clear" w:color="auto" w:fill="1F4E78"/>
          </w:tcPr>
          <w:p>
            <w:pPr>
              <w:spacing w:after="0" w:before="0"/>
            </w:pPr>
            <w:r/>
            <w:r>
              <w:rPr>
                <w:rFonts w:ascii="Arial" w:hAnsi="Arial" w:cs="Arial"/>
                <w:b/>
                <w:color w:val="FFFFFF"/>
                <w:sz w:val="17"/>
              </w:rPr>
              <w:t>Field</w:t>
            </w:r>
          </w:p>
        </w:tc>
        <w:tc>
          <w:tcPr>
            <w:tcW w:w="2700" w:type="dxa"/>
            <w:shd w:val="clear" w:color="auto" w:fill="1F4E78"/>
          </w:tcPr>
          <w:p>
            <w:pPr>
              <w:spacing w:after="0" w:before="0"/>
            </w:pPr>
            <w:r/>
            <w:r>
              <w:rPr>
                <w:rFonts w:ascii="Arial" w:hAnsi="Arial" w:cs="Arial"/>
                <w:b/>
                <w:color w:val="FFFFFF"/>
                <w:sz w:val="17"/>
              </w:rPr>
              <w:t>Applies to</w:t>
            </w:r>
          </w:p>
        </w:tc>
        <w:tc>
          <w:tcPr>
            <w:tcW w:w="4160" w:type="dxa"/>
            <w:shd w:val="clear" w:color="auto" w:fill="1F4E78"/>
          </w:tcPr>
          <w:p>
            <w:pPr>
              <w:spacing w:after="0" w:before="0"/>
            </w:pPr>
            <w:r/>
            <w:r>
              <w:rPr>
                <w:rFonts w:ascii="Arial" w:hAnsi="Arial" w:cs="Arial"/>
                <w:b/>
                <w:color w:val="FFFFFF"/>
                <w:sz w:val="17"/>
              </w:rPr>
              <w:t>Notes / Validation</w:t>
            </w:r>
          </w:p>
        </w:tc>
      </w:tr>
      <w:tr>
        <w:tc>
          <w:tcPr>
            <w:tcW w:w="2500" w:type="dxa"/>
          </w:tcPr>
          <w:p>
            <w:pPr>
              <w:spacing w:after="0" w:before="0"/>
            </w:pPr>
            <w:r/>
            <w:r>
              <w:rPr>
                <w:rFonts w:ascii="Arial" w:hAnsi="Arial" w:cs="Arial"/>
                <w:b w:val="0"/>
                <w:sz w:val="17"/>
              </w:rPr>
              <w:t>CKYC Identifier</w:t>
            </w:r>
          </w:p>
        </w:tc>
        <w:tc>
          <w:tcPr>
            <w:tcW w:w="2700" w:type="dxa"/>
          </w:tcPr>
          <w:p>
            <w:pPr>
              <w:spacing w:after="0" w:before="0"/>
            </w:pPr>
            <w:r/>
            <w:r>
              <w:rPr>
                <w:rFonts w:ascii="Arial" w:hAnsi="Arial" w:cs="Arial"/>
                <w:b w:val="0"/>
                <w:sz w:val="17"/>
              </w:rPr>
              <w:t>Every applicant</w:t>
            </w:r>
          </w:p>
        </w:tc>
        <w:tc>
          <w:tcPr>
            <w:tcW w:w="4160" w:type="dxa"/>
          </w:tcPr>
          <w:p>
            <w:pPr>
              <w:spacing w:after="0" w:before="0"/>
            </w:pPr>
            <w:r/>
            <w:r>
              <w:rPr>
                <w:rFonts w:ascii="Arial" w:hAnsi="Arial" w:cs="Arial"/>
                <w:b w:val="0"/>
                <w:sz w:val="17"/>
              </w:rPr>
              <w:t>14-digit CKYC number carried on the record (Section 25.1)</w:t>
            </w:r>
          </w:p>
        </w:tc>
      </w:tr>
      <w:tr>
        <w:tc>
          <w:tcPr>
            <w:tcW w:w="2500" w:type="dxa"/>
          </w:tcPr>
          <w:p>
            <w:pPr>
              <w:spacing w:after="0" w:before="0"/>
            </w:pPr>
            <w:r/>
            <w:r>
              <w:rPr>
                <w:rFonts w:ascii="Arial" w:hAnsi="Arial" w:cs="Arial"/>
                <w:b w:val="0"/>
                <w:sz w:val="17"/>
              </w:rPr>
              <w:t>LEI</w:t>
            </w:r>
          </w:p>
        </w:tc>
        <w:tc>
          <w:tcPr>
            <w:tcW w:w="2700" w:type="dxa"/>
          </w:tcPr>
          <w:p>
            <w:pPr>
              <w:spacing w:after="0" w:before="0"/>
            </w:pPr>
            <w:r/>
            <w:r>
              <w:rPr>
                <w:rFonts w:ascii="Arial" w:hAnsi="Arial" w:cs="Arial"/>
                <w:b w:val="0"/>
                <w:sz w:val="17"/>
              </w:rPr>
              <w:t>Entity borrowers ≥ ₹5 cr aggregate exposure</w:t>
            </w:r>
          </w:p>
        </w:tc>
        <w:tc>
          <w:tcPr>
            <w:tcW w:w="4160" w:type="dxa"/>
          </w:tcPr>
          <w:p>
            <w:pPr>
              <w:spacing w:after="0" w:before="0"/>
            </w:pPr>
            <w:r/>
            <w:r>
              <w:rPr>
                <w:rFonts w:ascii="Arial" w:hAnsi="Arial" w:cs="Arial"/>
                <w:b w:val="0"/>
                <w:sz w:val="17"/>
              </w:rPr>
              <w:t>ISO 17442; per RBI phased mandate (Section 25.1)</w:t>
            </w:r>
          </w:p>
        </w:tc>
      </w:tr>
      <w:tr>
        <w:tc>
          <w:tcPr>
            <w:tcW w:w="2500" w:type="dxa"/>
          </w:tcPr>
          <w:p>
            <w:pPr>
              <w:spacing w:after="0" w:before="0"/>
            </w:pPr>
            <w:r/>
            <w:r>
              <w:rPr>
                <w:rFonts w:ascii="Arial" w:hAnsi="Arial" w:cs="Arial"/>
                <w:b w:val="0"/>
                <w:sz w:val="17"/>
              </w:rPr>
              <w:t>Account-Name-Match Score</w:t>
            </w:r>
          </w:p>
        </w:tc>
        <w:tc>
          <w:tcPr>
            <w:tcW w:w="2700" w:type="dxa"/>
          </w:tcPr>
          <w:p>
            <w:pPr>
              <w:spacing w:after="0" w:before="0"/>
            </w:pPr>
            <w:r/>
            <w:r>
              <w:rPr>
                <w:rFonts w:ascii="Arial" w:hAnsi="Arial" w:cs="Arial"/>
                <w:b w:val="0"/>
                <w:sz w:val="17"/>
              </w:rPr>
              <w:t>Every bank account</w:t>
            </w:r>
          </w:p>
        </w:tc>
        <w:tc>
          <w:tcPr>
            <w:tcW w:w="4160" w:type="dxa"/>
          </w:tcPr>
          <w:p>
            <w:pPr>
              <w:spacing w:after="0" w:before="0"/>
            </w:pPr>
            <w:r/>
            <w:r>
              <w:rPr>
                <w:rFonts w:ascii="Arial" w:hAnsi="Arial" w:cs="Arial"/>
                <w:b w:val="0"/>
                <w:sz w:val="17"/>
              </w:rPr>
              <w:t>Result of penny-drop + name match, not just format check</w:t>
            </w:r>
          </w:p>
        </w:tc>
      </w:tr>
      <w:tr>
        <w:tc>
          <w:tcPr>
            <w:tcW w:w="2500" w:type="dxa"/>
          </w:tcPr>
          <w:p>
            <w:pPr>
              <w:spacing w:after="0" w:before="0"/>
            </w:pPr>
            <w:r/>
            <w:r>
              <w:rPr>
                <w:rFonts w:ascii="Arial" w:hAnsi="Arial" w:cs="Arial"/>
                <w:b w:val="0"/>
                <w:sz w:val="17"/>
              </w:rPr>
              <w:t>Nominee Details</w:t>
            </w:r>
          </w:p>
        </w:tc>
        <w:tc>
          <w:tcPr>
            <w:tcW w:w="2700" w:type="dxa"/>
          </w:tcPr>
          <w:p>
            <w:pPr>
              <w:spacing w:after="0" w:before="0"/>
            </w:pPr>
            <w:r/>
            <w:r>
              <w:rPr>
                <w:rFonts w:ascii="Arial" w:hAnsi="Arial" w:cs="Arial"/>
                <w:b w:val="0"/>
                <w:sz w:val="17"/>
              </w:rPr>
              <w:t>FD/insurance/deposit-linked &amp; as policy</w:t>
            </w:r>
          </w:p>
        </w:tc>
        <w:tc>
          <w:tcPr>
            <w:tcW w:w="4160" w:type="dxa"/>
          </w:tcPr>
          <w:p>
            <w:pPr>
              <w:spacing w:after="0" w:before="0"/>
            </w:pPr>
            <w:r/>
            <w:r>
              <w:rPr>
                <w:rFonts w:ascii="Arial" w:hAnsi="Arial" w:cs="Arial"/>
                <w:b w:val="0"/>
                <w:sz w:val="17"/>
              </w:rPr>
              <w:t>Name, relationship, share</w:t>
            </w:r>
          </w:p>
        </w:tc>
      </w:tr>
      <w:tr>
        <w:tc>
          <w:tcPr>
            <w:tcW w:w="2500" w:type="dxa"/>
          </w:tcPr>
          <w:p>
            <w:pPr>
              <w:spacing w:after="0" w:before="0"/>
            </w:pPr>
            <w:r/>
            <w:r>
              <w:rPr>
                <w:rFonts w:ascii="Arial" w:hAnsi="Arial" w:cs="Arial"/>
                <w:b w:val="0"/>
                <w:sz w:val="17"/>
              </w:rPr>
              <w:t>UBO / Controlling Persons</w:t>
            </w:r>
          </w:p>
        </w:tc>
        <w:tc>
          <w:tcPr>
            <w:tcW w:w="2700" w:type="dxa"/>
          </w:tcPr>
          <w:p>
            <w:pPr>
              <w:spacing w:after="0" w:before="0"/>
            </w:pPr>
            <w:r/>
            <w:r>
              <w:rPr>
                <w:rFonts w:ascii="Arial" w:hAnsi="Arial" w:cs="Arial"/>
                <w:b w:val="0"/>
                <w:sz w:val="17"/>
              </w:rPr>
              <w:t>Partnership, LLP, Trust, HUF</w:t>
            </w:r>
          </w:p>
        </w:tc>
        <w:tc>
          <w:tcPr>
            <w:tcW w:w="4160" w:type="dxa"/>
          </w:tcPr>
          <w:p>
            <w:pPr>
              <w:spacing w:after="0" w:before="0"/>
            </w:pPr>
            <w:r/>
            <w:r>
              <w:rPr>
                <w:rFonts w:ascii="Arial" w:hAnsi="Arial" w:cs="Arial"/>
                <w:b w:val="0"/>
                <w:sz w:val="17"/>
              </w:rPr>
              <w:t>Beneficial owners ≥ 10%/controllers per PMLA — parity with the company UBO grid (Section 2.6)</w:t>
            </w:r>
          </w:p>
        </w:tc>
      </w:tr>
      <w:tr>
        <w:tc>
          <w:tcPr>
            <w:tcW w:w="2500" w:type="dxa"/>
          </w:tcPr>
          <w:p>
            <w:pPr>
              <w:spacing w:after="0" w:before="0"/>
            </w:pPr>
            <w:r/>
            <w:r>
              <w:rPr>
                <w:rFonts w:ascii="Arial" w:hAnsi="Arial" w:cs="Arial"/>
                <w:b w:val="0"/>
                <w:sz w:val="17"/>
              </w:rPr>
              <w:t>PEP-by-Association</w:t>
            </w:r>
          </w:p>
        </w:tc>
        <w:tc>
          <w:tcPr>
            <w:tcW w:w="2700" w:type="dxa"/>
          </w:tcPr>
          <w:p>
            <w:pPr>
              <w:spacing w:after="0" w:before="0"/>
            </w:pPr>
            <w:r/>
            <w:r>
              <w:rPr>
                <w:rFonts w:ascii="Arial" w:hAnsi="Arial" w:cs="Arial"/>
                <w:b w:val="0"/>
                <w:sz w:val="17"/>
              </w:rPr>
              <w:t>Every applicant</w:t>
            </w:r>
          </w:p>
        </w:tc>
        <w:tc>
          <w:tcPr>
            <w:tcW w:w="4160" w:type="dxa"/>
          </w:tcPr>
          <w:p>
            <w:pPr>
              <w:spacing w:after="0" w:before="0"/>
            </w:pPr>
            <w:r/>
            <w:r>
              <w:rPr>
                <w:rFonts w:ascii="Arial" w:hAnsi="Arial" w:cs="Arial"/>
                <w:b w:val="0"/>
                <w:sz w:val="17"/>
              </w:rPr>
              <w:t>Relative/close associate of a PEP (Section 2.11)</w:t>
            </w:r>
          </w:p>
        </w:tc>
      </w:tr>
      <w:tr>
        <w:tc>
          <w:tcPr>
            <w:tcW w:w="2500" w:type="dxa"/>
          </w:tcPr>
          <w:p>
            <w:pPr>
              <w:spacing w:after="0" w:before="0"/>
            </w:pPr>
            <w:r/>
            <w:r>
              <w:rPr>
                <w:rFonts w:ascii="Arial" w:hAnsi="Arial" w:cs="Arial"/>
                <w:b w:val="0"/>
                <w:sz w:val="17"/>
              </w:rPr>
              <w:t>DIN</w:t>
            </w:r>
          </w:p>
        </w:tc>
        <w:tc>
          <w:tcPr>
            <w:tcW w:w="2700" w:type="dxa"/>
          </w:tcPr>
          <w:p>
            <w:pPr>
              <w:spacing w:after="0" w:before="0"/>
            </w:pPr>
            <w:r/>
            <w:r>
              <w:rPr>
                <w:rFonts w:ascii="Arial" w:hAnsi="Arial" w:cs="Arial"/>
                <w:b w:val="0"/>
                <w:sz w:val="17"/>
              </w:rPr>
              <w:t>Company directors / LLP designated partners</w:t>
            </w:r>
          </w:p>
        </w:tc>
        <w:tc>
          <w:tcPr>
            <w:tcW w:w="4160" w:type="dxa"/>
          </w:tcPr>
          <w:p>
            <w:pPr>
              <w:spacing w:after="0" w:before="0"/>
            </w:pPr>
            <w:r/>
            <w:r>
              <w:rPr>
                <w:rFonts w:ascii="Arial" w:hAnsi="Arial" w:cs="Arial"/>
                <w:b w:val="0"/>
                <w:sz w:val="17"/>
              </w:rPr>
              <w:t>8 digits; verify via MCA21</w:t>
            </w:r>
          </w:p>
        </w:tc>
      </w:tr>
      <w:tr>
        <w:tc>
          <w:tcPr>
            <w:tcW w:w="2500" w:type="dxa"/>
          </w:tcPr>
          <w:p>
            <w:pPr>
              <w:spacing w:after="0" w:before="0"/>
            </w:pPr>
            <w:r/>
            <w:r>
              <w:rPr>
                <w:rFonts w:ascii="Arial" w:hAnsi="Arial" w:cs="Arial"/>
                <w:b w:val="0"/>
                <w:sz w:val="17"/>
              </w:rPr>
              <w:t>KFS Language Preference</w:t>
            </w:r>
          </w:p>
        </w:tc>
        <w:tc>
          <w:tcPr>
            <w:tcW w:w="2700" w:type="dxa"/>
          </w:tcPr>
          <w:p>
            <w:pPr>
              <w:spacing w:after="0" w:before="0"/>
            </w:pPr>
            <w:r/>
            <w:r>
              <w:rPr>
                <w:rFonts w:ascii="Arial" w:hAnsi="Arial" w:cs="Arial"/>
                <w:b w:val="0"/>
                <w:sz w:val="17"/>
              </w:rPr>
              <w:t>Every borrower</w:t>
            </w:r>
          </w:p>
        </w:tc>
        <w:tc>
          <w:tcPr>
            <w:tcW w:w="4160" w:type="dxa"/>
          </w:tcPr>
          <w:p>
            <w:pPr>
              <w:spacing w:after="0" w:before="0"/>
            </w:pPr>
            <w:r/>
            <w:r>
              <w:rPr>
                <w:rFonts w:ascii="Arial" w:hAnsi="Arial" w:cs="Arial"/>
                <w:b w:val="0"/>
                <w:sz w:val="17"/>
              </w:rPr>
              <w:t>Vernacular language for KFS/agreement (Sections 17.1, 35)</w:t>
            </w:r>
          </w:p>
        </w:tc>
      </w:tr>
    </w:tbl>
    <w:p/>
    <w:p>
      <w:pPr>
        <w:pStyle w:val="Heading2"/>
      </w:pPr>
      <w:r>
        <w:t>43.3 Conditional-Field Rule Convention</w:t>
      </w:r>
    </w:p>
    <w:p>
      <w:r>
        <w:rPr>
          <w:rFonts w:ascii="Arial" w:hAnsi="Arial" w:cs="Arial"/>
          <w:rFonts w:ascii="Arial" w:hAnsi="Arial"/>
          <w:b w:val="0"/>
          <w:i w:val="0"/>
          <w:sz w:val="22"/>
        </w:rPr>
        <w:t>Every field marked "Conditional" in Sections 2–3 must carry a machine-evaluable trigger so the form engine can render/require it deterministically, rather than relying on prose. The trigger is stored with the field schema:</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condition: { field: "&lt;other_field&gt;", operator: "==|!=|&gt;|&gt;=|in|isTrue", value: &lt;x&gt; }</w:t>
            </w:r>
            <w:r>
              <w:rPr>
                <w:rFonts w:ascii="Consolas" w:hAnsi="Consolas" w:cs="Consolas"/>
                <w:b w:val="0"/>
                <w:sz w:val="19"/>
              </w:rPr>
              <w:br/>
              <w:t>examples:</w:t>
            </w:r>
            <w:r>
              <w:rPr>
                <w:rFonts w:ascii="Consolas" w:hAnsi="Consolas" w:cs="Consolas"/>
                <w:b w:val="0"/>
                <w:sz w:val="19"/>
              </w:rPr>
              <w:br/>
              <w:t xml:space="preserve">  GSTIN.required        when { field:"annualTurnover", operator:"&gt;=", value: &lt;GST_threshold&gt; }</w:t>
            </w:r>
            <w:r>
              <w:rPr>
                <w:rFonts w:ascii="Consolas" w:hAnsi="Consolas" w:cs="Consolas"/>
                <w:b w:val="0"/>
                <w:sz w:val="19"/>
              </w:rPr>
              <w:br/>
              <w:t xml:space="preserve">  Collateral.required   when { field:"loanAmount",     operator:"&gt;",  value: &lt;EDU_security_threshold&gt; }</w:t>
            </w:r>
            <w:r>
              <w:rPr>
                <w:rFonts w:ascii="Consolas" w:hAnsi="Consolas" w:cs="Consolas"/>
                <w:b w:val="0"/>
                <w:sz w:val="19"/>
              </w:rPr>
              <w:br/>
              <w:t xml:space="preserve">  LEI.required          when { field:"aggregateExposure", operator:"&gt;=", value: 50000000 }</w:t>
            </w:r>
          </w:p>
        </w:tc>
      </w:tr>
    </w:tbl>
    <w:p/>
    <w:p>
      <w:pPr>
        <w:pStyle w:val="Heading2"/>
      </w:pPr>
      <w:r>
        <w:t>43.4 New Product Variant — 3.34 Top-Up Loan</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Parent Loan Reference</w:t>
            </w:r>
          </w:p>
        </w:tc>
        <w:tc>
          <w:tcPr>
            <w:tcW w:w="1300" w:type="dxa"/>
          </w:tcPr>
          <w:p>
            <w:pPr>
              <w:spacing w:after="0" w:before="0"/>
            </w:pPr>
            <w:r/>
            <w:r>
              <w:rPr>
                <w:rFonts w:ascii="Arial" w:hAnsi="Arial" w:cs="Arial"/>
                <w:b w:val="0"/>
                <w:sz w:val="17"/>
              </w:rPr>
              <w: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Existing loan being topped up; must be standard/performing</w:t>
            </w:r>
          </w:p>
        </w:tc>
      </w:tr>
      <w:tr>
        <w:tc>
          <w:tcPr>
            <w:tcW w:w="2900" w:type="dxa"/>
          </w:tcPr>
          <w:p>
            <w:pPr>
              <w:spacing w:after="0" w:before="0"/>
            </w:pPr>
            <w:r/>
            <w:r>
              <w:rPr>
                <w:rFonts w:ascii="Arial" w:hAnsi="Arial" w:cs="Arial"/>
                <w:b w:val="0"/>
                <w:sz w:val="17"/>
              </w:rPr>
              <w:t>Existing Outstanding (auto)</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Pulled from servicing (Section 6)</w:t>
            </w:r>
          </w:p>
        </w:tc>
      </w:tr>
      <w:tr>
        <w:tc>
          <w:tcPr>
            <w:tcW w:w="2900" w:type="dxa"/>
          </w:tcPr>
          <w:p>
            <w:pPr>
              <w:spacing w:after="0" w:before="0"/>
            </w:pPr>
            <w:r/>
            <w:r>
              <w:rPr>
                <w:rFonts w:ascii="Arial" w:hAnsi="Arial" w:cs="Arial"/>
                <w:b w:val="0"/>
                <w:sz w:val="17"/>
              </w:rPr>
              <w:t>Additional Amount Requested</w:t>
            </w:r>
          </w:p>
        </w:tc>
        <w:tc>
          <w:tcPr>
            <w:tcW w:w="1300" w:type="dxa"/>
          </w:tcPr>
          <w:p>
            <w:pPr>
              <w:spacing w:after="0" w:before="0"/>
            </w:pPr>
            <w:r/>
            <w:r>
              <w:rPr>
                <w:rFonts w:ascii="Arial" w:hAnsi="Arial" w:cs="Arial"/>
                <w:b w:val="0"/>
                <w:sz w:val="17"/>
              </w:rPr>
              <w:t>Currency</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Within combined-LTV / eligibility caps</w:t>
            </w:r>
          </w:p>
        </w:tc>
      </w:tr>
      <w:tr>
        <w:tc>
          <w:tcPr>
            <w:tcW w:w="2900" w:type="dxa"/>
          </w:tcPr>
          <w:p>
            <w:pPr>
              <w:spacing w:after="0" w:before="0"/>
            </w:pPr>
            <w:r/>
            <w:r>
              <w:rPr>
                <w:rFonts w:ascii="Arial" w:hAnsi="Arial" w:cs="Arial"/>
                <w:b w:val="0"/>
                <w:sz w:val="17"/>
              </w:rPr>
              <w:t>Combined FOIR / Eligibility</w:t>
            </w:r>
          </w:p>
        </w:tc>
        <w:tc>
          <w:tcPr>
            <w:tcW w:w="1300" w:type="dxa"/>
          </w:tcPr>
          <w:p>
            <w:pPr>
              <w:spacing w:after="0" w:before="0"/>
            </w:pPr>
            <w:r/>
            <w:r>
              <w:rPr>
                <w:rFonts w:ascii="Arial" w:hAnsi="Arial" w:cs="Arial"/>
                <w:b w:val="0"/>
                <w:sz w:val="17"/>
              </w:rPr>
              <w:t>System-computed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Re-underwritten on combined obligations (Section 5)</w:t>
            </w:r>
          </w:p>
        </w:tc>
      </w:tr>
      <w:tr>
        <w:tc>
          <w:tcPr>
            <w:tcW w:w="2900" w:type="dxa"/>
          </w:tcPr>
          <w:p>
            <w:pPr>
              <w:spacing w:after="0" w:before="0"/>
            </w:pPr>
            <w:r/>
            <w:r>
              <w:rPr>
                <w:rFonts w:ascii="Arial" w:hAnsi="Arial" w:cs="Arial"/>
                <w:b w:val="0"/>
                <w:sz w:val="17"/>
              </w:rPr>
              <w:t>Blended Rate &amp; New Schedule</w:t>
            </w:r>
          </w:p>
        </w:tc>
        <w:tc>
          <w:tcPr>
            <w:tcW w:w="1300" w:type="dxa"/>
          </w:tcPr>
          <w:p>
            <w:pPr>
              <w:spacing w:after="0" w:before="0"/>
            </w:pPr>
            <w:r/>
            <w:r>
              <w:rPr>
                <w:rFonts w:ascii="Arial" w:hAnsi="Arial" w:cs="Arial"/>
                <w:b w:val="0"/>
                <w:sz w:val="17"/>
              </w:rPr>
              <w:t>System-computed</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Per Section 32.3</w:t>
            </w:r>
          </w:p>
        </w:tc>
      </w:tr>
    </w:tbl>
    <w:p/>
    <w:p>
      <w:pPr>
        <w:pStyle w:val="Heading2"/>
      </w:pPr>
      <w:r>
        <w:t>43.5 New Product Variant — 3.35 Balance Transfer / Takeover</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900"/>
        <w:gridCol w:w="1300"/>
        <w:gridCol w:w="1300"/>
        <w:gridCol w:w="3860"/>
      </w:tblGrid>
      <w:tr>
        <w:tc>
          <w:tcPr>
            <w:tcW w:w="2900" w:type="dxa"/>
            <w:shd w:val="clear" w:color="auto" w:fill="1F4E78"/>
          </w:tcPr>
          <w:p>
            <w:pPr>
              <w:spacing w:after="0" w:before="0"/>
            </w:pPr>
            <w:r/>
            <w:r>
              <w:rPr>
                <w:rFonts w:ascii="Arial" w:hAnsi="Arial" w:cs="Arial"/>
                <w:b/>
                <w:color w:val="FFFFFF"/>
                <w:sz w:val="17"/>
              </w:rPr>
              <w:t>Field</w:t>
            </w:r>
          </w:p>
        </w:tc>
        <w:tc>
          <w:tcPr>
            <w:tcW w:w="1300" w:type="dxa"/>
            <w:shd w:val="clear" w:color="auto" w:fill="1F4E78"/>
          </w:tcPr>
          <w:p>
            <w:pPr>
              <w:spacing w:after="0" w:before="0"/>
            </w:pPr>
            <w:r/>
            <w:r>
              <w:rPr>
                <w:rFonts w:ascii="Arial" w:hAnsi="Arial" w:cs="Arial"/>
                <w:b/>
                <w:color w:val="FFFFFF"/>
                <w:sz w:val="17"/>
              </w:rPr>
              <w:t>Data Type</w:t>
            </w:r>
          </w:p>
        </w:tc>
        <w:tc>
          <w:tcPr>
            <w:tcW w:w="1300" w:type="dxa"/>
            <w:shd w:val="clear" w:color="auto" w:fill="1F4E78"/>
          </w:tcPr>
          <w:p>
            <w:pPr>
              <w:spacing w:after="0" w:before="0"/>
            </w:pPr>
            <w:r/>
            <w:r>
              <w:rPr>
                <w:rFonts w:ascii="Arial" w:hAnsi="Arial" w:cs="Arial"/>
                <w:b/>
                <w:color w:val="FFFFFF"/>
                <w:sz w:val="17"/>
              </w:rPr>
              <w:t>Mandatory</w:t>
            </w:r>
          </w:p>
        </w:tc>
        <w:tc>
          <w:tcPr>
            <w:tcW w:w="3860" w:type="dxa"/>
            <w:shd w:val="clear" w:color="auto" w:fill="1F4E78"/>
          </w:tcPr>
          <w:p>
            <w:pPr>
              <w:spacing w:after="0" w:before="0"/>
            </w:pPr>
            <w:r/>
            <w:r>
              <w:rPr>
                <w:rFonts w:ascii="Arial" w:hAnsi="Arial" w:cs="Arial"/>
                <w:b/>
                <w:color w:val="FFFFFF"/>
                <w:sz w:val="17"/>
              </w:rPr>
              <w:t>Notes / Validation</w:t>
            </w:r>
          </w:p>
        </w:tc>
      </w:tr>
      <w:tr>
        <w:tc>
          <w:tcPr>
            <w:tcW w:w="2900" w:type="dxa"/>
          </w:tcPr>
          <w:p>
            <w:pPr>
              <w:spacing w:after="0" w:before="0"/>
            </w:pPr>
            <w:r/>
            <w:r>
              <w:rPr>
                <w:rFonts w:ascii="Arial" w:hAnsi="Arial" w:cs="Arial"/>
                <w:b w:val="0"/>
                <w:sz w:val="17"/>
              </w:rPr>
              <w:t>Prior Lender &amp; Loan Details</w:t>
            </w:r>
          </w:p>
        </w:tc>
        <w:tc>
          <w:tcPr>
            <w:tcW w:w="1300" w:type="dxa"/>
          </w:tcPr>
          <w:p>
            <w:pPr>
              <w:spacing w:after="0" w:before="0"/>
            </w:pPr>
            <w:r/>
            <w:r>
              <w:rPr>
                <w:rFonts w:ascii="Arial" w:hAnsi="Arial" w:cs="Arial"/>
                <w:b w:val="0"/>
                <w:sz w:val="17"/>
              </w:rPr>
              <w:t>Text/Reference</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Existing lender, account no., outstanding, rate</w:t>
            </w:r>
          </w:p>
        </w:tc>
      </w:tr>
      <w:tr>
        <w:tc>
          <w:tcPr>
            <w:tcW w:w="2900" w:type="dxa"/>
          </w:tcPr>
          <w:p>
            <w:pPr>
              <w:spacing w:after="0" w:before="0"/>
            </w:pPr>
            <w:r/>
            <w:r>
              <w:rPr>
                <w:rFonts w:ascii="Arial" w:hAnsi="Arial" w:cs="Arial"/>
                <w:b w:val="0"/>
                <w:sz w:val="17"/>
              </w:rPr>
              <w:t>Foreclosure / Closure Quote</w:t>
            </w:r>
          </w:p>
        </w:tc>
        <w:tc>
          <w:tcPr>
            <w:tcW w:w="1300" w:type="dxa"/>
          </w:tcPr>
          <w:p>
            <w:pPr>
              <w:spacing w:after="0" w:before="0"/>
            </w:pPr>
            <w:r/>
            <w:r>
              <w:rPr>
                <w:rFonts w:ascii="Arial" w:hAnsi="Arial" w:cs="Arial"/>
                <w:b w:val="0"/>
                <w:sz w:val="17"/>
              </w:rPr>
              <w:t>Document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Foreclosure statement from the prior lender</w:t>
            </w:r>
          </w:p>
        </w:tc>
      </w:tr>
      <w:tr>
        <w:tc>
          <w:tcPr>
            <w:tcW w:w="2900" w:type="dxa"/>
          </w:tcPr>
          <w:p>
            <w:pPr>
              <w:spacing w:after="0" w:before="0"/>
            </w:pPr>
            <w:r/>
            <w:r>
              <w:rPr>
                <w:rFonts w:ascii="Arial" w:hAnsi="Arial" w:cs="Arial"/>
                <w:b w:val="0"/>
                <w:sz w:val="17"/>
              </w:rPr>
              <w:t>List of Documents (LOD)</w:t>
            </w:r>
          </w:p>
        </w:tc>
        <w:tc>
          <w:tcPr>
            <w:tcW w:w="1300" w:type="dxa"/>
          </w:tcPr>
          <w:p>
            <w:pPr>
              <w:spacing w:after="0" w:before="0"/>
            </w:pPr>
            <w:r/>
            <w:r>
              <w:rPr>
                <w:rFonts w:ascii="Arial" w:hAnsi="Arial" w:cs="Arial"/>
                <w:b w:val="0"/>
                <w:sz w:val="17"/>
              </w:rPr>
              <w:t>Checklist</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Documents to be released by the prior lender on takeover</w:t>
            </w:r>
          </w:p>
        </w:tc>
      </w:tr>
      <w:tr>
        <w:tc>
          <w:tcPr>
            <w:tcW w:w="2900" w:type="dxa"/>
          </w:tcPr>
          <w:p>
            <w:pPr>
              <w:spacing w:after="0" w:before="0"/>
            </w:pPr>
            <w:r/>
            <w:r>
              <w:rPr>
                <w:rFonts w:ascii="Arial" w:hAnsi="Arial" w:cs="Arial"/>
                <w:b w:val="0"/>
                <w:sz w:val="17"/>
              </w:rPr>
              <w:t>Direct-Payoff to Prior Lender</w:t>
            </w:r>
          </w:p>
        </w:tc>
        <w:tc>
          <w:tcPr>
            <w:tcW w:w="1300" w:type="dxa"/>
          </w:tcPr>
          <w:p>
            <w:pPr>
              <w:spacing w:after="0" w:before="0"/>
            </w:pPr>
            <w:r/>
            <w:r>
              <w:rPr>
                <w:rFonts w:ascii="Arial" w:hAnsi="Arial" w:cs="Arial"/>
                <w:b w:val="0"/>
                <w:sz w:val="17"/>
              </w:rPr>
              <w:t>Workflow</w:t>
            </w:r>
          </w:p>
        </w:tc>
        <w:tc>
          <w:tcPr>
            <w:tcW w:w="1300" w:type="dxa"/>
          </w:tcPr>
          <w:p>
            <w:pPr>
              <w:spacing w:after="0" w:before="0"/>
            </w:pPr>
            <w:r/>
            <w:r>
              <w:rPr>
                <w:rFonts w:ascii="Arial" w:hAnsi="Arial" w:cs="Arial"/>
                <w:b w:val="0"/>
                <w:sz w:val="17"/>
              </w:rPr>
              <w:t>Yes</w:t>
            </w:r>
          </w:p>
        </w:tc>
        <w:tc>
          <w:tcPr>
            <w:tcW w:w="3860" w:type="dxa"/>
          </w:tcPr>
          <w:p>
            <w:pPr>
              <w:spacing w:after="0" w:before="0"/>
            </w:pPr>
            <w:r/>
            <w:r>
              <w:rPr>
                <w:rFonts w:ascii="Arial" w:hAnsi="Arial" w:cs="Arial"/>
                <w:b w:val="0"/>
                <w:sz w:val="17"/>
              </w:rPr>
              <w:t>Disbursement paid to the prior lender; balance (if any) to borrower</w:t>
            </w:r>
          </w:p>
        </w:tc>
      </w:tr>
      <w:tr>
        <w:tc>
          <w:tcPr>
            <w:tcW w:w="2900" w:type="dxa"/>
          </w:tcPr>
          <w:p>
            <w:pPr>
              <w:spacing w:after="0" w:before="0"/>
            </w:pPr>
            <w:r/>
            <w:r>
              <w:rPr>
                <w:rFonts w:ascii="Arial" w:hAnsi="Arial" w:cs="Arial"/>
                <w:b w:val="0"/>
                <w:sz w:val="17"/>
              </w:rPr>
              <w:t>Top-Up-on-BT Option</w:t>
            </w:r>
          </w:p>
        </w:tc>
        <w:tc>
          <w:tcPr>
            <w:tcW w:w="1300" w:type="dxa"/>
          </w:tcPr>
          <w:p>
            <w:pPr>
              <w:spacing w:after="0" w:before="0"/>
            </w:pPr>
            <w:r/>
            <w:r>
              <w:rPr>
                <w:rFonts w:ascii="Arial" w:hAnsi="Arial" w:cs="Arial"/>
                <w:b w:val="0"/>
                <w:sz w:val="17"/>
              </w:rPr>
              <w:t>Boolean/Currency</w:t>
            </w:r>
          </w:p>
        </w:tc>
        <w:tc>
          <w:tcPr>
            <w:tcW w:w="1300" w:type="dxa"/>
          </w:tcPr>
          <w:p>
            <w:pPr>
              <w:spacing w:after="0" w:before="0"/>
            </w:pPr>
            <w:r/>
            <w:r>
              <w:rPr>
                <w:rFonts w:ascii="Arial" w:hAnsi="Arial" w:cs="Arial"/>
                <w:b w:val="0"/>
                <w:sz w:val="17"/>
              </w:rPr>
              <w:t>Conditional</w:t>
            </w:r>
          </w:p>
        </w:tc>
        <w:tc>
          <w:tcPr>
            <w:tcW w:w="3860" w:type="dxa"/>
          </w:tcPr>
          <w:p>
            <w:pPr>
              <w:spacing w:after="0" w:before="0"/>
            </w:pPr>
            <w:r/>
            <w:r>
              <w:rPr>
                <w:rFonts w:ascii="Arial" w:hAnsi="Arial" w:cs="Arial"/>
                <w:b w:val="0"/>
                <w:sz w:val="17"/>
              </w:rPr>
              <w:t>Additional amount over the transferred balance (uses 3.34)</w:t>
            </w:r>
          </w:p>
        </w:tc>
      </w:tr>
    </w:tbl>
    <w:p/>
    <w:p>
      <w:r>
        <w:br w:type="page"/>
      </w:r>
    </w:p>
    <w:p>
      <w:pPr>
        <w:pStyle w:val="Heading1"/>
      </w:pPr>
      <w:r>
        <w:t>44. Architecture &amp; Flow Diagrams</w:t>
      </w:r>
    </w:p>
    <w:p>
      <w:r>
        <w:rPr>
          <w:rFonts w:ascii="Arial" w:hAnsi="Arial" w:cs="Arial"/>
          <w:rFonts w:ascii="Arial" w:hAnsi="Arial"/>
          <w:b w:val="0"/>
          <w:i w:val="0"/>
          <w:sz w:val="22"/>
        </w:rPr>
        <w:t>Version 1.0 was entirely narrative/tabular. The diagrams below make the architecture and the risk-bearing flows explicit. They are the visual companion to Sections 1, 4, 8, 10, 11 and 25.</w:t>
      </w:r>
    </w:p>
    <w:p>
      <w:pPr>
        <w:pStyle w:val="Heading2"/>
      </w:pPr>
      <w:r>
        <w:t>44.1 System Context</w:t>
      </w:r>
    </w:p>
    <w:p>
      <w:pPr>
        <w:jc w:val="center"/>
      </w:pPr>
      <w:r>
        <w:drawing>
          <wp:inline xmlns:a="http://schemas.openxmlformats.org/drawingml/2006/main" xmlns:pic="http://schemas.openxmlformats.org/drawingml/2006/picture">
            <wp:extent cx="6309360" cy="4362855"/>
            <wp:docPr id="2" name="Picture 2"/>
            <wp:cNvGraphicFramePr>
              <a:graphicFrameLocks noChangeAspect="1"/>
            </wp:cNvGraphicFramePr>
            <a:graphic>
              <a:graphicData uri="http://schemas.openxmlformats.org/drawingml/2006/picture">
                <pic:pic>
                  <pic:nvPicPr>
                    <pic:cNvPr id="0" name="d1_context.png"/>
                    <pic:cNvPicPr/>
                  </pic:nvPicPr>
                  <pic:blipFill>
                    <a:blip r:embed="rId14"/>
                    <a:stretch>
                      <a:fillRect/>
                    </a:stretch>
                  </pic:blipFill>
                  <pic:spPr>
                    <a:xfrm>
                      <a:off x="0" y="0"/>
                      <a:ext cx="6309360" cy="4362855"/>
                    </a:xfrm>
                    <a:prstGeom prst="rect"/>
                  </pic:spPr>
                </pic:pic>
              </a:graphicData>
            </a:graphic>
          </wp:inline>
        </w:drawing>
      </w:r>
    </w:p>
    <w:p>
      <w:pPr>
        <w:jc w:val="center"/>
      </w:pPr>
      <w:r>
        <w:rPr>
          <w:rFonts w:ascii="Arial" w:hAnsi="Arial"/>
          <w:i/>
          <w:color w:val="404040"/>
          <w:sz w:val="18"/>
        </w:rPr>
        <w:t>Figure 44.1 — System context: the LMS core, its users, and the external systems/regulators it integrates with (Section 12).</w:t>
      </w:r>
    </w:p>
    <w:p>
      <w:pPr>
        <w:pStyle w:val="Heading2"/>
      </w:pPr>
      <w:r>
        <w:t>44.2 Deployment &amp; Disaster-Recovery Topology</w:t>
      </w:r>
    </w:p>
    <w:p>
      <w:pPr>
        <w:jc w:val="center"/>
      </w:pPr>
      <w:r>
        <w:drawing>
          <wp:inline xmlns:a="http://schemas.openxmlformats.org/drawingml/2006/main" xmlns:pic="http://schemas.openxmlformats.org/drawingml/2006/picture">
            <wp:extent cx="4572000" cy="2129188"/>
            <wp:docPr id="3" name="Picture 3"/>
            <wp:cNvGraphicFramePr>
              <a:graphicFrameLocks noChangeAspect="1"/>
            </wp:cNvGraphicFramePr>
            <a:graphic>
              <a:graphicData uri="http://schemas.openxmlformats.org/drawingml/2006/picture">
                <pic:pic>
                  <pic:nvPicPr>
                    <pic:cNvPr id="0" name="d2_deployment.png"/>
                    <pic:cNvPicPr/>
                  </pic:nvPicPr>
                  <pic:blipFill>
                    <a:blip r:embed="rId15"/>
                    <a:stretch>
                      <a:fillRect/>
                    </a:stretch>
                  </pic:blipFill>
                  <pic:spPr>
                    <a:xfrm>
                      <a:off x="0" y="0"/>
                      <a:ext cx="4572000" cy="2129188"/>
                    </a:xfrm>
                    <a:prstGeom prst="rect"/>
                  </pic:spPr>
                </pic:pic>
              </a:graphicData>
            </a:graphic>
          </wp:inline>
        </w:drawing>
      </w:r>
    </w:p>
    <w:p>
      <w:pPr>
        <w:jc w:val="center"/>
      </w:pPr>
      <w:r>
        <w:rPr>
          <w:rFonts w:ascii="Arial" w:hAnsi="Arial"/>
          <w:i/>
          <w:color w:val="404040"/>
          <w:sz w:val="18"/>
        </w:rPr>
        <w:t>Figure 44.2 — Layered deployment across two AZs with a warm DR region (Sections 1.1, 15, 29.1).</w:t>
      </w:r>
    </w:p>
    <w:p>
      <w:pPr>
        <w:pStyle w:val="Heading2"/>
      </w:pPr>
      <w:r>
        <w:t>44.3 Core Data Model (Entity–Relationship)</w:t>
      </w:r>
    </w:p>
    <w:p>
      <w:pPr>
        <w:jc w:val="center"/>
      </w:pPr>
      <w:r>
        <w:drawing>
          <wp:inline xmlns:a="http://schemas.openxmlformats.org/drawingml/2006/main" xmlns:pic="http://schemas.openxmlformats.org/drawingml/2006/picture">
            <wp:extent cx="6309360" cy="3732434"/>
            <wp:docPr id="4" name="Picture 4"/>
            <wp:cNvGraphicFramePr>
              <a:graphicFrameLocks noChangeAspect="1"/>
            </wp:cNvGraphicFramePr>
            <a:graphic>
              <a:graphicData uri="http://schemas.openxmlformats.org/drawingml/2006/picture">
                <pic:pic>
                  <pic:nvPicPr>
                    <pic:cNvPr id="0" name="d3_er.png"/>
                    <pic:cNvPicPr/>
                  </pic:nvPicPr>
                  <pic:blipFill>
                    <a:blip r:embed="rId16"/>
                    <a:stretch>
                      <a:fillRect/>
                    </a:stretch>
                  </pic:blipFill>
                  <pic:spPr>
                    <a:xfrm>
                      <a:off x="0" y="0"/>
                      <a:ext cx="6309360" cy="3732434"/>
                    </a:xfrm>
                    <a:prstGeom prst="rect"/>
                  </pic:spPr>
                </pic:pic>
              </a:graphicData>
            </a:graphic>
          </wp:inline>
        </w:drawing>
      </w:r>
    </w:p>
    <w:p>
      <w:pPr>
        <w:jc w:val="center"/>
      </w:pPr>
      <w:r>
        <w:rPr>
          <w:rFonts w:ascii="Arial" w:hAnsi="Arial"/>
          <w:i/>
          <w:color w:val="404040"/>
          <w:sz w:val="18"/>
        </w:rPr>
        <w:t>Figure 44.3 — Core entities and relationships (Section 11), with PK/FK and cardinalities.</w:t>
      </w:r>
    </w:p>
    <w:p>
      <w:pPr>
        <w:pStyle w:val="Heading2"/>
      </w:pPr>
      <w:r>
        <w:t>44.4 Sequence — Disbursement → GL Posting</w:t>
      </w:r>
    </w:p>
    <w:p>
      <w:pPr>
        <w:jc w:val="center"/>
      </w:pPr>
      <w:r>
        <w:drawing>
          <wp:inline xmlns:a="http://schemas.openxmlformats.org/drawingml/2006/main" xmlns:pic="http://schemas.openxmlformats.org/drawingml/2006/picture">
            <wp:extent cx="6309360" cy="3886566"/>
            <wp:docPr id="5" name="Picture 5"/>
            <wp:cNvGraphicFramePr>
              <a:graphicFrameLocks noChangeAspect="1"/>
            </wp:cNvGraphicFramePr>
            <a:graphic>
              <a:graphicData uri="http://schemas.openxmlformats.org/drawingml/2006/picture">
                <pic:pic>
                  <pic:nvPicPr>
                    <pic:cNvPr id="0" name="d4_seq_disburse.png"/>
                    <pic:cNvPicPr/>
                  </pic:nvPicPr>
                  <pic:blipFill>
                    <a:blip r:embed="rId17"/>
                    <a:stretch>
                      <a:fillRect/>
                    </a:stretch>
                  </pic:blipFill>
                  <pic:spPr>
                    <a:xfrm>
                      <a:off x="0" y="0"/>
                      <a:ext cx="6309360" cy="3886566"/>
                    </a:xfrm>
                    <a:prstGeom prst="rect"/>
                  </pic:spPr>
                </pic:pic>
              </a:graphicData>
            </a:graphic>
          </wp:inline>
        </w:drawing>
      </w:r>
    </w:p>
    <w:p>
      <w:pPr>
        <w:jc w:val="center"/>
      </w:pPr>
      <w:r>
        <w:rPr>
          <w:rFonts w:ascii="Arial" w:hAnsi="Arial"/>
          <w:i/>
          <w:color w:val="404040"/>
          <w:sz w:val="18"/>
        </w:rPr>
        <w:t>Figure 44.4 — Disbursement flow with idempotency and balanced GL posting (Sections 4, 8.2, 26.3).</w:t>
      </w:r>
    </w:p>
    <w:p>
      <w:pPr>
        <w:pStyle w:val="Heading2"/>
      </w:pPr>
      <w:r>
        <w:t>44.5 Sequence — EMI / NACH Collection &amp; Failure</w:t>
      </w:r>
    </w:p>
    <w:p>
      <w:pPr>
        <w:jc w:val="center"/>
      </w:pPr>
      <w:r>
        <w:drawing>
          <wp:inline xmlns:a="http://schemas.openxmlformats.org/drawingml/2006/main" xmlns:pic="http://schemas.openxmlformats.org/drawingml/2006/picture">
            <wp:extent cx="6309360" cy="3260677"/>
            <wp:docPr id="6" name="Picture 6"/>
            <wp:cNvGraphicFramePr>
              <a:graphicFrameLocks noChangeAspect="1"/>
            </wp:cNvGraphicFramePr>
            <a:graphic>
              <a:graphicData uri="http://schemas.openxmlformats.org/drawingml/2006/picture">
                <pic:pic>
                  <pic:nvPicPr>
                    <pic:cNvPr id="0" name="d5_seq_collection.png"/>
                    <pic:cNvPicPr/>
                  </pic:nvPicPr>
                  <pic:blipFill>
                    <a:blip r:embed="rId18"/>
                    <a:stretch>
                      <a:fillRect/>
                    </a:stretch>
                  </pic:blipFill>
                  <pic:spPr>
                    <a:xfrm>
                      <a:off x="0" y="0"/>
                      <a:ext cx="6309360" cy="3260677"/>
                    </a:xfrm>
                    <a:prstGeom prst="rect"/>
                  </pic:spPr>
                </pic:pic>
              </a:graphicData>
            </a:graphic>
          </wp:inline>
        </w:drawing>
      </w:r>
    </w:p>
    <w:p>
      <w:pPr>
        <w:jc w:val="center"/>
      </w:pPr>
      <w:r>
        <w:rPr>
          <w:rFonts w:ascii="Arial" w:hAnsi="Arial"/>
          <w:i/>
          <w:color w:val="404040"/>
          <w:sz w:val="18"/>
        </w:rPr>
        <w:t>Figure 44.5 — Collection with success and bounce/return paths (Sections 6, 7, 24.7).</w:t>
      </w:r>
    </w:p>
    <w:p>
      <w:pPr>
        <w:pStyle w:val="Heading2"/>
      </w:pPr>
      <w:r>
        <w:t>44.6 Sequence — Monthly CIC (Bureau) Reporting</w:t>
      </w:r>
    </w:p>
    <w:p>
      <w:pPr>
        <w:jc w:val="center"/>
      </w:pPr>
      <w:r>
        <w:drawing>
          <wp:inline xmlns:a="http://schemas.openxmlformats.org/drawingml/2006/main" xmlns:pic="http://schemas.openxmlformats.org/drawingml/2006/picture">
            <wp:extent cx="6309360" cy="3302955"/>
            <wp:docPr id="7" name="Picture 7"/>
            <wp:cNvGraphicFramePr>
              <a:graphicFrameLocks noChangeAspect="1"/>
            </wp:cNvGraphicFramePr>
            <a:graphic>
              <a:graphicData uri="http://schemas.openxmlformats.org/drawingml/2006/picture">
                <pic:pic>
                  <pic:nvPicPr>
                    <pic:cNvPr id="0" name="d6_seq_cic.png"/>
                    <pic:cNvPicPr/>
                  </pic:nvPicPr>
                  <pic:blipFill>
                    <a:blip r:embed="rId19"/>
                    <a:stretch>
                      <a:fillRect/>
                    </a:stretch>
                  </pic:blipFill>
                  <pic:spPr>
                    <a:xfrm>
                      <a:off x="0" y="0"/>
                      <a:ext cx="6309360" cy="3302955"/>
                    </a:xfrm>
                    <a:prstGeom prst="rect"/>
                  </pic:spPr>
                </pic:pic>
              </a:graphicData>
            </a:graphic>
          </wp:inline>
        </w:drawing>
      </w:r>
    </w:p>
    <w:p>
      <w:pPr>
        <w:jc w:val="center"/>
      </w:pPr>
      <w:r>
        <w:rPr>
          <w:rFonts w:ascii="Arial" w:hAnsi="Arial"/>
          <w:i/>
          <w:color w:val="404040"/>
          <w:sz w:val="18"/>
        </w:rPr>
        <w:t>Figure 44.6 — Monthly bureau file generation, DQ, maker-checker, submission and disputes (Section 10).</w:t>
      </w:r>
    </w:p>
    <w:p>
      <w:pPr>
        <w:pStyle w:val="Heading2"/>
      </w:pPr>
      <w:r>
        <w:t>44.7 Sequence — LAS Drawing-Power Revaluation &amp; Margin Call</w:t>
      </w:r>
    </w:p>
    <w:p>
      <w:pPr>
        <w:jc w:val="center"/>
      </w:pPr>
      <w:r>
        <w:drawing>
          <wp:inline xmlns:a="http://schemas.openxmlformats.org/drawingml/2006/main" xmlns:pic="http://schemas.openxmlformats.org/drawingml/2006/picture">
            <wp:extent cx="6309360" cy="3919083"/>
            <wp:docPr id="8" name="Picture 8"/>
            <wp:cNvGraphicFramePr>
              <a:graphicFrameLocks noChangeAspect="1"/>
            </wp:cNvGraphicFramePr>
            <a:graphic>
              <a:graphicData uri="http://schemas.openxmlformats.org/drawingml/2006/picture">
                <pic:pic>
                  <pic:nvPicPr>
                    <pic:cNvPr id="0" name="d7_seq_margin.png"/>
                    <pic:cNvPicPr/>
                  </pic:nvPicPr>
                  <pic:blipFill>
                    <a:blip r:embed="rId20"/>
                    <a:stretch>
                      <a:fillRect/>
                    </a:stretch>
                  </pic:blipFill>
                  <pic:spPr>
                    <a:xfrm>
                      <a:off x="0" y="0"/>
                      <a:ext cx="6309360" cy="3919083"/>
                    </a:xfrm>
                    <a:prstGeom prst="rect"/>
                  </pic:spPr>
                </pic:pic>
              </a:graphicData>
            </a:graphic>
          </wp:inline>
        </w:drawing>
      </w:r>
    </w:p>
    <w:p>
      <w:pPr>
        <w:jc w:val="center"/>
      </w:pPr>
      <w:r>
        <w:rPr>
          <w:rFonts w:ascii="Arial" w:hAnsi="Arial"/>
          <w:i/>
          <w:color w:val="404040"/>
          <w:sz w:val="18"/>
        </w:rPr>
        <w:t>Figure 44.7 — Daily revaluation, margin call, cure period and invocation (Section 3.1).</w:t>
      </w:r>
    </w:p>
    <w:p>
      <w:pPr>
        <w:pStyle w:val="Heading2"/>
      </w:pPr>
      <w:r>
        <w:t>44.8 State Machine — Loan Account</w:t>
      </w:r>
    </w:p>
    <w:p>
      <w:pPr>
        <w:jc w:val="center"/>
      </w:pPr>
      <w:r>
        <w:drawing>
          <wp:inline xmlns:a="http://schemas.openxmlformats.org/drawingml/2006/main" xmlns:pic="http://schemas.openxmlformats.org/drawingml/2006/picture">
            <wp:extent cx="4297680" cy="6131280"/>
            <wp:docPr id="9" name="Picture 9"/>
            <wp:cNvGraphicFramePr>
              <a:graphicFrameLocks noChangeAspect="1"/>
            </wp:cNvGraphicFramePr>
            <a:graphic>
              <a:graphicData uri="http://schemas.openxmlformats.org/drawingml/2006/picture">
                <pic:pic>
                  <pic:nvPicPr>
                    <pic:cNvPr id="0" name="d8_loan_state.png"/>
                    <pic:cNvPicPr/>
                  </pic:nvPicPr>
                  <pic:blipFill>
                    <a:blip r:embed="rId21"/>
                    <a:stretch>
                      <a:fillRect/>
                    </a:stretch>
                  </pic:blipFill>
                  <pic:spPr>
                    <a:xfrm>
                      <a:off x="0" y="0"/>
                      <a:ext cx="4297680" cy="6131280"/>
                    </a:xfrm>
                    <a:prstGeom prst="rect"/>
                  </pic:spPr>
                </pic:pic>
              </a:graphicData>
            </a:graphic>
          </wp:inline>
        </w:drawing>
      </w:r>
    </w:p>
    <w:p>
      <w:pPr>
        <w:jc w:val="center"/>
      </w:pPr>
      <w:r>
        <w:rPr>
          <w:rFonts w:ascii="Arial" w:hAnsi="Arial"/>
          <w:i/>
          <w:color w:val="404040"/>
          <w:sz w:val="18"/>
        </w:rPr>
        <w:t>Figure 44.8 — Loan Account lifecycle and NPA transitions (Section 25.2, 9.4).</w:t>
      </w:r>
    </w:p>
    <w:p>
      <w:pPr>
        <w:pStyle w:val="Heading2"/>
      </w:pPr>
      <w:r>
        <w:t>44.9 State Machine — Application</w:t>
      </w:r>
    </w:p>
    <w:p>
      <w:pPr>
        <w:jc w:val="center"/>
      </w:pPr>
      <w:r>
        <w:drawing>
          <wp:inline xmlns:a="http://schemas.openxmlformats.org/drawingml/2006/main" xmlns:pic="http://schemas.openxmlformats.org/drawingml/2006/picture">
            <wp:extent cx="6309360" cy="1045832"/>
            <wp:docPr id="10" name="Picture 10"/>
            <wp:cNvGraphicFramePr>
              <a:graphicFrameLocks noChangeAspect="1"/>
            </wp:cNvGraphicFramePr>
            <a:graphic>
              <a:graphicData uri="http://schemas.openxmlformats.org/drawingml/2006/picture">
                <pic:pic>
                  <pic:nvPicPr>
                    <pic:cNvPr id="0" name="d9_app_state.png"/>
                    <pic:cNvPicPr/>
                  </pic:nvPicPr>
                  <pic:blipFill>
                    <a:blip r:embed="rId22"/>
                    <a:stretch>
                      <a:fillRect/>
                    </a:stretch>
                  </pic:blipFill>
                  <pic:spPr>
                    <a:xfrm>
                      <a:off x="0" y="0"/>
                      <a:ext cx="6309360" cy="1045832"/>
                    </a:xfrm>
                    <a:prstGeom prst="rect"/>
                  </pic:spPr>
                </pic:pic>
              </a:graphicData>
            </a:graphic>
          </wp:inline>
        </w:drawing>
      </w:r>
    </w:p>
    <w:p>
      <w:pPr>
        <w:jc w:val="center"/>
      </w:pPr>
      <w:r>
        <w:rPr>
          <w:rFonts w:ascii="Arial" w:hAnsi="Arial"/>
          <w:i/>
          <w:color w:val="404040"/>
          <w:sz w:val="18"/>
        </w:rPr>
        <w:t>Figure 44.9 — Application lifecycle to disbursement, with terminal states (Section 25.2).</w:t>
      </w:r>
    </w:p>
    <w:p>
      <w:r>
        <w:br w:type="page"/>
      </w:r>
    </w:p>
    <w:p>
      <w:r>
        <w:rPr>
          <w:rFonts w:ascii="Arial" w:hAnsi="Arial" w:cs="Arial"/>
          <w:b w:val="0"/>
          <w:i/>
          <w:sz w:val="22"/>
        </w:rPr>
        <w:t>Sections 45–68 (Version 3.0) add the comprehensive calculation engine and the assurance, delivery and governance layers expected of a top-tier advisory deliverable. Section 45 consolidates and extends the calculation logic of Sections 24 and 32; every formula is paired with a worked, numerically-verified example so a developer can implement and unit-test it directly.</w:t>
      </w:r>
    </w:p>
    <w:p>
      <w:pPr>
        <w:pStyle w:val="Heading1"/>
      </w:pPr>
      <w:r>
        <w:t>45. Comprehensive Calculation Engine — Interest, Charges, Fees &amp; Penalties</w:t>
      </w:r>
    </w:p>
    <w:p>
      <w:r>
        <w:rPr>
          <w:rFonts w:ascii="Arial" w:hAnsi="Arial" w:cs="Arial"/>
          <w:b w:val="0"/>
          <w:i w:val="0"/>
          <w:sz w:val="22"/>
        </w:rPr>
        <w:t>This is the single reference for every monetary computation in the platform. It consolidates Sections 24 and 32 but consolidates them and adds the additional methods that different loan products require. Each product in Section 3 is wired (via the Product Master) to one interest method, a fee schedule, and a penalty method; Section 45.4 gives the product-to-method matrix. All computations obey the money-precision and rounding standard in Section 28.</w:t>
      </w:r>
    </w:p>
    <w:p>
      <w:pPr>
        <w:pStyle w:val="Heading2"/>
      </w:pPr>
      <w:r>
        <w:t>45.1 Calculation-Method Taxonomy</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500"/>
        <w:gridCol w:w="5500"/>
        <w:gridCol w:w="2360"/>
      </w:tblGrid>
      <w:tr>
        <w:tc>
          <w:tcPr>
            <w:tcW w:w="1500" w:type="dxa"/>
            <w:shd w:val="clear" w:color="auto" w:fill="1F4E78"/>
          </w:tcPr>
          <w:p>
            <w:pPr>
              <w:spacing w:after="0" w:before="0"/>
            </w:pPr>
            <w:r/>
            <w:r>
              <w:rPr>
                <w:rFonts w:ascii="Arial" w:hAnsi="Arial" w:cs="Arial"/>
                <w:b/>
                <w:color w:val="FFFFFF"/>
                <w:sz w:val="17"/>
              </w:rPr>
              <w:t>Family</w:t>
            </w:r>
          </w:p>
        </w:tc>
        <w:tc>
          <w:tcPr>
            <w:tcW w:w="5500" w:type="dxa"/>
            <w:shd w:val="clear" w:color="auto" w:fill="1F4E78"/>
          </w:tcPr>
          <w:p>
            <w:pPr>
              <w:spacing w:after="0" w:before="0"/>
            </w:pPr>
            <w:r/>
            <w:r>
              <w:rPr>
                <w:rFonts w:ascii="Arial" w:hAnsi="Arial" w:cs="Arial"/>
                <w:b/>
                <w:color w:val="FFFFFF"/>
                <w:sz w:val="17"/>
              </w:rPr>
              <w:t>Methods available</w:t>
            </w:r>
          </w:p>
        </w:tc>
        <w:tc>
          <w:tcPr>
            <w:tcW w:w="2360" w:type="dxa"/>
            <w:shd w:val="clear" w:color="auto" w:fill="1F4E78"/>
          </w:tcPr>
          <w:p>
            <w:pPr>
              <w:spacing w:after="0" w:before="0"/>
            </w:pPr>
            <w:r/>
            <w:r>
              <w:rPr>
                <w:rFonts w:ascii="Arial" w:hAnsi="Arial" w:cs="Arial"/>
                <w:b/>
                <w:color w:val="FFFFFF"/>
                <w:sz w:val="17"/>
              </w:rPr>
              <w:t>Typical products</w:t>
            </w:r>
          </w:p>
        </w:tc>
      </w:tr>
      <w:tr>
        <w:tc>
          <w:tcPr>
            <w:tcW w:w="1500" w:type="dxa"/>
          </w:tcPr>
          <w:p>
            <w:pPr>
              <w:spacing w:after="0" w:before="0"/>
            </w:pPr>
            <w:r/>
            <w:r>
              <w:rPr>
                <w:rFonts w:ascii="Arial" w:hAnsi="Arial" w:cs="Arial"/>
                <w:b w:val="0"/>
                <w:sz w:val="17"/>
              </w:rPr>
              <w:t>Interest</w:t>
            </w:r>
          </w:p>
        </w:tc>
        <w:tc>
          <w:tcPr>
            <w:tcW w:w="5500" w:type="dxa"/>
          </w:tcPr>
          <w:p>
            <w:pPr>
              <w:spacing w:after="0" w:before="0"/>
            </w:pPr>
            <w:r/>
            <w:r>
              <w:rPr>
                <w:rFonts w:ascii="Arial" w:hAnsi="Arial" w:cs="Arial"/>
                <w:b w:val="0"/>
                <w:sz w:val="17"/>
              </w:rPr>
              <w:t>Simple · Flat/Add-on · Reducing balance (annual/quarterly/monthly/daily rest) · Compound · Amortised EMI · Front-end discount · Rule-of-78 · Step-up/Step-down · Balloon/Bullet · Floating/Reset · Advance vs Arrears · Per-diem</w:t>
            </w:r>
          </w:p>
        </w:tc>
        <w:tc>
          <w:tcPr>
            <w:tcW w:w="2360" w:type="dxa"/>
          </w:tcPr>
          <w:p>
            <w:pPr>
              <w:spacing w:after="0" w:before="0"/>
            </w:pPr>
            <w:r/>
            <w:r>
              <w:rPr>
                <w:rFonts w:ascii="Arial" w:hAnsi="Arial" w:cs="Arial"/>
                <w:b w:val="0"/>
                <w:sz w:val="17"/>
              </w:rPr>
              <w:t>All products</w:t>
            </w:r>
          </w:p>
        </w:tc>
      </w:tr>
      <w:tr>
        <w:tc>
          <w:tcPr>
            <w:tcW w:w="1500" w:type="dxa"/>
          </w:tcPr>
          <w:p>
            <w:pPr>
              <w:spacing w:after="0" w:before="0"/>
            </w:pPr>
            <w:r/>
            <w:r>
              <w:rPr>
                <w:rFonts w:ascii="Arial" w:hAnsi="Arial" w:cs="Arial"/>
                <w:b w:val="0"/>
                <w:sz w:val="17"/>
              </w:rPr>
              <w:t>Charges &amp; fees</w:t>
            </w:r>
          </w:p>
        </w:tc>
        <w:tc>
          <w:tcPr>
            <w:tcW w:w="5500" w:type="dxa"/>
          </w:tcPr>
          <w:p>
            <w:pPr>
              <w:spacing w:after="0" w:before="0"/>
            </w:pPr>
            <w:r/>
            <w:r>
              <w:rPr>
                <w:rFonts w:ascii="Arial" w:hAnsi="Arial" w:cs="Arial"/>
                <w:b w:val="0"/>
                <w:sz w:val="17"/>
              </w:rPr>
              <w:t>Processing · Login · Documentation/legal/valuation · Foreclosure/prepayment · Part-payment · Renewal/AMC · Conversion · CERSAI/stamp · Statement/NOC</w:t>
            </w:r>
          </w:p>
        </w:tc>
        <w:tc>
          <w:tcPr>
            <w:tcW w:w="2360" w:type="dxa"/>
          </w:tcPr>
          <w:p>
            <w:pPr>
              <w:spacing w:after="0" w:before="0"/>
            </w:pPr>
            <w:r/>
            <w:r>
              <w:rPr>
                <w:rFonts w:ascii="Arial" w:hAnsi="Arial" w:cs="Arial"/>
                <w:b w:val="0"/>
                <w:sz w:val="17"/>
              </w:rPr>
              <w:t>All products</w:t>
            </w:r>
          </w:p>
        </w:tc>
      </w:tr>
      <w:tr>
        <w:tc>
          <w:tcPr>
            <w:tcW w:w="1500" w:type="dxa"/>
          </w:tcPr>
          <w:p>
            <w:pPr>
              <w:spacing w:after="0" w:before="0"/>
            </w:pPr>
            <w:r/>
            <w:r>
              <w:rPr>
                <w:rFonts w:ascii="Arial" w:hAnsi="Arial" w:cs="Arial"/>
                <w:b w:val="0"/>
                <w:sz w:val="17"/>
              </w:rPr>
              <w:t>Penalties</w:t>
            </w:r>
          </w:p>
        </w:tc>
        <w:tc>
          <w:tcPr>
            <w:tcW w:w="5500" w:type="dxa"/>
          </w:tcPr>
          <w:p>
            <w:pPr>
              <w:spacing w:after="0" w:before="0"/>
            </w:pPr>
            <w:r/>
            <w:r>
              <w:rPr>
                <w:rFonts w:ascii="Arial" w:hAnsi="Arial" w:cs="Arial"/>
                <w:b w:val="0"/>
                <w:sz w:val="17"/>
              </w:rPr>
              <w:t>Penal charge on overdue installment/amount · Bounce/mandate-failure · Covenant/non-compliance (insurance lapse, stock statement)</w:t>
            </w:r>
          </w:p>
        </w:tc>
        <w:tc>
          <w:tcPr>
            <w:tcW w:w="2360" w:type="dxa"/>
          </w:tcPr>
          <w:p>
            <w:pPr>
              <w:spacing w:after="0" w:before="0"/>
            </w:pPr>
            <w:r/>
            <w:r>
              <w:rPr>
                <w:rFonts w:ascii="Arial" w:hAnsi="Arial" w:cs="Arial"/>
                <w:b w:val="0"/>
                <w:sz w:val="17"/>
              </w:rPr>
              <w:t>All products</w:t>
            </w:r>
          </w:p>
        </w:tc>
      </w:tr>
      <w:tr>
        <w:tc>
          <w:tcPr>
            <w:tcW w:w="1500" w:type="dxa"/>
          </w:tcPr>
          <w:p>
            <w:pPr>
              <w:spacing w:after="0" w:before="0"/>
            </w:pPr>
            <w:r/>
            <w:r>
              <w:rPr>
                <w:rFonts w:ascii="Arial" w:hAnsi="Arial" w:cs="Arial"/>
                <w:b w:val="0"/>
                <w:sz w:val="17"/>
              </w:rPr>
              <w:t>Yield/subsidy</w:t>
            </w:r>
          </w:p>
        </w:tc>
        <w:tc>
          <w:tcPr>
            <w:tcW w:w="5500" w:type="dxa"/>
          </w:tcPr>
          <w:p>
            <w:pPr>
              <w:spacing w:after="0" w:before="0"/>
            </w:pPr>
            <w:r/>
            <w:r>
              <w:rPr>
                <w:rFonts w:ascii="Arial" w:hAnsi="Arial" w:cs="Arial"/>
                <w:b w:val="0"/>
                <w:sz w:val="17"/>
              </w:rPr>
              <w:t>APR · EIR · Interest subvention · No-cost-EMI subvention · Prepayment rebate</w:t>
            </w:r>
          </w:p>
        </w:tc>
        <w:tc>
          <w:tcPr>
            <w:tcW w:w="2360" w:type="dxa"/>
          </w:tcPr>
          <w:p>
            <w:pPr>
              <w:spacing w:after="0" w:before="0"/>
            </w:pPr>
            <w:r/>
            <w:r>
              <w:rPr>
                <w:rFonts w:ascii="Arial" w:hAnsi="Arial" w:cs="Arial"/>
                <w:b w:val="0"/>
                <w:sz w:val="17"/>
              </w:rPr>
              <w:t>As applicable</w:t>
            </w:r>
          </w:p>
        </w:tc>
      </w:tr>
    </w:tbl>
    <w:p/>
    <w:p>
      <w:pPr>
        <w:pStyle w:val="Heading2"/>
      </w:pPr>
      <w:r>
        <w:t>45.2 Day-Count Conventions</w:t>
      </w:r>
    </w:p>
    <w:p>
      <w:r>
        <w:rPr>
          <w:rFonts w:ascii="Arial" w:hAnsi="Arial" w:cs="Arial"/>
          <w:b w:val="0"/>
          <w:i w:val="0"/>
          <w:sz w:val="22"/>
        </w:rPr>
        <w:t>The convention is set once per product in the Product Master and used consistently by every formula below (see Section 24.1). Mixing conventions is the most common cause of schedule discrepancies.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1900"/>
        <w:gridCol w:w="3200"/>
        <w:gridCol w:w="4260"/>
      </w:tblGrid>
      <w:tr>
        <w:tc>
          <w:tcPr>
            <w:tcW w:w="1900" w:type="dxa"/>
            <w:shd w:val="clear" w:color="auto" w:fill="1F4E78"/>
          </w:tcPr>
          <w:p>
            <w:pPr>
              <w:spacing w:after="0" w:before="0"/>
            </w:pPr>
            <w:r/>
            <w:r>
              <w:rPr>
                <w:rFonts w:ascii="Arial" w:hAnsi="Arial" w:cs="Arial"/>
                <w:b/>
                <w:color w:val="FFFFFF"/>
                <w:sz w:val="17"/>
              </w:rPr>
              <w:t>Convention</w:t>
            </w:r>
          </w:p>
        </w:tc>
        <w:tc>
          <w:tcPr>
            <w:tcW w:w="3200" w:type="dxa"/>
            <w:shd w:val="clear" w:color="auto" w:fill="1F4E78"/>
          </w:tcPr>
          <w:p>
            <w:pPr>
              <w:spacing w:after="0" w:before="0"/>
            </w:pPr>
            <w:r/>
            <w:r>
              <w:rPr>
                <w:rFonts w:ascii="Arial" w:hAnsi="Arial" w:cs="Arial"/>
                <w:b/>
                <w:color w:val="FFFFFF"/>
                <w:sz w:val="17"/>
              </w:rPr>
              <w:t>Daily rate basis</w:t>
            </w:r>
          </w:p>
        </w:tc>
        <w:tc>
          <w:tcPr>
            <w:tcW w:w="4260" w:type="dxa"/>
            <w:shd w:val="clear" w:color="auto" w:fill="1F4E78"/>
          </w:tcPr>
          <w:p>
            <w:pPr>
              <w:spacing w:after="0" w:before="0"/>
            </w:pPr>
            <w:r/>
            <w:r>
              <w:rPr>
                <w:rFonts w:ascii="Arial" w:hAnsi="Arial" w:cs="Arial"/>
                <w:b/>
                <w:color w:val="FFFFFF"/>
                <w:sz w:val="17"/>
              </w:rPr>
              <w:t>Where used</w:t>
            </w:r>
          </w:p>
        </w:tc>
      </w:tr>
      <w:tr>
        <w:tc>
          <w:tcPr>
            <w:tcW w:w="1900" w:type="dxa"/>
          </w:tcPr>
          <w:p>
            <w:pPr>
              <w:spacing w:after="0" w:before="0"/>
            </w:pPr>
            <w:r/>
            <w:r>
              <w:rPr>
                <w:rFonts w:ascii="Arial" w:hAnsi="Arial" w:cs="Arial"/>
                <w:b w:val="0"/>
                <w:sz w:val="17"/>
              </w:rPr>
              <w:t>Actual/365 (Fixed)</w:t>
            </w:r>
          </w:p>
        </w:tc>
        <w:tc>
          <w:tcPr>
            <w:tcW w:w="3200" w:type="dxa"/>
          </w:tcPr>
          <w:p>
            <w:pPr>
              <w:spacing w:after="0" w:before="0"/>
            </w:pPr>
            <w:r/>
            <w:r>
              <w:rPr>
                <w:rFonts w:ascii="Arial" w:hAnsi="Arial" w:cs="Arial"/>
                <w:b w:val="0"/>
                <w:sz w:val="17"/>
              </w:rPr>
              <w:t>Annual ÷ 365 (ignores leap year)</w:t>
            </w:r>
          </w:p>
        </w:tc>
        <w:tc>
          <w:tcPr>
            <w:tcW w:w="4260" w:type="dxa"/>
          </w:tcPr>
          <w:p>
            <w:pPr>
              <w:spacing w:after="0" w:before="0"/>
            </w:pPr>
            <w:r/>
            <w:r>
              <w:rPr>
                <w:rFonts w:ascii="Arial" w:hAnsi="Arial" w:cs="Arial"/>
                <w:b w:val="0"/>
                <w:sz w:val="17"/>
              </w:rPr>
              <w:t>LAS, Gold, Smart Credit Line, daily-reducing loans</w:t>
            </w:r>
          </w:p>
        </w:tc>
      </w:tr>
      <w:tr>
        <w:tc>
          <w:tcPr>
            <w:tcW w:w="1900" w:type="dxa"/>
          </w:tcPr>
          <w:p>
            <w:pPr>
              <w:spacing w:after="0" w:before="0"/>
            </w:pPr>
            <w:r/>
            <w:r>
              <w:rPr>
                <w:rFonts w:ascii="Arial" w:hAnsi="Arial" w:cs="Arial"/>
                <w:b w:val="0"/>
                <w:sz w:val="17"/>
              </w:rPr>
              <w:t>Actual/Actual</w:t>
            </w:r>
          </w:p>
        </w:tc>
        <w:tc>
          <w:tcPr>
            <w:tcW w:w="3200" w:type="dxa"/>
          </w:tcPr>
          <w:p>
            <w:pPr>
              <w:spacing w:after="0" w:before="0"/>
            </w:pPr>
            <w:r/>
            <w:r>
              <w:rPr>
                <w:rFonts w:ascii="Arial" w:hAnsi="Arial" w:cs="Arial"/>
                <w:b w:val="0"/>
                <w:sz w:val="17"/>
              </w:rPr>
              <w:t>Annual ÷ 365 or 366 per actual year</w:t>
            </w:r>
          </w:p>
        </w:tc>
        <w:tc>
          <w:tcPr>
            <w:tcW w:w="4260" w:type="dxa"/>
          </w:tcPr>
          <w:p>
            <w:pPr>
              <w:spacing w:after="0" w:before="0"/>
            </w:pPr>
            <w:r/>
            <w:r>
              <w:rPr>
                <w:rFonts w:ascii="Arial" w:hAnsi="Arial" w:cs="Arial"/>
                <w:b w:val="0"/>
                <w:sz w:val="17"/>
              </w:rPr>
              <w:t>Where the agreement references actual year length</w:t>
            </w:r>
          </w:p>
        </w:tc>
      </w:tr>
      <w:tr>
        <w:tc>
          <w:tcPr>
            <w:tcW w:w="1900" w:type="dxa"/>
          </w:tcPr>
          <w:p>
            <w:pPr>
              <w:spacing w:after="0" w:before="0"/>
            </w:pPr>
            <w:r/>
            <w:r>
              <w:rPr>
                <w:rFonts w:ascii="Arial" w:hAnsi="Arial" w:cs="Arial"/>
                <w:b w:val="0"/>
                <w:sz w:val="17"/>
              </w:rPr>
              <w:t>Actual/360</w:t>
            </w:r>
          </w:p>
        </w:tc>
        <w:tc>
          <w:tcPr>
            <w:tcW w:w="3200" w:type="dxa"/>
          </w:tcPr>
          <w:p>
            <w:pPr>
              <w:spacing w:after="0" w:before="0"/>
            </w:pPr>
            <w:r/>
            <w:r>
              <w:rPr>
                <w:rFonts w:ascii="Arial" w:hAnsi="Arial" w:cs="Arial"/>
                <w:b w:val="0"/>
                <w:sz w:val="17"/>
              </w:rPr>
              <w:t>Annual ÷ 360</w:t>
            </w:r>
          </w:p>
        </w:tc>
        <w:tc>
          <w:tcPr>
            <w:tcW w:w="4260" w:type="dxa"/>
          </w:tcPr>
          <w:p>
            <w:pPr>
              <w:spacing w:after="0" w:before="0"/>
            </w:pPr>
            <w:r/>
            <w:r>
              <w:rPr>
                <w:rFonts w:ascii="Arial" w:hAnsi="Arial" w:cs="Arial"/>
                <w:b w:val="0"/>
                <w:sz w:val="17"/>
              </w:rPr>
              <w:t>Some money-market / discounting facilities</w:t>
            </w:r>
          </w:p>
        </w:tc>
      </w:tr>
      <w:tr>
        <w:tc>
          <w:tcPr>
            <w:tcW w:w="1900" w:type="dxa"/>
          </w:tcPr>
          <w:p>
            <w:pPr>
              <w:spacing w:after="0" w:before="0"/>
            </w:pPr>
            <w:r/>
            <w:r>
              <w:rPr>
                <w:rFonts w:ascii="Arial" w:hAnsi="Arial" w:cs="Arial"/>
                <w:b w:val="0"/>
                <w:sz w:val="17"/>
              </w:rPr>
              <w:t>30/360</w:t>
            </w:r>
          </w:p>
        </w:tc>
        <w:tc>
          <w:tcPr>
            <w:tcW w:w="3200" w:type="dxa"/>
          </w:tcPr>
          <w:p>
            <w:pPr>
              <w:spacing w:after="0" w:before="0"/>
            </w:pPr>
            <w:r/>
            <w:r>
              <w:rPr>
                <w:rFonts w:ascii="Arial" w:hAnsi="Arial" w:cs="Arial"/>
                <w:b w:val="0"/>
                <w:sz w:val="17"/>
              </w:rPr>
              <w:t>Each month = 30 days, year = 360</w:t>
            </w:r>
          </w:p>
        </w:tc>
        <w:tc>
          <w:tcPr>
            <w:tcW w:w="4260" w:type="dxa"/>
          </w:tcPr>
          <w:p>
            <w:pPr>
              <w:spacing w:after="0" w:before="0"/>
            </w:pPr>
            <w:r/>
            <w:r>
              <w:rPr>
                <w:rFonts w:ascii="Arial" w:hAnsi="Arial" w:cs="Arial"/>
                <w:b w:val="0"/>
                <w:sz w:val="17"/>
              </w:rPr>
              <w:t>Standard monthly-rest EMI products</w:t>
            </w:r>
          </w:p>
        </w:tc>
      </w:tr>
      <w:tr>
        <w:tc>
          <w:tcPr>
            <w:tcW w:w="1900" w:type="dxa"/>
          </w:tcPr>
          <w:p>
            <w:pPr>
              <w:spacing w:after="0" w:before="0"/>
            </w:pPr>
            <w:r/>
            <w:r>
              <w:rPr>
                <w:rFonts w:ascii="Arial" w:hAnsi="Arial" w:cs="Arial"/>
                <w:b w:val="0"/>
                <w:sz w:val="17"/>
              </w:rPr>
              <w:t>30E/360 (European)</w:t>
            </w:r>
          </w:p>
        </w:tc>
        <w:tc>
          <w:tcPr>
            <w:tcW w:w="3200" w:type="dxa"/>
          </w:tcPr>
          <w:p>
            <w:pPr>
              <w:spacing w:after="0" w:before="0"/>
            </w:pPr>
            <w:r/>
            <w:r>
              <w:rPr>
                <w:rFonts w:ascii="Arial" w:hAnsi="Arial" w:cs="Arial"/>
                <w:b w:val="0"/>
                <w:sz w:val="17"/>
              </w:rPr>
              <w:t>30/360 with end-of-month rule</w:t>
            </w:r>
          </w:p>
        </w:tc>
        <w:tc>
          <w:tcPr>
            <w:tcW w:w="4260" w:type="dxa"/>
          </w:tcPr>
          <w:p>
            <w:pPr>
              <w:spacing w:after="0" w:before="0"/>
            </w:pPr>
            <w:r/>
            <w:r>
              <w:rPr>
                <w:rFonts w:ascii="Arial" w:hAnsi="Arial" w:cs="Arial"/>
                <w:b w:val="0"/>
                <w:sz w:val="17"/>
              </w:rPr>
              <w:t>Certain structured facilities</w:t>
            </w:r>
          </w:p>
        </w:tc>
      </w:tr>
    </w:tbl>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Per-diem interest = Outstanding × (Annual_Rate/100 / Day_Count_Basis) × Actual_Days</w:t>
            </w:r>
          </w:p>
        </w:tc>
      </w:tr>
    </w:tbl>
    <w:p/>
    <w:p>
      <w:pPr>
        <w:pStyle w:val="Heading2"/>
      </w:pPr>
      <w:r>
        <w:t>45.3 Interest Methods (with worked examples)</w:t>
      </w:r>
    </w:p>
    <w:p>
      <w:pPr>
        <w:pStyle w:val="Heading3"/>
      </w:pPr>
      <w:r>
        <w:t>45.3.1 Simple Interest</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Interest = P × (Annual_Rate/100) × (Days / Basis)</w:t>
            </w:r>
          </w:p>
        </w:tc>
      </w:tr>
    </w:tbl>
    <w:p/>
    <w:p>
      <w:r>
        <w:rPr>
          <w:rFonts w:ascii="Arial" w:hAnsi="Arial" w:cs="Arial"/>
          <w:b w:val="0"/>
          <w:i w:val="0"/>
          <w:sz w:val="22"/>
        </w:rPr>
        <w:t>Example: P = ₹1,00,000 · 12% · 90 days (Actual/365) → Interest = ₹2,958.90; amount due = ₹102,958.90. Used for Gold bullet, LAS, bridge facilities.</w:t>
      </w:r>
    </w:p>
    <w:p>
      <w:pPr>
        <w:pStyle w:val="Heading3"/>
      </w:pPr>
      <w:r>
        <w:t>45.3.2 Flat Rate / Add-On Interest</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Total_Interest = P × (Flat_Rate/100) × Tenure_Years</w:t>
            </w:r>
            <w:r>
              <w:rPr>
                <w:rFonts w:ascii="Consolas" w:hAnsi="Consolas" w:cs="Consolas"/>
                <w:b w:val="0"/>
                <w:sz w:val="19"/>
              </w:rPr>
              <w:br/>
              <w:t>EMI = (P + Total_Interest) / Number_of_Installments</w:t>
            </w:r>
          </w:p>
        </w:tc>
      </w:tr>
    </w:tbl>
    <w:p/>
    <w:p>
      <w:r>
        <w:rPr>
          <w:rFonts w:ascii="Arial" w:hAnsi="Arial" w:cs="Arial"/>
          <w:b w:val="0"/>
          <w:i w:val="0"/>
          <w:sz w:val="22"/>
        </w:rPr>
        <w:t>Example: P = ₹2,00,000 · 10% flat · 3 yrs → Total interest ₹60,000; EMI ₹7,222.22. Crucially, the true reducing-balance equivalent (APR) is ≈ 19.5% — materially higher than the 10% headline, which is why the flat rate must never be shown as the APR in the KFS (Section 17.1).</w:t>
      </w:r>
    </w:p>
    <w:p>
      <w:pPr>
        <w:pStyle w:val="Heading3"/>
      </w:pPr>
      <w:r>
        <w:t>45.3.3 Reducing Balance — Rest Frequency Matters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Rest = the frequency at which interest is recomputed on the reducing principal</w:t>
            </w:r>
            <w:r>
              <w:rPr>
                <w:rFonts w:ascii="Consolas" w:hAnsi="Consolas" w:cs="Consolas"/>
                <w:b w:val="0"/>
                <w:sz w:val="19"/>
              </w:rPr>
              <w:br/>
              <w:t xml:space="preserve">  Annual rest  : interest charged on the opening balance for the whole year</w:t>
            </w:r>
            <w:r>
              <w:rPr>
                <w:rFonts w:ascii="Consolas" w:hAnsi="Consolas" w:cs="Consolas"/>
                <w:b w:val="0"/>
                <w:sz w:val="19"/>
              </w:rPr>
              <w:br/>
              <w:t xml:space="preserve">  Quarterly    : recomputed every quarter</w:t>
            </w:r>
            <w:r>
              <w:rPr>
                <w:rFonts w:ascii="Consolas" w:hAnsi="Consolas" w:cs="Consolas"/>
                <w:b w:val="0"/>
                <w:sz w:val="19"/>
              </w:rPr>
              <w:br/>
              <w:t xml:space="preserve">  Monthly rest : recomputed every month (standard EMI)</w:t>
            </w:r>
            <w:r>
              <w:rPr>
                <w:rFonts w:ascii="Consolas" w:hAnsi="Consolas" w:cs="Consolas"/>
                <w:b w:val="0"/>
                <w:sz w:val="19"/>
              </w:rPr>
              <w:br/>
              <w:t xml:space="preserve">  Daily rest   : recomputed every day on the actual outstanding</w:t>
            </w:r>
          </w:p>
        </w:tc>
      </w:tr>
    </w:tbl>
    <w:p/>
    <w:p>
      <w:r>
        <w:rPr>
          <w:rFonts w:ascii="Arial" w:hAnsi="Arial" w:cs="Arial"/>
          <w:b w:val="0"/>
          <w:i w:val="0"/>
          <w:sz w:val="22"/>
        </w:rPr>
        <w:t>Example (₹1,00,000 · 12% · 2 yrs, principal in 2 equal annual parts): annual-rest interest = ₹12,000 + ₹6,000 = ₹18,000; the same loan on a 24-month monthly-rest EMI (₹4,707.35) charges total interest ₹12,976. Annual rest costs the borrower more — the rest frequency must be disclosed.</w:t>
      </w:r>
    </w:p>
    <w:p>
      <w:pPr>
        <w:pStyle w:val="Heading3"/>
      </w:pPr>
      <w:r>
        <w:t>45.3.4 Compound Interest</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A = P × (1 + (Annual_Rate/100)/f)^(f × Years)   where f = compounding frequency/year</w:t>
            </w:r>
          </w:p>
        </w:tc>
      </w:tr>
    </w:tbl>
    <w:p/>
    <w:p>
      <w:r>
        <w:rPr>
          <w:rFonts w:ascii="Arial" w:hAnsi="Arial" w:cs="Arial"/>
          <w:b w:val="0"/>
          <w:i w:val="0"/>
          <w:sz w:val="22"/>
        </w:rPr>
        <w:t>Example: ₹1,00,000 · 10% · 2 yrs → quarterly compounding A = ₹121,840.29 (interest ₹21,840.29) vs annual compounding ₹121,000. Note: RBI restricts compounding of penal charges (Section 24.7).</w:t>
      </w:r>
    </w:p>
    <w:p>
      <w:pPr>
        <w:pStyle w:val="Heading3"/>
      </w:pPr>
      <w:r>
        <w:t>45.3.5 Amortised EMI (Reducing, Monthly Rest)</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EMI = P × r(1+r)^n / ((1+r)^n − 1),  r = (Annual/12)/100   [see Section 24.2]</w:t>
            </w:r>
          </w:p>
        </w:tc>
      </w:tr>
    </w:tbl>
    <w:p/>
    <w:p>
      <w:r>
        <w:rPr>
          <w:rFonts w:ascii="Arial" w:hAnsi="Arial" w:cs="Arial"/>
          <w:b w:val="0"/>
          <w:i w:val="0"/>
          <w:sz w:val="22"/>
        </w:rPr>
        <w:t>The default for Personal/Business, Vehicle, LAP and EMI-based Gold loans. Golden vector: ₹5,00,000 · 14% · 36m → EMI ₹17,088.81 (Section 24.2).</w:t>
      </w:r>
    </w:p>
    <w:p>
      <w:pPr>
        <w:pStyle w:val="Heading3"/>
      </w:pPr>
      <w:r>
        <w:t>45.3.6 Front-End Discount (Bills / Invoices / Factoring)</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Discount = Face_Value × (Rate/100) × (Days/Basis)</w:t>
            </w:r>
            <w:r>
              <w:rPr>
                <w:rFonts w:ascii="Consolas" w:hAnsi="Consolas" w:cs="Consolas"/>
                <w:b w:val="0"/>
                <w:sz w:val="19"/>
              </w:rPr>
              <w:br/>
              <w:t>Advance = Face_Value − Discount   (interest deducted up-front)</w:t>
            </w:r>
          </w:p>
        </w:tc>
      </w:tr>
    </w:tbl>
    <w:p/>
    <w:p>
      <w:r>
        <w:rPr>
          <w:rFonts w:ascii="Arial" w:hAnsi="Arial" w:cs="Arial"/>
          <w:b w:val="0"/>
          <w:i w:val="0"/>
          <w:sz w:val="22"/>
        </w:rPr>
        <w:t>Example: ₹1,00,000 invoice · 12% · 90 days → discount ₹2,958.90; advance ₹97,041.10. Because interest is deducted up-front, the effective yield ≈ 12.37% &gt; 12%. Used for Bill/Cheque Discounting (3.12), TReDS (3.11), Factoring (3.10).</w:t>
      </w:r>
    </w:p>
    <w:p>
      <w:pPr>
        <w:pStyle w:val="Heading3"/>
      </w:pPr>
      <w:r>
        <w:t>45.3.7 Rule of 78 (Prepayment Rebate on Flat Loans)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Unearned_Interest = Total_Interest × (Σ remaining-month digits / Σ all-month digits)</w:t>
            </w:r>
          </w:p>
        </w:tc>
      </w:tr>
    </w:tbl>
    <w:p/>
    <w:p>
      <w:r>
        <w:rPr>
          <w:rFonts w:ascii="Arial" w:hAnsi="Arial" w:cs="Arial"/>
          <w:b w:val="0"/>
          <w:i w:val="0"/>
          <w:sz w:val="22"/>
        </w:rPr>
        <w:t>Example: flat loan with ₹60,000 total interest over 36 months, prepaid after 12 → unearned (rebate) = 60,000 × 300/666 = ₹27,027.03; interest earned ₹32,972.97. The actuarial method (45.8) is fairer to the borrower and is the preferred approach.</w:t>
      </w:r>
    </w:p>
    <w:p>
      <w:pPr>
        <w:pStyle w:val="Heading3"/>
      </w:pPr>
      <w:r>
        <w:t>45.3.8 Step-Up / Step-Down EMI</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Step-up : EMI grows by g% each period (lower early EMIs) — used for young/edu borrowers</w:t>
            </w:r>
            <w:r>
              <w:rPr>
                <w:rFonts w:ascii="Consolas" w:hAnsi="Consolas" w:cs="Consolas"/>
                <w:b w:val="0"/>
                <w:sz w:val="19"/>
              </w:rPr>
              <w:br/>
              <w:t>Step-down: EMI reduces over time — used where income tapers</w:t>
            </w:r>
            <w:r>
              <w:rPr>
                <w:rFonts w:ascii="Consolas" w:hAnsi="Consolas" w:cs="Consolas"/>
                <w:b w:val="0"/>
                <w:sz w:val="19"/>
              </w:rPr>
              <w:br/>
              <w:t>Solve so that Σ PV(EMI_t at r) = Principal</w:t>
            </w:r>
          </w:p>
        </w:tc>
      </w:tr>
    </w:tbl>
    <w:p/>
    <w:p>
      <w:r>
        <w:rPr>
          <w:rFonts w:ascii="Arial" w:hAnsi="Arial" w:cs="Arial"/>
          <w:b w:val="0"/>
          <w:i w:val="0"/>
          <w:sz w:val="22"/>
        </w:rPr>
        <w:t>Example: a ₹10,00,000 · 10% · 120m loan with 5% annual step-up starts materially below the level EMI and rises yearly; the engine sizes the first-year EMI so discounted cash flows equal principal. Used in Education (3.21) and Affordable Housing (3.18).</w:t>
      </w:r>
    </w:p>
    <w:p>
      <w:pPr>
        <w:pStyle w:val="Heading3"/>
      </w:pPr>
      <w:r>
        <w:t>45.3.9 Balloon / Bullet</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Amortise (P − Balloon) as EMI; Balloon amount due as a lump sum at maturity</w:t>
            </w:r>
          </w:p>
        </w:tc>
      </w:tr>
    </w:tbl>
    <w:p/>
    <w:p>
      <w:r>
        <w:rPr>
          <w:rFonts w:ascii="Arial" w:hAnsi="Arial" w:cs="Arial"/>
          <w:b w:val="0"/>
          <w:i w:val="0"/>
          <w:sz w:val="22"/>
        </w:rPr>
        <w:t>Example: ₹10,00,000 · 12% · 60m with a 30% balloon → EMI on the amortising 70% ≈ ₹15,571.11 plus a ₹300,000 bullet at maturity. Common in CV/CE (3.16) and Equipment (3.14).</w:t>
      </w:r>
    </w:p>
    <w:p>
      <w:pPr>
        <w:pStyle w:val="Heading3"/>
      </w:pPr>
      <w:r>
        <w:t>45.3.10 Advance vs Arrears EMI</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Arrears (default): first EMI one period after disbursement</w:t>
            </w:r>
            <w:r>
              <w:rPr>
                <w:rFonts w:ascii="Consolas" w:hAnsi="Consolas" w:cs="Consolas"/>
                <w:b w:val="0"/>
                <w:sz w:val="19"/>
              </w:rPr>
              <w:br/>
              <w:t>Advance (annuity-due): EMI_advance = EMI_arrears / (1 + r)   [first EMI at disbursement]</w:t>
            </w:r>
          </w:p>
        </w:tc>
      </w:tr>
    </w:tbl>
    <w:p/>
    <w:p>
      <w:r>
        <w:rPr>
          <w:rFonts w:ascii="Arial" w:hAnsi="Arial" w:cs="Arial"/>
          <w:b w:val="0"/>
          <w:i w:val="0"/>
          <w:sz w:val="22"/>
        </w:rPr>
        <w:t>Example: the ₹5,00,000·14%·36m loan has an arrears EMI of ₹17,088.81; the advance-EMI equivalent is ₹16,891.74. Advance EMIs are common in Vehicle/CE financing.</w:t>
      </w:r>
    </w:p>
    <w:p>
      <w:pPr>
        <w:pStyle w:val="Heading3"/>
      </w:pPr>
      <w:r>
        <w:t>45.3.11 Floating / Reset</w:t>
      </w:r>
    </w:p>
    <w:p>
      <w:r>
        <w:rPr>
          <w:rFonts w:ascii="Arial" w:hAnsi="Arial" w:cs="Arial"/>
          <w:b w:val="0"/>
          <w:i w:val="0"/>
          <w:sz w:val="22"/>
        </w:rPr>
        <w:t>On a benchmark reset (Section 5.4/6), recompute the outstanding at the reset date and re-solve either the EMI (tenure fixed) or the tenure (EMI fixed) per borrower election (Section 24.8). Every reset is effective-dated (Section 39.2) so the schedule history is auditable.</w:t>
      </w:r>
    </w:p>
    <w:p>
      <w:pPr>
        <w:pStyle w:val="Heading2"/>
      </w:pPr>
      <w:r>
        <w:t>45.4 Product ↔ Calculation-Method Matrix</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600"/>
        <w:gridCol w:w="2500"/>
        <w:gridCol w:w="2100"/>
        <w:gridCol w:w="2160"/>
      </w:tblGrid>
      <w:tr>
        <w:tc>
          <w:tcPr>
            <w:tcW w:w="2600" w:type="dxa"/>
            <w:shd w:val="clear" w:color="auto" w:fill="1F4E78"/>
          </w:tcPr>
          <w:p>
            <w:pPr>
              <w:spacing w:after="0" w:before="0"/>
            </w:pPr>
            <w:r/>
            <w:r>
              <w:rPr>
                <w:rFonts w:ascii="Arial" w:hAnsi="Arial" w:cs="Arial"/>
                <w:b/>
                <w:color w:val="FFFFFF"/>
                <w:sz w:val="17"/>
              </w:rPr>
              <w:t>Product (Section 3)</w:t>
            </w:r>
          </w:p>
        </w:tc>
        <w:tc>
          <w:tcPr>
            <w:tcW w:w="2500" w:type="dxa"/>
            <w:shd w:val="clear" w:color="auto" w:fill="1F4E78"/>
          </w:tcPr>
          <w:p>
            <w:pPr>
              <w:spacing w:after="0" w:before="0"/>
            </w:pPr>
            <w:r/>
            <w:r>
              <w:rPr>
                <w:rFonts w:ascii="Arial" w:hAnsi="Arial" w:cs="Arial"/>
                <w:b/>
                <w:color w:val="FFFFFF"/>
                <w:sz w:val="17"/>
              </w:rPr>
              <w:t>Interest method</w:t>
            </w:r>
          </w:p>
        </w:tc>
        <w:tc>
          <w:tcPr>
            <w:tcW w:w="2100" w:type="dxa"/>
            <w:shd w:val="clear" w:color="auto" w:fill="1F4E78"/>
          </w:tcPr>
          <w:p>
            <w:pPr>
              <w:spacing w:after="0" w:before="0"/>
            </w:pPr>
            <w:r/>
            <w:r>
              <w:rPr>
                <w:rFonts w:ascii="Arial" w:hAnsi="Arial" w:cs="Arial"/>
                <w:b/>
                <w:color w:val="FFFFFF"/>
                <w:sz w:val="17"/>
              </w:rPr>
              <w:t>Charges</w:t>
            </w:r>
          </w:p>
        </w:tc>
        <w:tc>
          <w:tcPr>
            <w:tcW w:w="2160" w:type="dxa"/>
            <w:shd w:val="clear" w:color="auto" w:fill="1F4E78"/>
          </w:tcPr>
          <w:p>
            <w:pPr>
              <w:spacing w:after="0" w:before="0"/>
            </w:pPr>
            <w:r/>
            <w:r>
              <w:rPr>
                <w:rFonts w:ascii="Arial" w:hAnsi="Arial" w:cs="Arial"/>
                <w:b/>
                <w:color w:val="FFFFFF"/>
                <w:sz w:val="17"/>
              </w:rPr>
              <w:t>Penalty</w:t>
            </w:r>
          </w:p>
        </w:tc>
      </w:tr>
      <w:tr>
        <w:tc>
          <w:tcPr>
            <w:tcW w:w="2600" w:type="dxa"/>
          </w:tcPr>
          <w:p>
            <w:pPr>
              <w:spacing w:after="0" w:before="0"/>
            </w:pPr>
            <w:r/>
            <w:r>
              <w:rPr>
                <w:rFonts w:ascii="Arial" w:hAnsi="Arial" w:cs="Arial"/>
                <w:b w:val="0"/>
                <w:sz w:val="17"/>
              </w:rPr>
              <w:t>LAP / Housing / Affordable</w:t>
            </w:r>
          </w:p>
        </w:tc>
        <w:tc>
          <w:tcPr>
            <w:tcW w:w="2500" w:type="dxa"/>
          </w:tcPr>
          <w:p>
            <w:pPr>
              <w:spacing w:after="0" w:before="0"/>
            </w:pPr>
            <w:r/>
            <w:r>
              <w:rPr>
                <w:rFonts w:ascii="Arial" w:hAnsi="Arial" w:cs="Arial"/>
                <w:b w:val="0"/>
                <w:sz w:val="17"/>
              </w:rPr>
              <w:t>Reducing balance, monthly rest (EMI)</w:t>
            </w:r>
          </w:p>
        </w:tc>
        <w:tc>
          <w:tcPr>
            <w:tcW w:w="2100" w:type="dxa"/>
          </w:tcPr>
          <w:p>
            <w:pPr>
              <w:spacing w:after="0" w:before="0"/>
            </w:pPr>
            <w:r/>
            <w:r>
              <w:rPr>
                <w:rFonts w:ascii="Arial" w:hAnsi="Arial" w:cs="Arial"/>
                <w:b w:val="0"/>
                <w:sz w:val="17"/>
              </w:rPr>
              <w:t>Processing, foreclosure, legal/valuation, CERSAI</w:t>
            </w:r>
          </w:p>
        </w:tc>
        <w:tc>
          <w:tcPr>
            <w:tcW w:w="2160" w:type="dxa"/>
          </w:tcPr>
          <w:p>
            <w:pPr>
              <w:spacing w:after="0" w:before="0"/>
            </w:pPr>
            <w:r/>
            <w:r>
              <w:rPr>
                <w:rFonts w:ascii="Arial" w:hAnsi="Arial" w:cs="Arial"/>
                <w:b w:val="0"/>
                <w:sz w:val="17"/>
              </w:rPr>
              <w:t>Penal charge on overdue EMI</w:t>
            </w:r>
          </w:p>
        </w:tc>
      </w:tr>
      <w:tr>
        <w:tc>
          <w:tcPr>
            <w:tcW w:w="2600" w:type="dxa"/>
          </w:tcPr>
          <w:p>
            <w:pPr>
              <w:spacing w:after="0" w:before="0"/>
            </w:pPr>
            <w:r/>
            <w:r>
              <w:rPr>
                <w:rFonts w:ascii="Arial" w:hAnsi="Arial" w:cs="Arial"/>
                <w:b w:val="0"/>
                <w:sz w:val="17"/>
              </w:rPr>
              <w:t>Personal / Business (unsecured)</w:t>
            </w:r>
          </w:p>
        </w:tc>
        <w:tc>
          <w:tcPr>
            <w:tcW w:w="2500" w:type="dxa"/>
          </w:tcPr>
          <w:p>
            <w:pPr>
              <w:spacing w:after="0" w:before="0"/>
            </w:pPr>
            <w:r/>
            <w:r>
              <w:rPr>
                <w:rFonts w:ascii="Arial" w:hAnsi="Arial" w:cs="Arial"/>
                <w:b w:val="0"/>
                <w:sz w:val="17"/>
              </w:rPr>
              <w:t>Amortised EMI</w:t>
            </w:r>
          </w:p>
        </w:tc>
        <w:tc>
          <w:tcPr>
            <w:tcW w:w="2100" w:type="dxa"/>
          </w:tcPr>
          <w:p>
            <w:pPr>
              <w:spacing w:after="0" w:before="0"/>
            </w:pPr>
            <w:r/>
            <w:r>
              <w:rPr>
                <w:rFonts w:ascii="Arial" w:hAnsi="Arial" w:cs="Arial"/>
                <w:b w:val="0"/>
                <w:sz w:val="17"/>
              </w:rPr>
              <w:t>Processing, foreclosure</w:t>
            </w:r>
          </w:p>
        </w:tc>
        <w:tc>
          <w:tcPr>
            <w:tcW w:w="2160" w:type="dxa"/>
          </w:tcPr>
          <w:p>
            <w:pPr>
              <w:spacing w:after="0" w:before="0"/>
            </w:pPr>
            <w:r/>
            <w:r>
              <w:rPr>
                <w:rFonts w:ascii="Arial" w:hAnsi="Arial" w:cs="Arial"/>
                <w:b w:val="0"/>
                <w:sz w:val="17"/>
              </w:rPr>
              <w:t>Penal on overdue EMI + bounce</w:t>
            </w:r>
          </w:p>
        </w:tc>
      </w:tr>
      <w:tr>
        <w:tc>
          <w:tcPr>
            <w:tcW w:w="2600" w:type="dxa"/>
          </w:tcPr>
          <w:p>
            <w:pPr>
              <w:spacing w:after="0" w:before="0"/>
            </w:pPr>
            <w:r/>
            <w:r>
              <w:rPr>
                <w:rFonts w:ascii="Arial" w:hAnsi="Arial" w:cs="Arial"/>
                <w:b w:val="0"/>
                <w:sz w:val="17"/>
              </w:rPr>
              <w:t>Gold Loan</w:t>
            </w:r>
          </w:p>
        </w:tc>
        <w:tc>
          <w:tcPr>
            <w:tcW w:w="2500" w:type="dxa"/>
          </w:tcPr>
          <w:p>
            <w:pPr>
              <w:spacing w:after="0" w:before="0"/>
            </w:pPr>
            <w:r/>
            <w:r>
              <w:rPr>
                <w:rFonts w:ascii="Arial" w:hAnsi="Arial" w:cs="Arial"/>
                <w:b w:val="0"/>
                <w:sz w:val="17"/>
              </w:rPr>
              <w:t>Bullet simple interest / monthly-servicing / EMI</w:t>
            </w:r>
          </w:p>
        </w:tc>
        <w:tc>
          <w:tcPr>
            <w:tcW w:w="2100" w:type="dxa"/>
          </w:tcPr>
          <w:p>
            <w:pPr>
              <w:spacing w:after="0" w:before="0"/>
            </w:pPr>
            <w:r/>
            <w:r>
              <w:rPr>
                <w:rFonts w:ascii="Arial" w:hAnsi="Arial" w:cs="Arial"/>
                <w:b w:val="0"/>
                <w:sz w:val="17"/>
              </w:rPr>
              <w:t>Processing, valuation, auction</w:t>
            </w:r>
          </w:p>
        </w:tc>
        <w:tc>
          <w:tcPr>
            <w:tcW w:w="2160" w:type="dxa"/>
          </w:tcPr>
          <w:p>
            <w:pPr>
              <w:spacing w:after="0" w:before="0"/>
            </w:pPr>
            <w:r/>
            <w:r>
              <w:rPr>
                <w:rFonts w:ascii="Arial" w:hAnsi="Arial" w:cs="Arial"/>
                <w:b w:val="0"/>
                <w:sz w:val="17"/>
              </w:rPr>
              <w:t>Penal on overdue; auction</w:t>
            </w:r>
          </w:p>
        </w:tc>
      </w:tr>
      <w:tr>
        <w:tc>
          <w:tcPr>
            <w:tcW w:w="2600" w:type="dxa"/>
          </w:tcPr>
          <w:p>
            <w:pPr>
              <w:spacing w:after="0" w:before="0"/>
            </w:pPr>
            <w:r/>
            <w:r>
              <w:rPr>
                <w:rFonts w:ascii="Arial" w:hAnsi="Arial" w:cs="Arial"/>
                <w:b w:val="0"/>
                <w:sz w:val="17"/>
              </w:rPr>
              <w:t>LAS / Smart Credit Line</w:t>
            </w:r>
          </w:p>
        </w:tc>
        <w:tc>
          <w:tcPr>
            <w:tcW w:w="2500" w:type="dxa"/>
          </w:tcPr>
          <w:p>
            <w:pPr>
              <w:spacing w:after="0" w:before="0"/>
            </w:pPr>
            <w:r/>
            <w:r>
              <w:rPr>
                <w:rFonts w:ascii="Arial" w:hAnsi="Arial" w:cs="Arial"/>
                <w:b w:val="0"/>
                <w:sz w:val="17"/>
              </w:rPr>
              <w:t>Daily reducing on utilised balance</w:t>
            </w:r>
          </w:p>
        </w:tc>
        <w:tc>
          <w:tcPr>
            <w:tcW w:w="2100" w:type="dxa"/>
          </w:tcPr>
          <w:p>
            <w:pPr>
              <w:spacing w:after="0" w:before="0"/>
            </w:pPr>
            <w:r/>
            <w:r>
              <w:rPr>
                <w:rFonts w:ascii="Arial" w:hAnsi="Arial" w:cs="Arial"/>
                <w:b w:val="0"/>
                <w:sz w:val="17"/>
              </w:rPr>
              <w:t>Renewal/AMC, processing</w:t>
            </w:r>
          </w:p>
        </w:tc>
        <w:tc>
          <w:tcPr>
            <w:tcW w:w="2160" w:type="dxa"/>
          </w:tcPr>
          <w:p>
            <w:pPr>
              <w:spacing w:after="0" w:before="0"/>
            </w:pPr>
            <w:r/>
            <w:r>
              <w:rPr>
                <w:rFonts w:ascii="Arial" w:hAnsi="Arial" w:cs="Arial"/>
                <w:b w:val="0"/>
                <w:sz w:val="17"/>
              </w:rPr>
              <w:t>Penal on overshoot; margin call</w:t>
            </w:r>
          </w:p>
        </w:tc>
      </w:tr>
      <w:tr>
        <w:tc>
          <w:tcPr>
            <w:tcW w:w="2600" w:type="dxa"/>
          </w:tcPr>
          <w:p>
            <w:pPr>
              <w:spacing w:after="0" w:before="0"/>
            </w:pPr>
            <w:r/>
            <w:r>
              <w:rPr>
                <w:rFonts w:ascii="Arial" w:hAnsi="Arial" w:cs="Arial"/>
                <w:b w:val="0"/>
                <w:sz w:val="17"/>
              </w:rPr>
              <w:t>Vehicle / CV-CE / Tractor / EV</w:t>
            </w:r>
          </w:p>
        </w:tc>
        <w:tc>
          <w:tcPr>
            <w:tcW w:w="2500" w:type="dxa"/>
          </w:tcPr>
          <w:p>
            <w:pPr>
              <w:spacing w:after="0" w:before="0"/>
            </w:pPr>
            <w:r/>
            <w:r>
              <w:rPr>
                <w:rFonts w:ascii="Arial" w:hAnsi="Arial" w:cs="Arial"/>
                <w:b w:val="0"/>
                <w:sz w:val="17"/>
              </w:rPr>
              <w:t>Amortised EMI (often advance EMI)</w:t>
            </w:r>
          </w:p>
        </w:tc>
        <w:tc>
          <w:tcPr>
            <w:tcW w:w="2100" w:type="dxa"/>
          </w:tcPr>
          <w:p>
            <w:pPr>
              <w:spacing w:after="0" w:before="0"/>
            </w:pPr>
            <w:r/>
            <w:r>
              <w:rPr>
                <w:rFonts w:ascii="Arial" w:hAnsi="Arial" w:cs="Arial"/>
                <w:b w:val="0"/>
                <w:sz w:val="17"/>
              </w:rPr>
              <w:t>Processing, RTO/hypothecation</w:t>
            </w:r>
          </w:p>
        </w:tc>
        <w:tc>
          <w:tcPr>
            <w:tcW w:w="2160" w:type="dxa"/>
          </w:tcPr>
          <w:p>
            <w:pPr>
              <w:spacing w:after="0" w:before="0"/>
            </w:pPr>
            <w:r/>
            <w:r>
              <w:rPr>
                <w:rFonts w:ascii="Arial" w:hAnsi="Arial" w:cs="Arial"/>
                <w:b w:val="0"/>
                <w:sz w:val="17"/>
              </w:rPr>
              <w:t>Penal on overdue EMI + bounce</w:t>
            </w:r>
          </w:p>
        </w:tc>
      </w:tr>
      <w:tr>
        <w:tc>
          <w:tcPr>
            <w:tcW w:w="2600" w:type="dxa"/>
          </w:tcPr>
          <w:p>
            <w:pPr>
              <w:spacing w:after="0" w:before="0"/>
            </w:pPr>
            <w:r/>
            <w:r>
              <w:rPr>
                <w:rFonts w:ascii="Arial" w:hAnsi="Arial" w:cs="Arial"/>
                <w:b w:val="0"/>
                <w:sz w:val="17"/>
              </w:rPr>
              <w:t>Bill/Cheque Discounting · TReDS · Factoring</w:t>
            </w:r>
          </w:p>
        </w:tc>
        <w:tc>
          <w:tcPr>
            <w:tcW w:w="2500" w:type="dxa"/>
          </w:tcPr>
          <w:p>
            <w:pPr>
              <w:spacing w:after="0" w:before="0"/>
            </w:pPr>
            <w:r/>
            <w:r>
              <w:rPr>
                <w:rFonts w:ascii="Arial" w:hAnsi="Arial" w:cs="Arial"/>
                <w:b w:val="0"/>
                <w:sz w:val="17"/>
              </w:rPr>
              <w:t>Front-end discount</w:t>
            </w:r>
          </w:p>
        </w:tc>
        <w:tc>
          <w:tcPr>
            <w:tcW w:w="2100" w:type="dxa"/>
          </w:tcPr>
          <w:p>
            <w:pPr>
              <w:spacing w:after="0" w:before="0"/>
            </w:pPr>
            <w:r/>
            <w:r>
              <w:rPr>
                <w:rFonts w:ascii="Arial" w:hAnsi="Arial" w:cs="Arial"/>
                <w:b w:val="0"/>
                <w:sz w:val="17"/>
              </w:rPr>
              <w:t>Discount/factoring charge</w:t>
            </w:r>
          </w:p>
        </w:tc>
        <w:tc>
          <w:tcPr>
            <w:tcW w:w="2160" w:type="dxa"/>
          </w:tcPr>
          <w:p>
            <w:pPr>
              <w:spacing w:after="0" w:before="0"/>
            </w:pPr>
            <w:r/>
            <w:r>
              <w:rPr>
                <w:rFonts w:ascii="Arial" w:hAnsi="Arial" w:cs="Arial"/>
                <w:b w:val="0"/>
                <w:sz w:val="17"/>
              </w:rPr>
              <w:t>Sec.138 workflow on dishonour</w:t>
            </w:r>
          </w:p>
        </w:tc>
      </w:tr>
      <w:tr>
        <w:tc>
          <w:tcPr>
            <w:tcW w:w="2600" w:type="dxa"/>
          </w:tcPr>
          <w:p>
            <w:pPr>
              <w:spacing w:after="0" w:before="0"/>
            </w:pPr>
            <w:r/>
            <w:r>
              <w:rPr>
                <w:rFonts w:ascii="Arial" w:hAnsi="Arial" w:cs="Arial"/>
                <w:b w:val="0"/>
                <w:sz w:val="17"/>
              </w:rPr>
              <w:t>Supply Chain Finance</w:t>
            </w:r>
          </w:p>
        </w:tc>
        <w:tc>
          <w:tcPr>
            <w:tcW w:w="2500" w:type="dxa"/>
          </w:tcPr>
          <w:p>
            <w:pPr>
              <w:spacing w:after="0" w:before="0"/>
            </w:pPr>
            <w:r/>
            <w:r>
              <w:rPr>
                <w:rFonts w:ascii="Arial" w:hAnsi="Arial" w:cs="Arial"/>
                <w:b w:val="0"/>
                <w:sz w:val="17"/>
              </w:rPr>
              <w:t>Discount / reducing on drawn</w:t>
            </w:r>
          </w:p>
        </w:tc>
        <w:tc>
          <w:tcPr>
            <w:tcW w:w="2100" w:type="dxa"/>
          </w:tcPr>
          <w:p>
            <w:pPr>
              <w:spacing w:after="0" w:before="0"/>
            </w:pPr>
            <w:r/>
            <w:r>
              <w:rPr>
                <w:rFonts w:ascii="Arial" w:hAnsi="Arial" w:cs="Arial"/>
                <w:b w:val="0"/>
                <w:sz w:val="17"/>
              </w:rPr>
              <w:t>Program/processing</w:t>
            </w:r>
          </w:p>
        </w:tc>
        <w:tc>
          <w:tcPr>
            <w:tcW w:w="2160" w:type="dxa"/>
          </w:tcPr>
          <w:p>
            <w:pPr>
              <w:spacing w:after="0" w:before="0"/>
            </w:pPr>
            <w:r/>
            <w:r>
              <w:rPr>
                <w:rFonts w:ascii="Arial" w:hAnsi="Arial" w:cs="Arial"/>
                <w:b w:val="0"/>
                <w:sz w:val="17"/>
              </w:rPr>
              <w:t>Penal on overdue invoice</w:t>
            </w:r>
          </w:p>
        </w:tc>
      </w:tr>
      <w:tr>
        <w:tc>
          <w:tcPr>
            <w:tcW w:w="2600" w:type="dxa"/>
          </w:tcPr>
          <w:p>
            <w:pPr>
              <w:spacing w:after="0" w:before="0"/>
            </w:pPr>
            <w:r/>
            <w:r>
              <w:rPr>
                <w:rFonts w:ascii="Arial" w:hAnsi="Arial" w:cs="Arial"/>
                <w:b w:val="0"/>
                <w:sz w:val="17"/>
              </w:rPr>
              <w:t>Microfinance (JLG/SHG)</w:t>
            </w:r>
          </w:p>
        </w:tc>
        <w:tc>
          <w:tcPr>
            <w:tcW w:w="2500" w:type="dxa"/>
          </w:tcPr>
          <w:p>
            <w:pPr>
              <w:spacing w:after="0" w:before="0"/>
            </w:pPr>
            <w:r/>
            <w:r>
              <w:rPr>
                <w:rFonts w:ascii="Arial" w:hAnsi="Arial" w:cs="Arial"/>
                <w:b w:val="0"/>
                <w:sz w:val="17"/>
              </w:rPr>
              <w:t>Reducing balance (weekly/fortnightly rest)</w:t>
            </w:r>
          </w:p>
        </w:tc>
        <w:tc>
          <w:tcPr>
            <w:tcW w:w="2100" w:type="dxa"/>
          </w:tcPr>
          <w:p>
            <w:pPr>
              <w:spacing w:after="0" w:before="0"/>
            </w:pPr>
            <w:r/>
            <w:r>
              <w:rPr>
                <w:rFonts w:ascii="Arial" w:hAnsi="Arial" w:cs="Arial"/>
                <w:b w:val="0"/>
                <w:sz w:val="17"/>
              </w:rPr>
              <w:t>Processing (capped)</w:t>
            </w:r>
          </w:p>
        </w:tc>
        <w:tc>
          <w:tcPr>
            <w:tcW w:w="2160" w:type="dxa"/>
          </w:tcPr>
          <w:p>
            <w:pPr>
              <w:spacing w:after="0" w:before="0"/>
            </w:pPr>
            <w:r/>
            <w:r>
              <w:rPr>
                <w:rFonts w:ascii="Arial" w:hAnsi="Arial" w:cs="Arial"/>
                <w:b w:val="0"/>
                <w:sz w:val="17"/>
              </w:rPr>
              <w:t>Per RBI MFI norms</w:t>
            </w:r>
          </w:p>
        </w:tc>
      </w:tr>
      <w:tr>
        <w:tc>
          <w:tcPr>
            <w:tcW w:w="2600" w:type="dxa"/>
          </w:tcPr>
          <w:p>
            <w:pPr>
              <w:spacing w:after="0" w:before="0"/>
            </w:pPr>
            <w:r/>
            <w:r>
              <w:rPr>
                <w:rFonts w:ascii="Arial" w:hAnsi="Arial" w:cs="Arial"/>
                <w:b w:val="0"/>
                <w:sz w:val="17"/>
              </w:rPr>
              <w:t>Education</w:t>
            </w:r>
          </w:p>
        </w:tc>
        <w:tc>
          <w:tcPr>
            <w:tcW w:w="2500" w:type="dxa"/>
          </w:tcPr>
          <w:p>
            <w:pPr>
              <w:spacing w:after="0" w:before="0"/>
            </w:pPr>
            <w:r/>
            <w:r>
              <w:rPr>
                <w:rFonts w:ascii="Arial" w:hAnsi="Arial" w:cs="Arial"/>
                <w:b w:val="0"/>
                <w:sz w:val="17"/>
              </w:rPr>
              <w:t>Step-up EMI, moratorium + capitalisation</w:t>
            </w:r>
          </w:p>
        </w:tc>
        <w:tc>
          <w:tcPr>
            <w:tcW w:w="2100" w:type="dxa"/>
          </w:tcPr>
          <w:p>
            <w:pPr>
              <w:spacing w:after="0" w:before="0"/>
            </w:pPr>
            <w:r/>
            <w:r>
              <w:rPr>
                <w:rFonts w:ascii="Arial" w:hAnsi="Arial" w:cs="Arial"/>
                <w:b w:val="0"/>
                <w:sz w:val="17"/>
              </w:rPr>
              <w:t>Processing</w:t>
            </w:r>
          </w:p>
        </w:tc>
        <w:tc>
          <w:tcPr>
            <w:tcW w:w="2160" w:type="dxa"/>
          </w:tcPr>
          <w:p>
            <w:pPr>
              <w:spacing w:after="0" w:before="0"/>
            </w:pPr>
            <w:r/>
            <w:r>
              <w:rPr>
                <w:rFonts w:ascii="Arial" w:hAnsi="Arial" w:cs="Arial"/>
                <w:b w:val="0"/>
                <w:sz w:val="17"/>
              </w:rPr>
              <w:t>Penal post-moratorium</w:t>
            </w:r>
          </w:p>
        </w:tc>
      </w:tr>
      <w:tr>
        <w:tc>
          <w:tcPr>
            <w:tcW w:w="2600" w:type="dxa"/>
          </w:tcPr>
          <w:p>
            <w:pPr>
              <w:spacing w:after="0" w:before="0"/>
            </w:pPr>
            <w:r/>
            <w:r>
              <w:rPr>
                <w:rFonts w:ascii="Arial" w:hAnsi="Arial" w:cs="Arial"/>
                <w:b w:val="0"/>
                <w:sz w:val="17"/>
              </w:rPr>
              <w:t>Working Capital / CC / OD</w:t>
            </w:r>
          </w:p>
        </w:tc>
        <w:tc>
          <w:tcPr>
            <w:tcW w:w="2500" w:type="dxa"/>
          </w:tcPr>
          <w:p>
            <w:pPr>
              <w:spacing w:after="0" w:before="0"/>
            </w:pPr>
            <w:r/>
            <w:r>
              <w:rPr>
                <w:rFonts w:ascii="Arial" w:hAnsi="Arial" w:cs="Arial"/>
                <w:b w:val="0"/>
                <w:sz w:val="17"/>
              </w:rPr>
              <w:t>Daily reducing on utilised (Drawing Power)</w:t>
            </w:r>
          </w:p>
        </w:tc>
        <w:tc>
          <w:tcPr>
            <w:tcW w:w="2100" w:type="dxa"/>
          </w:tcPr>
          <w:p>
            <w:pPr>
              <w:spacing w:after="0" w:before="0"/>
            </w:pPr>
            <w:r/>
            <w:r>
              <w:rPr>
                <w:rFonts w:ascii="Arial" w:hAnsi="Arial" w:cs="Arial"/>
                <w:b w:val="0"/>
                <w:sz w:val="17"/>
              </w:rPr>
              <w:t>Renewal, processing</w:t>
            </w:r>
          </w:p>
        </w:tc>
        <w:tc>
          <w:tcPr>
            <w:tcW w:w="2160" w:type="dxa"/>
          </w:tcPr>
          <w:p>
            <w:pPr>
              <w:spacing w:after="0" w:before="0"/>
            </w:pPr>
            <w:r/>
            <w:r>
              <w:rPr>
                <w:rFonts w:ascii="Arial" w:hAnsi="Arial" w:cs="Arial"/>
                <w:b w:val="0"/>
                <w:sz w:val="17"/>
              </w:rPr>
              <w:t>Penal on overdrawn</w:t>
            </w:r>
          </w:p>
        </w:tc>
      </w:tr>
      <w:tr>
        <w:tc>
          <w:tcPr>
            <w:tcW w:w="2600" w:type="dxa"/>
          </w:tcPr>
          <w:p>
            <w:pPr>
              <w:spacing w:after="0" w:before="0"/>
            </w:pPr>
            <w:r/>
            <w:r>
              <w:rPr>
                <w:rFonts w:ascii="Arial" w:hAnsi="Arial" w:cs="Arial"/>
                <w:b w:val="0"/>
                <w:sz w:val="17"/>
              </w:rPr>
              <w:t>Consumer Durable / BNPL / POS</w:t>
            </w:r>
          </w:p>
        </w:tc>
        <w:tc>
          <w:tcPr>
            <w:tcW w:w="2500" w:type="dxa"/>
          </w:tcPr>
          <w:p>
            <w:pPr>
              <w:spacing w:after="0" w:before="0"/>
            </w:pPr>
            <w:r/>
            <w:r>
              <w:rPr>
                <w:rFonts w:ascii="Arial" w:hAnsi="Arial" w:cs="Arial"/>
                <w:b w:val="0"/>
                <w:sz w:val="17"/>
              </w:rPr>
              <w:t>Amortised EMI / no-cost-EMI subvention</w:t>
            </w:r>
          </w:p>
        </w:tc>
        <w:tc>
          <w:tcPr>
            <w:tcW w:w="2100" w:type="dxa"/>
          </w:tcPr>
          <w:p>
            <w:pPr>
              <w:spacing w:after="0" w:before="0"/>
            </w:pPr>
            <w:r/>
            <w:r>
              <w:rPr>
                <w:rFonts w:ascii="Arial" w:hAnsi="Arial" w:cs="Arial"/>
                <w:b w:val="0"/>
                <w:sz w:val="17"/>
              </w:rPr>
              <w:t>Processing/late fee</w:t>
            </w:r>
          </w:p>
        </w:tc>
        <w:tc>
          <w:tcPr>
            <w:tcW w:w="2160" w:type="dxa"/>
          </w:tcPr>
          <w:p>
            <w:pPr>
              <w:spacing w:after="0" w:before="0"/>
            </w:pPr>
            <w:r/>
            <w:r>
              <w:rPr>
                <w:rFonts w:ascii="Arial" w:hAnsi="Arial" w:cs="Arial"/>
                <w:b w:val="0"/>
                <w:sz w:val="17"/>
              </w:rPr>
              <w:t>Late fee per Section 24.7</w:t>
            </w:r>
          </w:p>
        </w:tc>
      </w:tr>
      <w:tr>
        <w:tc>
          <w:tcPr>
            <w:tcW w:w="2600" w:type="dxa"/>
          </w:tcPr>
          <w:p>
            <w:pPr>
              <w:spacing w:after="0" w:before="0"/>
            </w:pPr>
            <w:r/>
            <w:r>
              <w:rPr>
                <w:rFonts w:ascii="Arial" w:hAnsi="Arial" w:cs="Arial"/>
                <w:b w:val="0"/>
                <w:sz w:val="17"/>
              </w:rPr>
              <w:t>MCA / RBF</w:t>
            </w:r>
          </w:p>
        </w:tc>
        <w:tc>
          <w:tcPr>
            <w:tcW w:w="2500" w:type="dxa"/>
          </w:tcPr>
          <w:p>
            <w:pPr>
              <w:spacing w:after="0" w:before="0"/>
            </w:pPr>
            <w:r/>
            <w:r>
              <w:rPr>
                <w:rFonts w:ascii="Arial" w:hAnsi="Arial" w:cs="Arial"/>
                <w:b w:val="0"/>
                <w:sz w:val="17"/>
              </w:rPr>
              <w:t>Fixed multiple via holdback %</w:t>
            </w:r>
          </w:p>
        </w:tc>
        <w:tc>
          <w:tcPr>
            <w:tcW w:w="2100" w:type="dxa"/>
          </w:tcPr>
          <w:p>
            <w:pPr>
              <w:spacing w:after="0" w:before="0"/>
            </w:pPr>
            <w:r/>
            <w:r>
              <w:rPr>
                <w:rFonts w:ascii="Arial" w:hAnsi="Arial" w:cs="Arial"/>
                <w:b w:val="0"/>
                <w:sz w:val="17"/>
              </w:rPr>
              <w:t>Processing</w:t>
            </w:r>
          </w:p>
        </w:tc>
        <w:tc>
          <w:tcPr>
            <w:tcW w:w="2160" w:type="dxa"/>
          </w:tcPr>
          <w:p>
            <w:pPr>
              <w:spacing w:after="0" w:before="0"/>
            </w:pPr>
            <w:r/>
            <w:r>
              <w:rPr>
                <w:rFonts w:ascii="Arial" w:hAnsi="Arial" w:cs="Arial"/>
                <w:b w:val="0"/>
                <w:sz w:val="17"/>
              </w:rPr>
              <w:t>Minimum-payment fallback</w:t>
            </w:r>
          </w:p>
        </w:tc>
      </w:tr>
    </w:tbl>
    <w:p/>
    <w:p>
      <w:pPr>
        <w:pStyle w:val="Heading2"/>
      </w:pPr>
      <w:r>
        <w:t>45.5 Fees &amp; Charges Methods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100"/>
        <w:gridCol w:w="3200"/>
        <w:gridCol w:w="4060"/>
      </w:tblGrid>
      <w:tr>
        <w:tc>
          <w:tcPr>
            <w:tcW w:w="2100" w:type="dxa"/>
            <w:shd w:val="clear" w:color="auto" w:fill="1F4E78"/>
          </w:tcPr>
          <w:p>
            <w:pPr>
              <w:spacing w:after="0" w:before="0"/>
            </w:pPr>
            <w:r/>
            <w:r>
              <w:rPr>
                <w:rFonts w:ascii="Arial" w:hAnsi="Arial" w:cs="Arial"/>
                <w:b/>
                <w:color w:val="FFFFFF"/>
                <w:sz w:val="17"/>
              </w:rPr>
              <w:t>Charge</w:t>
            </w:r>
          </w:p>
        </w:tc>
        <w:tc>
          <w:tcPr>
            <w:tcW w:w="3200" w:type="dxa"/>
            <w:shd w:val="clear" w:color="auto" w:fill="1F4E78"/>
          </w:tcPr>
          <w:p>
            <w:pPr>
              <w:spacing w:after="0" w:before="0"/>
            </w:pPr>
            <w:r/>
            <w:r>
              <w:rPr>
                <w:rFonts w:ascii="Arial" w:hAnsi="Arial" w:cs="Arial"/>
                <w:b/>
                <w:color w:val="FFFFFF"/>
                <w:sz w:val="17"/>
              </w:rPr>
              <w:t>Method</w:t>
            </w:r>
          </w:p>
        </w:tc>
        <w:tc>
          <w:tcPr>
            <w:tcW w:w="4060" w:type="dxa"/>
            <w:shd w:val="clear" w:color="auto" w:fill="1F4E78"/>
          </w:tcPr>
          <w:p>
            <w:pPr>
              <w:spacing w:after="0" w:before="0"/>
            </w:pPr>
            <w:r/>
            <w:r>
              <w:rPr>
                <w:rFonts w:ascii="Arial" w:hAnsi="Arial" w:cs="Arial"/>
                <w:b/>
                <w:color w:val="FFFFFF"/>
                <w:sz w:val="17"/>
              </w:rPr>
              <w:t>Worked example</w:t>
            </w:r>
          </w:p>
        </w:tc>
      </w:tr>
      <w:tr>
        <w:tc>
          <w:tcPr>
            <w:tcW w:w="2100" w:type="dxa"/>
          </w:tcPr>
          <w:p>
            <w:pPr>
              <w:spacing w:after="0" w:before="0"/>
            </w:pPr>
            <w:r/>
            <w:r>
              <w:rPr>
                <w:rFonts w:ascii="Arial" w:hAnsi="Arial" w:cs="Arial"/>
                <w:b w:val="0"/>
                <w:sz w:val="17"/>
              </w:rPr>
              <w:t>Processing fee</w:t>
            </w:r>
          </w:p>
        </w:tc>
        <w:tc>
          <w:tcPr>
            <w:tcW w:w="3200" w:type="dxa"/>
          </w:tcPr>
          <w:p>
            <w:pPr>
              <w:spacing w:after="0" w:before="0"/>
            </w:pPr>
            <w:r/>
            <w:r>
              <w:rPr>
                <w:rFonts w:ascii="Arial" w:hAnsi="Arial" w:cs="Arial"/>
                <w:b w:val="0"/>
                <w:sz w:val="17"/>
              </w:rPr>
              <w:t>% of sanctioned amount (or flat), + GST 18%</w:t>
            </w:r>
          </w:p>
        </w:tc>
        <w:tc>
          <w:tcPr>
            <w:tcW w:w="4060" w:type="dxa"/>
          </w:tcPr>
          <w:p>
            <w:pPr>
              <w:spacing w:after="0" w:before="0"/>
            </w:pPr>
            <w:r/>
            <w:r>
              <w:rPr>
                <w:rFonts w:ascii="Arial" w:hAnsi="Arial" w:cs="Arial"/>
                <w:b w:val="0"/>
                <w:sz w:val="17"/>
              </w:rPr>
              <w:t>₹5,00,000 × 1% = ₹5,000 + ₹900 GST = ₹5,900</w:t>
            </w:r>
          </w:p>
        </w:tc>
      </w:tr>
      <w:tr>
        <w:tc>
          <w:tcPr>
            <w:tcW w:w="2100" w:type="dxa"/>
          </w:tcPr>
          <w:p>
            <w:pPr>
              <w:spacing w:after="0" w:before="0"/>
            </w:pPr>
            <w:r/>
            <w:r>
              <w:rPr>
                <w:rFonts w:ascii="Arial" w:hAnsi="Arial" w:cs="Arial"/>
                <w:b w:val="0"/>
                <w:sz w:val="17"/>
              </w:rPr>
              <w:t>Foreclosure / prepayment</w:t>
            </w:r>
          </w:p>
        </w:tc>
        <w:tc>
          <w:tcPr>
            <w:tcW w:w="3200" w:type="dxa"/>
          </w:tcPr>
          <w:p>
            <w:pPr>
              <w:spacing w:after="0" w:before="0"/>
            </w:pPr>
            <w:r/>
            <w:r>
              <w:rPr>
                <w:rFonts w:ascii="Arial" w:hAnsi="Arial" w:cs="Arial"/>
                <w:b w:val="0"/>
                <w:sz w:val="17"/>
              </w:rPr>
              <w:t>% of outstanding principal</w:t>
            </w:r>
          </w:p>
        </w:tc>
        <w:tc>
          <w:tcPr>
            <w:tcW w:w="4060" w:type="dxa"/>
          </w:tcPr>
          <w:p>
            <w:pPr>
              <w:spacing w:after="0" w:before="0"/>
            </w:pPr>
            <w:r/>
            <w:r>
              <w:rPr>
                <w:rFonts w:ascii="Arial" w:hAnsi="Arial" w:cs="Arial"/>
                <w:b w:val="0"/>
                <w:sz w:val="17"/>
              </w:rPr>
              <w:t>Outstanding ₹3,55,921.50 × 4% = ₹14,236.86 (Section 24.9)</w:t>
            </w:r>
          </w:p>
        </w:tc>
      </w:tr>
      <w:tr>
        <w:tc>
          <w:tcPr>
            <w:tcW w:w="2100" w:type="dxa"/>
          </w:tcPr>
          <w:p>
            <w:pPr>
              <w:spacing w:after="0" w:before="0"/>
            </w:pPr>
            <w:r/>
            <w:r>
              <w:rPr>
                <w:rFonts w:ascii="Arial" w:hAnsi="Arial" w:cs="Arial"/>
                <w:b w:val="0"/>
                <w:sz w:val="17"/>
              </w:rPr>
              <w:t>Part-payment charge</w:t>
            </w:r>
          </w:p>
        </w:tc>
        <w:tc>
          <w:tcPr>
            <w:tcW w:w="3200" w:type="dxa"/>
          </w:tcPr>
          <w:p>
            <w:pPr>
              <w:spacing w:after="0" w:before="0"/>
            </w:pPr>
            <w:r/>
            <w:r>
              <w:rPr>
                <w:rFonts w:ascii="Arial" w:hAnsi="Arial" w:cs="Arial"/>
                <w:b w:val="0"/>
                <w:sz w:val="17"/>
              </w:rPr>
              <w:t>% of amount prepaid (often nil for floating-rate individuals)</w:t>
            </w:r>
          </w:p>
        </w:tc>
        <w:tc>
          <w:tcPr>
            <w:tcW w:w="4060" w:type="dxa"/>
          </w:tcPr>
          <w:p>
            <w:pPr>
              <w:spacing w:after="0" w:before="0"/>
            </w:pPr>
            <w:r/>
            <w:r>
              <w:rPr>
                <w:rFonts w:ascii="Arial" w:hAnsi="Arial" w:cs="Arial"/>
                <w:b w:val="0"/>
                <w:sz w:val="17"/>
              </w:rPr>
              <w:t>₹1,00,000 × 2% = ₹2,000</w:t>
            </w:r>
          </w:p>
        </w:tc>
      </w:tr>
      <w:tr>
        <w:tc>
          <w:tcPr>
            <w:tcW w:w="2100" w:type="dxa"/>
          </w:tcPr>
          <w:p>
            <w:pPr>
              <w:spacing w:after="0" w:before="0"/>
            </w:pPr>
            <w:r/>
            <w:r>
              <w:rPr>
                <w:rFonts w:ascii="Arial" w:hAnsi="Arial" w:cs="Arial"/>
                <w:b w:val="0"/>
                <w:sz w:val="17"/>
              </w:rPr>
              <w:t>Bounce / mandate failure</w:t>
            </w:r>
          </w:p>
        </w:tc>
        <w:tc>
          <w:tcPr>
            <w:tcW w:w="3200" w:type="dxa"/>
          </w:tcPr>
          <w:p>
            <w:pPr>
              <w:spacing w:after="0" w:before="0"/>
            </w:pPr>
            <w:r/>
            <w:r>
              <w:rPr>
                <w:rFonts w:ascii="Arial" w:hAnsi="Arial" w:cs="Arial"/>
                <w:b w:val="0"/>
                <w:sz w:val="17"/>
              </w:rPr>
              <w:t>Flat per instance + GST</w:t>
            </w:r>
          </w:p>
        </w:tc>
        <w:tc>
          <w:tcPr>
            <w:tcW w:w="4060" w:type="dxa"/>
          </w:tcPr>
          <w:p>
            <w:pPr>
              <w:spacing w:after="0" w:before="0"/>
            </w:pPr>
            <w:r/>
            <w:r>
              <w:rPr>
                <w:rFonts w:ascii="Arial" w:hAnsi="Arial" w:cs="Arial"/>
                <w:b w:val="0"/>
                <w:sz w:val="17"/>
              </w:rPr>
              <w:t>₹500 + ₹90 GST = ₹590</w:t>
            </w:r>
          </w:p>
        </w:tc>
      </w:tr>
      <w:tr>
        <w:tc>
          <w:tcPr>
            <w:tcW w:w="2100" w:type="dxa"/>
          </w:tcPr>
          <w:p>
            <w:pPr>
              <w:spacing w:after="0" w:before="0"/>
            </w:pPr>
            <w:r/>
            <w:r>
              <w:rPr>
                <w:rFonts w:ascii="Arial" w:hAnsi="Arial" w:cs="Arial"/>
                <w:b w:val="0"/>
                <w:sz w:val="17"/>
              </w:rPr>
              <w:t>Documentation / legal / valuation</w:t>
            </w:r>
          </w:p>
        </w:tc>
        <w:tc>
          <w:tcPr>
            <w:tcW w:w="3200" w:type="dxa"/>
          </w:tcPr>
          <w:p>
            <w:pPr>
              <w:spacing w:after="0" w:before="0"/>
            </w:pPr>
            <w:r/>
            <w:r>
              <w:rPr>
                <w:rFonts w:ascii="Arial" w:hAnsi="Arial" w:cs="Arial"/>
                <w:b w:val="0"/>
                <w:sz w:val="17"/>
              </w:rPr>
              <w:t>At actuals or slab</w:t>
            </w:r>
          </w:p>
        </w:tc>
        <w:tc>
          <w:tcPr>
            <w:tcW w:w="4060" w:type="dxa"/>
          </w:tcPr>
          <w:p>
            <w:pPr>
              <w:spacing w:after="0" w:before="0"/>
            </w:pPr>
            <w:r/>
            <w:r>
              <w:rPr>
                <w:rFonts w:ascii="Arial" w:hAnsi="Arial" w:cs="Arial"/>
                <w:b w:val="0"/>
                <w:sz w:val="17"/>
              </w:rPr>
              <w:t>As per empanelled vendor (Section 21)</w:t>
            </w:r>
          </w:p>
        </w:tc>
      </w:tr>
      <w:tr>
        <w:tc>
          <w:tcPr>
            <w:tcW w:w="2100" w:type="dxa"/>
          </w:tcPr>
          <w:p>
            <w:pPr>
              <w:spacing w:after="0" w:before="0"/>
            </w:pPr>
            <w:r/>
            <w:r>
              <w:rPr>
                <w:rFonts w:ascii="Arial" w:hAnsi="Arial" w:cs="Arial"/>
                <w:b w:val="0"/>
                <w:sz w:val="17"/>
              </w:rPr>
              <w:t>Renewal / AMC (revolving)</w:t>
            </w:r>
          </w:p>
        </w:tc>
        <w:tc>
          <w:tcPr>
            <w:tcW w:w="3200" w:type="dxa"/>
          </w:tcPr>
          <w:p>
            <w:pPr>
              <w:spacing w:after="0" w:before="0"/>
            </w:pPr>
            <w:r/>
            <w:r>
              <w:rPr>
                <w:rFonts w:ascii="Arial" w:hAnsi="Arial" w:cs="Arial"/>
                <w:b w:val="0"/>
                <w:sz w:val="17"/>
              </w:rPr>
              <w:t>Flat or % of limit, annual</w:t>
            </w:r>
          </w:p>
        </w:tc>
        <w:tc>
          <w:tcPr>
            <w:tcW w:w="4060" w:type="dxa"/>
          </w:tcPr>
          <w:p>
            <w:pPr>
              <w:spacing w:after="0" w:before="0"/>
            </w:pPr>
            <w:r/>
            <w:r>
              <w:rPr>
                <w:rFonts w:ascii="Arial" w:hAnsi="Arial" w:cs="Arial"/>
                <w:b w:val="0"/>
                <w:sz w:val="17"/>
              </w:rPr>
              <w:t>₹10,00,000 limit × 0.5% = ₹5,000 p.a.</w:t>
            </w:r>
          </w:p>
        </w:tc>
      </w:tr>
      <w:tr>
        <w:tc>
          <w:tcPr>
            <w:tcW w:w="2100" w:type="dxa"/>
          </w:tcPr>
          <w:p>
            <w:pPr>
              <w:spacing w:after="0" w:before="0"/>
            </w:pPr>
            <w:r/>
            <w:r>
              <w:rPr>
                <w:rFonts w:ascii="Arial" w:hAnsi="Arial" w:cs="Arial"/>
                <w:b w:val="0"/>
                <w:sz w:val="17"/>
              </w:rPr>
              <w:t>Rate-conversion / switch fee</w:t>
            </w:r>
          </w:p>
        </w:tc>
        <w:tc>
          <w:tcPr>
            <w:tcW w:w="3200" w:type="dxa"/>
          </w:tcPr>
          <w:p>
            <w:pPr>
              <w:spacing w:after="0" w:before="0"/>
            </w:pPr>
            <w:r/>
            <w:r>
              <w:rPr>
                <w:rFonts w:ascii="Arial" w:hAnsi="Arial" w:cs="Arial"/>
                <w:b w:val="0"/>
                <w:sz w:val="17"/>
              </w:rPr>
              <w:t>% of outstanding</w:t>
            </w:r>
          </w:p>
        </w:tc>
        <w:tc>
          <w:tcPr>
            <w:tcW w:w="4060" w:type="dxa"/>
          </w:tcPr>
          <w:p>
            <w:pPr>
              <w:spacing w:after="0" w:before="0"/>
            </w:pPr>
            <w:r/>
            <w:r>
              <w:rPr>
                <w:rFonts w:ascii="Arial" w:hAnsi="Arial" w:cs="Arial"/>
                <w:b w:val="0"/>
                <w:sz w:val="17"/>
              </w:rPr>
              <w:t>On fixed↔floating switch</w:t>
            </w:r>
          </w:p>
        </w:tc>
      </w:tr>
      <w:tr>
        <w:tc>
          <w:tcPr>
            <w:tcW w:w="2100" w:type="dxa"/>
          </w:tcPr>
          <w:p>
            <w:pPr>
              <w:spacing w:after="0" w:before="0"/>
            </w:pPr>
            <w:r/>
            <w:r>
              <w:rPr>
                <w:rFonts w:ascii="Arial" w:hAnsi="Arial" w:cs="Arial"/>
                <w:b w:val="0"/>
                <w:sz w:val="17"/>
              </w:rPr>
              <w:t>CERSAI / stamp / registration</w:t>
            </w:r>
          </w:p>
        </w:tc>
        <w:tc>
          <w:tcPr>
            <w:tcW w:w="3200" w:type="dxa"/>
          </w:tcPr>
          <w:p>
            <w:pPr>
              <w:spacing w:after="0" w:before="0"/>
            </w:pPr>
            <w:r/>
            <w:r>
              <w:rPr>
                <w:rFonts w:ascii="Arial" w:hAnsi="Arial" w:cs="Arial"/>
                <w:b w:val="0"/>
                <w:sz w:val="17"/>
              </w:rPr>
              <w:t>Statutory, at actuals</w:t>
            </w:r>
          </w:p>
        </w:tc>
        <w:tc>
          <w:tcPr>
            <w:tcW w:w="4060" w:type="dxa"/>
          </w:tcPr>
          <w:p>
            <w:pPr>
              <w:spacing w:after="0" w:before="0"/>
            </w:pPr>
            <w:r/>
            <w:r>
              <w:rPr>
                <w:rFonts w:ascii="Arial" w:hAnsi="Arial" w:cs="Arial"/>
                <w:b w:val="0"/>
                <w:sz w:val="17"/>
              </w:rPr>
              <w:t>Per state stamp duty</w:t>
            </w:r>
          </w:p>
        </w:tc>
      </w:tr>
      <w:tr>
        <w:tc>
          <w:tcPr>
            <w:tcW w:w="2100" w:type="dxa"/>
          </w:tcPr>
          <w:p>
            <w:pPr>
              <w:spacing w:after="0" w:before="0"/>
            </w:pPr>
            <w:r/>
            <w:r>
              <w:rPr>
                <w:rFonts w:ascii="Arial" w:hAnsi="Arial" w:cs="Arial"/>
                <w:b w:val="0"/>
                <w:sz w:val="17"/>
              </w:rPr>
              <w:t>Statement / duplicate NOC</w:t>
            </w:r>
          </w:p>
        </w:tc>
        <w:tc>
          <w:tcPr>
            <w:tcW w:w="3200" w:type="dxa"/>
          </w:tcPr>
          <w:p>
            <w:pPr>
              <w:spacing w:after="0" w:before="0"/>
            </w:pPr>
            <w:r/>
            <w:r>
              <w:rPr>
                <w:rFonts w:ascii="Arial" w:hAnsi="Arial" w:cs="Arial"/>
                <w:b w:val="0"/>
                <w:sz w:val="17"/>
              </w:rPr>
              <w:t>Flat</w:t>
            </w:r>
          </w:p>
        </w:tc>
        <w:tc>
          <w:tcPr>
            <w:tcW w:w="4060" w:type="dxa"/>
          </w:tcPr>
          <w:p>
            <w:pPr>
              <w:spacing w:after="0" w:before="0"/>
            </w:pPr>
            <w:r/>
            <w:r>
              <w:rPr>
                <w:rFonts w:ascii="Arial" w:hAnsi="Arial" w:cs="Arial"/>
                <w:b w:val="0"/>
                <w:sz w:val="17"/>
              </w:rPr>
              <w:t>₹200 + GST</w:t>
            </w:r>
          </w:p>
        </w:tc>
      </w:tr>
    </w:tbl>
    <w:p/>
    <w:p>
      <w:r>
        <w:rPr>
          <w:rFonts w:ascii="Arial" w:hAnsi="Arial" w:cs="Arial"/>
          <w:b w:val="0"/>
          <w:i w:val="0"/>
          <w:sz w:val="22"/>
        </w:rPr>
        <w:t>Interest is GST-exempt; all fees above are taxable and post to a separate fee-income + GST-output ledger (Sections 31, 8.2).</w:t>
      </w:r>
    </w:p>
    <w:p>
      <w:pPr>
        <w:pStyle w:val="Heading2"/>
      </w:pPr>
      <w:r>
        <w:t>45.6 Penal-Charge Methods (RBI-Compliant)</w:t>
      </w:r>
    </w:p>
    <w:p>
      <w:r>
        <w:rPr>
          <w:rFonts w:ascii="Arial" w:hAnsi="Arial" w:cs="Arial"/>
          <w:b w:val="0"/>
          <w:i w:val="0"/>
          <w:sz w:val="22"/>
        </w:rPr>
        <w:t>Per RBI’s penal-charges framework, penalties are levied as a flat fee or a fixed percentage of the overdue amount only, are not compounded, and are never an add-on to the interest rate (Section 24.7).</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200"/>
        <w:gridCol w:w="3200"/>
        <w:gridCol w:w="3960"/>
      </w:tblGrid>
      <w:tr>
        <w:tc>
          <w:tcPr>
            <w:tcW w:w="2200" w:type="dxa"/>
            <w:shd w:val="clear" w:color="auto" w:fill="1F4E78"/>
          </w:tcPr>
          <w:p>
            <w:pPr>
              <w:spacing w:after="0" w:before="0"/>
            </w:pPr>
            <w:r/>
            <w:r>
              <w:rPr>
                <w:rFonts w:ascii="Arial" w:hAnsi="Arial" w:cs="Arial"/>
                <w:b/>
                <w:color w:val="FFFFFF"/>
                <w:sz w:val="17"/>
              </w:rPr>
              <w:t>Penalty type</w:t>
            </w:r>
          </w:p>
        </w:tc>
        <w:tc>
          <w:tcPr>
            <w:tcW w:w="3200" w:type="dxa"/>
            <w:shd w:val="clear" w:color="auto" w:fill="1F4E78"/>
          </w:tcPr>
          <w:p>
            <w:pPr>
              <w:spacing w:after="0" w:before="0"/>
            </w:pPr>
            <w:r/>
            <w:r>
              <w:rPr>
                <w:rFonts w:ascii="Arial" w:hAnsi="Arial" w:cs="Arial"/>
                <w:b/>
                <w:color w:val="FFFFFF"/>
                <w:sz w:val="17"/>
              </w:rPr>
              <w:t>Method</w:t>
            </w:r>
          </w:p>
        </w:tc>
        <w:tc>
          <w:tcPr>
            <w:tcW w:w="3960" w:type="dxa"/>
            <w:shd w:val="clear" w:color="auto" w:fill="1F4E78"/>
          </w:tcPr>
          <w:p>
            <w:pPr>
              <w:spacing w:after="0" w:before="0"/>
            </w:pPr>
            <w:r/>
            <w:r>
              <w:rPr>
                <w:rFonts w:ascii="Arial" w:hAnsi="Arial" w:cs="Arial"/>
                <w:b/>
                <w:color w:val="FFFFFF"/>
                <w:sz w:val="17"/>
              </w:rPr>
              <w:t>Worked example</w:t>
            </w:r>
          </w:p>
        </w:tc>
      </w:tr>
      <w:tr>
        <w:tc>
          <w:tcPr>
            <w:tcW w:w="2200" w:type="dxa"/>
          </w:tcPr>
          <w:p>
            <w:pPr>
              <w:spacing w:after="0" w:before="0"/>
            </w:pPr>
            <w:r/>
            <w:r>
              <w:rPr>
                <w:rFonts w:ascii="Arial" w:hAnsi="Arial" w:cs="Arial"/>
                <w:b w:val="0"/>
                <w:sz w:val="17"/>
              </w:rPr>
              <w:t>Overdue installment</w:t>
            </w:r>
          </w:p>
        </w:tc>
        <w:tc>
          <w:tcPr>
            <w:tcW w:w="3200" w:type="dxa"/>
          </w:tcPr>
          <w:p>
            <w:pPr>
              <w:spacing w:after="0" w:before="0"/>
            </w:pPr>
            <w:r/>
            <w:r>
              <w:rPr>
                <w:rFonts w:ascii="Arial" w:hAnsi="Arial" w:cs="Arial"/>
                <w:b w:val="0"/>
                <w:sz w:val="17"/>
              </w:rPr>
              <w:t>% of overdue EMI (one-time, non-compounding)</w:t>
            </w:r>
          </w:p>
        </w:tc>
        <w:tc>
          <w:tcPr>
            <w:tcW w:w="3960" w:type="dxa"/>
          </w:tcPr>
          <w:p>
            <w:pPr>
              <w:spacing w:after="0" w:before="0"/>
            </w:pPr>
            <w:r/>
            <w:r>
              <w:rPr>
                <w:rFonts w:ascii="Arial" w:hAnsi="Arial" w:cs="Arial"/>
                <w:b w:val="0"/>
                <w:sz w:val="17"/>
              </w:rPr>
              <w:t>₹17,088.81 × 2% = ₹341.78</w:t>
            </w:r>
          </w:p>
        </w:tc>
      </w:tr>
      <w:tr>
        <w:tc>
          <w:tcPr>
            <w:tcW w:w="2200" w:type="dxa"/>
          </w:tcPr>
          <w:p>
            <w:pPr>
              <w:spacing w:after="0" w:before="0"/>
            </w:pPr>
            <w:r/>
            <w:r>
              <w:rPr>
                <w:rFonts w:ascii="Arial" w:hAnsi="Arial" w:cs="Arial"/>
                <w:b w:val="0"/>
                <w:sz w:val="17"/>
              </w:rPr>
              <w:t>Overdue amount (revolving/OD)</w:t>
            </w:r>
          </w:p>
        </w:tc>
        <w:tc>
          <w:tcPr>
            <w:tcW w:w="3200" w:type="dxa"/>
          </w:tcPr>
          <w:p>
            <w:pPr>
              <w:spacing w:after="0" w:before="0"/>
            </w:pPr>
            <w:r/>
            <w:r>
              <w:rPr>
                <w:rFonts w:ascii="Arial" w:hAnsi="Arial" w:cs="Arial"/>
                <w:b w:val="0"/>
                <w:sz w:val="17"/>
              </w:rPr>
              <w:t>% of the overdrawn/overdue amount</w:t>
            </w:r>
          </w:p>
        </w:tc>
        <w:tc>
          <w:tcPr>
            <w:tcW w:w="3960" w:type="dxa"/>
          </w:tcPr>
          <w:p>
            <w:pPr>
              <w:spacing w:after="0" w:before="0"/>
            </w:pPr>
            <w:r/>
            <w:r>
              <w:rPr>
                <w:rFonts w:ascii="Arial" w:hAnsi="Arial" w:cs="Arial"/>
                <w:b w:val="0"/>
                <w:sz w:val="17"/>
              </w:rPr>
              <w:t>On the shortfall only, not the whole limit</w:t>
            </w:r>
          </w:p>
        </w:tc>
      </w:tr>
      <w:tr>
        <w:tc>
          <w:tcPr>
            <w:tcW w:w="2200" w:type="dxa"/>
          </w:tcPr>
          <w:p>
            <w:pPr>
              <w:spacing w:after="0" w:before="0"/>
            </w:pPr>
            <w:r/>
            <w:r>
              <w:rPr>
                <w:rFonts w:ascii="Arial" w:hAnsi="Arial" w:cs="Arial"/>
                <w:b w:val="0"/>
                <w:sz w:val="17"/>
              </w:rPr>
              <w:t>Bounce / auto-debit failure</w:t>
            </w:r>
          </w:p>
        </w:tc>
        <w:tc>
          <w:tcPr>
            <w:tcW w:w="3200" w:type="dxa"/>
          </w:tcPr>
          <w:p>
            <w:pPr>
              <w:spacing w:after="0" w:before="0"/>
            </w:pPr>
            <w:r/>
            <w:r>
              <w:rPr>
                <w:rFonts w:ascii="Arial" w:hAnsi="Arial" w:cs="Arial"/>
                <w:b w:val="0"/>
                <w:sz w:val="17"/>
              </w:rPr>
              <w:t>Flat per failed presentation</w:t>
            </w:r>
          </w:p>
        </w:tc>
        <w:tc>
          <w:tcPr>
            <w:tcW w:w="3960" w:type="dxa"/>
          </w:tcPr>
          <w:p>
            <w:pPr>
              <w:spacing w:after="0" w:before="0"/>
            </w:pPr>
            <w:r/>
            <w:r>
              <w:rPr>
                <w:rFonts w:ascii="Arial" w:hAnsi="Arial" w:cs="Arial"/>
                <w:b w:val="0"/>
                <w:sz w:val="17"/>
              </w:rPr>
              <w:t>₹590 incl. GST</w:t>
            </w:r>
          </w:p>
        </w:tc>
      </w:tr>
      <w:tr>
        <w:tc>
          <w:tcPr>
            <w:tcW w:w="2200" w:type="dxa"/>
          </w:tcPr>
          <w:p>
            <w:pPr>
              <w:spacing w:after="0" w:before="0"/>
            </w:pPr>
            <w:r/>
            <w:r>
              <w:rPr>
                <w:rFonts w:ascii="Arial" w:hAnsi="Arial" w:cs="Arial"/>
                <w:b w:val="0"/>
                <w:sz w:val="17"/>
              </w:rPr>
              <w:t>Covenant / non-compliance</w:t>
            </w:r>
          </w:p>
        </w:tc>
        <w:tc>
          <w:tcPr>
            <w:tcW w:w="3200" w:type="dxa"/>
          </w:tcPr>
          <w:p>
            <w:pPr>
              <w:spacing w:after="0" w:before="0"/>
            </w:pPr>
            <w:r/>
            <w:r>
              <w:rPr>
                <w:rFonts w:ascii="Arial" w:hAnsi="Arial" w:cs="Arial"/>
                <w:b w:val="0"/>
                <w:sz w:val="17"/>
              </w:rPr>
              <w:t>Flat per breach (insurance lapse, stock statement not filed)</w:t>
            </w:r>
          </w:p>
        </w:tc>
        <w:tc>
          <w:tcPr>
            <w:tcW w:w="3960" w:type="dxa"/>
          </w:tcPr>
          <w:p>
            <w:pPr>
              <w:spacing w:after="0" w:before="0"/>
            </w:pPr>
            <w:r/>
            <w:r>
              <w:rPr>
                <w:rFonts w:ascii="Arial" w:hAnsi="Arial" w:cs="Arial"/>
                <w:b w:val="0"/>
                <w:sz w:val="17"/>
              </w:rPr>
              <w:t>Per sanction terms; posted as fee income</w:t>
            </w:r>
          </w:p>
        </w:tc>
      </w:tr>
      <w:tr>
        <w:tc>
          <w:tcPr>
            <w:tcW w:w="2200" w:type="dxa"/>
          </w:tcPr>
          <w:p>
            <w:pPr>
              <w:spacing w:after="0" w:before="0"/>
            </w:pPr>
            <w:r/>
            <w:r>
              <w:rPr>
                <w:rFonts w:ascii="Arial" w:hAnsi="Arial" w:cs="Arial"/>
                <w:b w:val="0"/>
                <w:sz w:val="17"/>
              </w:rPr>
              <w:t>Cheque dishonour</w:t>
            </w:r>
          </w:p>
        </w:tc>
        <w:tc>
          <w:tcPr>
            <w:tcW w:w="3200" w:type="dxa"/>
          </w:tcPr>
          <w:p>
            <w:pPr>
              <w:spacing w:after="0" w:before="0"/>
            </w:pPr>
            <w:r/>
            <w:r>
              <w:rPr>
                <w:rFonts w:ascii="Arial" w:hAnsi="Arial" w:cs="Arial"/>
                <w:b w:val="0"/>
                <w:sz w:val="17"/>
              </w:rPr>
              <w:t>Charge + Sec.138 NI Act workflow</w:t>
            </w:r>
          </w:p>
        </w:tc>
        <w:tc>
          <w:tcPr>
            <w:tcW w:w="3960" w:type="dxa"/>
          </w:tcPr>
          <w:p>
            <w:pPr>
              <w:spacing w:after="0" w:before="0"/>
            </w:pPr>
            <w:r/>
            <w:r>
              <w:rPr>
                <w:rFonts w:ascii="Arial" w:hAnsi="Arial" w:cs="Arial"/>
                <w:b w:val="0"/>
                <w:sz w:val="17"/>
              </w:rPr>
              <w:t>Section 7.2 legal workflow</w:t>
            </w:r>
          </w:p>
        </w:tc>
      </w:tr>
    </w:tbl>
    <w:p/>
    <w:p>
      <w:pPr>
        <w:pStyle w:val="Heading2"/>
      </w:pPr>
      <w:r>
        <w:t>45.7 Subvention &amp; No-Cost-EMI Mechanics</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No-cost EMI: borrower pays 0% headline; the interest the lender would have earned is</w:t>
            </w:r>
            <w:r>
              <w:rPr>
                <w:rFonts w:ascii="Consolas" w:hAnsi="Consolas" w:cs="Consolas"/>
                <w:b w:val="0"/>
                <w:sz w:val="19"/>
              </w:rPr>
              <w:br/>
              <w:t xml:space="preserve">  funded by the merchant as a subvention.</w:t>
            </w:r>
            <w:r>
              <w:rPr>
                <w:rFonts w:ascii="Consolas" w:hAnsi="Consolas" w:cs="Consolas"/>
                <w:b w:val="0"/>
                <w:sz w:val="19"/>
              </w:rPr>
              <w:br/>
              <w:t xml:space="preserve">  Merchant_Subvention = Financed_Amount − PV(borrower instalments at the lender yield)</w:t>
            </w:r>
          </w:p>
        </w:tc>
      </w:tr>
    </w:tbl>
    <w:p/>
    <w:p>
      <w:r>
        <w:rPr>
          <w:rFonts w:ascii="Arial" w:hAnsi="Arial" w:cs="Arial"/>
          <w:b w:val="0"/>
          <w:i w:val="0"/>
          <w:sz w:val="22"/>
        </w:rPr>
        <w:t>Example: ₹30,000 item · 6-month no-cost EMI · lender yield 18% (1.5%/mo). Borrower pays 6 × ₹5,000 = ₹30,000. PV of those instalments at 1.5%/mo = ₹28,485.94, so the merchant subvention = ₹1,514.06, booked as income and reconciled separately (Section 3.22). The borrower-facing rate remains 0%.</w:t>
      </w:r>
    </w:p>
    <w:p>
      <w:r>
        <w:rPr>
          <w:rFonts w:ascii="Arial" w:hAnsi="Arial" w:cs="Arial"/>
          <w:b w:val="0"/>
          <w:i w:val="0"/>
          <w:sz w:val="22"/>
        </w:rPr>
        <w:t>Government interest subvention example: ₹3,00,000 · 1 yr with a 3% subvention → ₹9,000 claimed from the nodal agency (Section 3.9); the borrower services the net rate and the subsidy is tracked to claim status.</w:t>
      </w:r>
    </w:p>
    <w:p>
      <w:pPr>
        <w:pStyle w:val="Heading2"/>
      </w:pPr>
      <w:r>
        <w:t>45.8 Prepayment Rebate — Rule-of-78 vs Actuarial</w:t>
      </w:r>
    </w:p>
    <w:p>
      <w:pPr>
        <w:pStyle w:val="ListParagraph"/>
        <w:numPr>
          <w:ilvl w:val="0"/>
          <w:numId w:val="2"/>
        </w:numPr>
      </w:pPr>
      <w:r>
        <w:rPr>
          <w:rFonts w:ascii="Arial" w:hAnsi="Arial" w:cs="Arial"/>
          <w:sz w:val="22"/>
        </w:rPr>
        <w:t>Rule-of-78 (sum-of-digits): front-loads interest; gives a smaller rebate on early prepayment (45.3.7). Legacy method, less borrower-favourable.</w:t>
      </w:r>
    </w:p>
    <w:p>
      <w:pPr>
        <w:pStyle w:val="ListParagraph"/>
        <w:numPr>
          <w:ilvl w:val="0"/>
          <w:numId w:val="2"/>
        </w:numPr>
      </w:pPr>
      <w:r>
        <w:rPr>
          <w:rFonts w:ascii="Arial" w:hAnsi="Arial" w:cs="Arial"/>
          <w:sz w:val="22"/>
        </w:rPr>
        <w:t>Actuarial method: rebate = total interest − interest actually accrued on the reducing balance to the prepayment date. This is the fair, recommended method and aligns with reducing-balance economics.</w:t>
      </w:r>
    </w:p>
    <w:p>
      <w:pPr>
        <w:pStyle w:val="Heading2"/>
      </w:pPr>
      <w:r>
        <w:t>45.9 APR &amp; EIR</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9360"/>
      </w:tblGrid>
      <w:tr>
        <w:tc>
          <w:tcPr>
            <w:tcW w:w="9360" w:type="dxa"/>
            <w:shd w:val="clear" w:color="auto" w:fill="F2F2F2"/>
          </w:tcPr>
          <w:p>
            <w:pPr>
              <w:spacing w:after="0" w:before="0"/>
            </w:pPr>
            <w:r/>
            <w:r>
              <w:rPr>
                <w:rFonts w:ascii="Consolas" w:hAnsi="Consolas" w:cs="Consolas"/>
                <w:b w:val="0"/>
                <w:sz w:val="19"/>
              </w:rPr>
              <w:t>APR / EIR = the rate that makes  Σ EMI_t/(1+r)^t = Net_amount_disbursed</w:t>
            </w:r>
            <w:r>
              <w:rPr>
                <w:rFonts w:ascii="Consolas" w:hAnsi="Consolas" w:cs="Consolas"/>
                <w:b w:val="0"/>
                <w:sz w:val="19"/>
              </w:rPr>
              <w:br/>
              <w:t xml:space="preserve">  Net_amount_disbursed = Principal − up-front fees + up-front income; solved iteratively (IRR)</w:t>
            </w:r>
          </w:p>
        </w:tc>
      </w:tr>
    </w:tbl>
    <w:p/>
    <w:p>
      <w:r>
        <w:rPr>
          <w:rFonts w:ascii="Arial" w:hAnsi="Arial" w:cs="Arial"/>
          <w:b w:val="0"/>
          <w:i w:val="0"/>
          <w:sz w:val="22"/>
        </w:rPr>
        <w:t>Example: ₹5,00,000 · 14% · 36m with a 1% processing fee (₹5,000). Net disbursed ₹4,95,000; EMI ₹17,088.81 → APR ≈ 15.74% (above the 14% note rate because of the fee). The APR is the all-in figure disclosed in the KFS (Section 17.1); the EIR (Section 24.10) drives Ind AS 109 amortised-cost accounting.</w:t>
      </w:r>
    </w:p>
    <w:p>
      <w:pPr>
        <w:pStyle w:val="Heading2"/>
      </w:pPr>
      <w:r>
        <w:t>45.10 Consolidated Calculation Test Vectors</w:t>
      </w:r>
    </w:p>
    <w:p>
      <w:r>
        <w:rPr>
          <w:rFonts w:ascii="Arial" w:hAnsi="Arial" w:cs="Arial"/>
          <w:b w:val="0"/>
          <w:i w:val="0"/>
          <w:sz w:val="22"/>
        </w:rPr>
        <w:t>Fixed input→output cases across all methods; the engine must reproduce each to the paisa (extends Section 41.2).</w:t>
      </w:r>
    </w:p>
    <w:tbl>
      <w:tblPr>
        <w:tblW w:w="9360" w:type="dxa"/>
        <w:tblBorders>
          <w:top w:val="single" w:sz="4" w:color="auto"/>
          <w:left w:val="single" w:sz="4" w:color="auto"/>
          <w:bottom w:val="single" w:sz="4" w:color="auto"/>
          <w:right w:val="single" w:sz="4" w:color="auto"/>
          <w:insideH w:val="single" w:sz="4" w:color="auto"/>
          <w:insideV w:val="single" w:sz="4" w:color="auto"/>
        </w:tblBorders>
        <w:tblLayout w:type="fixed"/>
        <w:tblCellMar>
          <w:top w:w="40" w:type="dxa"/>
          <w:left w:w="108" w:type="dxa"/>
          <w:bottom w:w="40" w:type="dxa"/>
          <w:right w:w="108" w:type="dxa"/>
        </w:tblCellMar>
        <w:tblLook w:firstColumn="1" w:firstRow="1" w:lastColumn="0" w:lastRow="0" w:noHBand="0" w:noVBand="1" w:val="04A0"/>
      </w:tblPr>
      <w:tblGrid>
        <w:gridCol w:w="2100"/>
        <w:gridCol w:w="3100"/>
        <w:gridCol w:w="4160"/>
      </w:tblGrid>
      <w:tr>
        <w:tc>
          <w:tcPr>
            <w:tcW w:w="2100" w:type="dxa"/>
            <w:shd w:val="clear" w:color="auto" w:fill="1F4E78"/>
          </w:tcPr>
          <w:p>
            <w:pPr>
              <w:spacing w:after="0" w:before="0"/>
            </w:pPr>
            <w:r/>
            <w:r>
              <w:rPr>
                <w:rFonts w:ascii="Arial" w:hAnsi="Arial" w:cs="Arial"/>
                <w:b/>
                <w:color w:val="FFFFFF"/>
                <w:sz w:val="17"/>
              </w:rPr>
              <w:t>Method</w:t>
            </w:r>
          </w:p>
        </w:tc>
        <w:tc>
          <w:tcPr>
            <w:tcW w:w="3100" w:type="dxa"/>
            <w:shd w:val="clear" w:color="auto" w:fill="1F4E78"/>
          </w:tcPr>
          <w:p>
            <w:pPr>
              <w:spacing w:after="0" w:before="0"/>
            </w:pPr>
            <w:r/>
            <w:r>
              <w:rPr>
                <w:rFonts w:ascii="Arial" w:hAnsi="Arial" w:cs="Arial"/>
                <w:b/>
                <w:color w:val="FFFFFF"/>
                <w:sz w:val="17"/>
              </w:rPr>
              <w:t>Inputs</w:t>
            </w:r>
          </w:p>
        </w:tc>
        <w:tc>
          <w:tcPr>
            <w:tcW w:w="4160" w:type="dxa"/>
            <w:shd w:val="clear" w:color="auto" w:fill="1F4E78"/>
          </w:tcPr>
          <w:p>
            <w:pPr>
              <w:spacing w:after="0" w:before="0"/>
            </w:pPr>
            <w:r/>
            <w:r>
              <w:rPr>
                <w:rFonts w:ascii="Arial" w:hAnsi="Arial" w:cs="Arial"/>
                <w:b/>
                <w:color w:val="FFFFFF"/>
                <w:sz w:val="17"/>
              </w:rPr>
              <w:t>Expected output</w:t>
            </w:r>
          </w:p>
        </w:tc>
      </w:tr>
      <w:tr>
        <w:tc>
          <w:tcPr>
            <w:tcW w:w="2100" w:type="dxa"/>
          </w:tcPr>
          <w:p>
            <w:pPr>
              <w:spacing w:after="0" w:before="0"/>
            </w:pPr>
            <w:r/>
            <w:r>
              <w:rPr>
                <w:rFonts w:ascii="Arial" w:hAnsi="Arial" w:cs="Arial"/>
                <w:b w:val="0"/>
                <w:sz w:val="17"/>
              </w:rPr>
              <w:t>Simple interest</w:t>
            </w:r>
          </w:p>
        </w:tc>
        <w:tc>
          <w:tcPr>
            <w:tcW w:w="3100" w:type="dxa"/>
          </w:tcPr>
          <w:p>
            <w:pPr>
              <w:spacing w:after="0" w:before="0"/>
            </w:pPr>
            <w:r/>
            <w:r>
              <w:rPr>
                <w:rFonts w:ascii="Arial" w:hAnsi="Arial" w:cs="Arial"/>
                <w:b w:val="0"/>
                <w:sz w:val="17"/>
              </w:rPr>
              <w:t>₹1,00,000 · 12% · 90d</w:t>
            </w:r>
          </w:p>
        </w:tc>
        <w:tc>
          <w:tcPr>
            <w:tcW w:w="4160" w:type="dxa"/>
          </w:tcPr>
          <w:p>
            <w:pPr>
              <w:spacing w:after="0" w:before="0"/>
            </w:pPr>
            <w:r/>
            <w:r>
              <w:rPr>
                <w:rFonts w:ascii="Arial" w:hAnsi="Arial" w:cs="Arial"/>
                <w:b w:val="0"/>
                <w:sz w:val="17"/>
              </w:rPr>
              <w:t>₹2,958.90</w:t>
            </w:r>
          </w:p>
        </w:tc>
      </w:tr>
      <w:tr>
        <w:tc>
          <w:tcPr>
            <w:tcW w:w="2100" w:type="dxa"/>
          </w:tcPr>
          <w:p>
            <w:pPr>
              <w:spacing w:after="0" w:before="0"/>
            </w:pPr>
            <w:r/>
            <w:r>
              <w:rPr>
                <w:rFonts w:ascii="Arial" w:hAnsi="Arial" w:cs="Arial"/>
                <w:b w:val="0"/>
                <w:sz w:val="17"/>
              </w:rPr>
              <w:t>Flat → APR</w:t>
            </w:r>
          </w:p>
        </w:tc>
        <w:tc>
          <w:tcPr>
            <w:tcW w:w="3100" w:type="dxa"/>
          </w:tcPr>
          <w:p>
            <w:pPr>
              <w:spacing w:after="0" w:before="0"/>
            </w:pPr>
            <w:r/>
            <w:r>
              <w:rPr>
                <w:rFonts w:ascii="Arial" w:hAnsi="Arial" w:cs="Arial"/>
                <w:b w:val="0"/>
                <w:sz w:val="17"/>
              </w:rPr>
              <w:t>₹2,00,000 · 10% flat · 3y</w:t>
            </w:r>
          </w:p>
        </w:tc>
        <w:tc>
          <w:tcPr>
            <w:tcW w:w="4160" w:type="dxa"/>
          </w:tcPr>
          <w:p>
            <w:pPr>
              <w:spacing w:after="0" w:before="0"/>
            </w:pPr>
            <w:r/>
            <w:r>
              <w:rPr>
                <w:rFonts w:ascii="Arial" w:hAnsi="Arial" w:cs="Arial"/>
                <w:b w:val="0"/>
                <w:sz w:val="17"/>
              </w:rPr>
              <w:t>EMI ₹7,222.22; APR ≈ 19.5%</w:t>
            </w:r>
          </w:p>
        </w:tc>
      </w:tr>
      <w:tr>
        <w:tc>
          <w:tcPr>
            <w:tcW w:w="2100" w:type="dxa"/>
          </w:tcPr>
          <w:p>
            <w:pPr>
              <w:spacing w:after="0" w:before="0"/>
            </w:pPr>
            <w:r/>
            <w:r>
              <w:rPr>
                <w:rFonts w:ascii="Arial" w:hAnsi="Arial" w:cs="Arial"/>
                <w:b w:val="0"/>
                <w:sz w:val="17"/>
              </w:rPr>
              <w:t>Compound (quarterly)</w:t>
            </w:r>
          </w:p>
        </w:tc>
        <w:tc>
          <w:tcPr>
            <w:tcW w:w="3100" w:type="dxa"/>
          </w:tcPr>
          <w:p>
            <w:pPr>
              <w:spacing w:after="0" w:before="0"/>
            </w:pPr>
            <w:r/>
            <w:r>
              <w:rPr>
                <w:rFonts w:ascii="Arial" w:hAnsi="Arial" w:cs="Arial"/>
                <w:b w:val="0"/>
                <w:sz w:val="17"/>
              </w:rPr>
              <w:t>₹1,00,000 · 10% · 2y</w:t>
            </w:r>
          </w:p>
        </w:tc>
        <w:tc>
          <w:tcPr>
            <w:tcW w:w="4160" w:type="dxa"/>
          </w:tcPr>
          <w:p>
            <w:pPr>
              <w:spacing w:after="0" w:before="0"/>
            </w:pPr>
            <w:r/>
            <w:r>
              <w:rPr>
                <w:rFonts w:ascii="Arial" w:hAnsi="Arial" w:cs="Arial"/>
                <w:b w:val="0"/>
                <w:sz w:val="17"/>
              </w:rPr>
              <w:t>A ₹121,840.29</w:t>
            </w:r>
          </w:p>
        </w:tc>
      </w:tr>
      <w:tr>
        <w:tc>
          <w:tcPr>
            <w:tcW w:w="2100" w:type="dxa"/>
          </w:tcPr>
          <w:p>
            <w:pPr>
              <w:spacing w:after="0" w:before="0"/>
            </w:pPr>
            <w:r/>
            <w:r>
              <w:rPr>
                <w:rFonts w:ascii="Arial" w:hAnsi="Arial" w:cs="Arial"/>
                <w:b w:val="0"/>
                <w:sz w:val="17"/>
              </w:rPr>
              <w:t>Front-end discount</w:t>
            </w:r>
          </w:p>
        </w:tc>
        <w:tc>
          <w:tcPr>
            <w:tcW w:w="3100" w:type="dxa"/>
          </w:tcPr>
          <w:p>
            <w:pPr>
              <w:spacing w:after="0" w:before="0"/>
            </w:pPr>
            <w:r/>
            <w:r>
              <w:rPr>
                <w:rFonts w:ascii="Arial" w:hAnsi="Arial" w:cs="Arial"/>
                <w:b w:val="0"/>
                <w:sz w:val="17"/>
              </w:rPr>
              <w:t>₹1,00,000 · 12% · 90d</w:t>
            </w:r>
          </w:p>
        </w:tc>
        <w:tc>
          <w:tcPr>
            <w:tcW w:w="4160" w:type="dxa"/>
          </w:tcPr>
          <w:p>
            <w:pPr>
              <w:spacing w:after="0" w:before="0"/>
            </w:pPr>
            <w:r/>
            <w:r>
              <w:rPr>
                <w:rFonts w:ascii="Arial" w:hAnsi="Arial" w:cs="Arial"/>
                <w:b w:val="0"/>
                <w:sz w:val="17"/>
              </w:rPr>
              <w:t>Advance ₹97,041.10; yield 12.37%</w:t>
            </w:r>
          </w:p>
        </w:tc>
      </w:tr>
      <w:tr>
        <w:tc>
          <w:tcPr>
            <w:tcW w:w="2100" w:type="dxa"/>
          </w:tcPr>
          <w:p>
            <w:pPr>
              <w:spacing w:after="0" w:before="0"/>
            </w:pPr>
            <w:r/>
            <w:r>
              <w:rPr>
                <w:rFonts w:ascii="Arial" w:hAnsi="Arial" w:cs="Arial"/>
                <w:b w:val="0"/>
                <w:sz w:val="17"/>
              </w:rPr>
              <w:t>Rule-of-78 rebate</w:t>
            </w:r>
          </w:p>
        </w:tc>
        <w:tc>
          <w:tcPr>
            <w:tcW w:w="3100" w:type="dxa"/>
          </w:tcPr>
          <w:p>
            <w:pPr>
              <w:spacing w:after="0" w:before="0"/>
            </w:pPr>
            <w:r/>
            <w:r>
              <w:rPr>
                <w:rFonts w:ascii="Arial" w:hAnsi="Arial" w:cs="Arial"/>
                <w:b w:val="0"/>
                <w:sz w:val="17"/>
              </w:rPr>
              <w:t>₹60,000 int · 36m · prepaid m12</w:t>
            </w:r>
          </w:p>
        </w:tc>
        <w:tc>
          <w:tcPr>
            <w:tcW w:w="4160" w:type="dxa"/>
          </w:tcPr>
          <w:p>
            <w:pPr>
              <w:spacing w:after="0" w:before="0"/>
            </w:pPr>
            <w:r/>
            <w:r>
              <w:rPr>
                <w:rFonts w:ascii="Arial" w:hAnsi="Arial" w:cs="Arial"/>
                <w:b w:val="0"/>
                <w:sz w:val="17"/>
              </w:rPr>
              <w:t>Rebate ₹27,027.03</w:t>
            </w:r>
          </w:p>
        </w:tc>
      </w:tr>
      <w:tr>
        <w:tc>
          <w:tcPr>
            <w:tcW w:w="2100" w:type="dxa"/>
          </w:tcPr>
          <w:p>
            <w:pPr>
              <w:spacing w:after="0" w:before="0"/>
            </w:pPr>
            <w:r/>
            <w:r>
              <w:rPr>
                <w:rFonts w:ascii="Arial" w:hAnsi="Arial" w:cs="Arial"/>
                <w:b w:val="0"/>
                <w:sz w:val="17"/>
              </w:rPr>
              <w:t>No-cost-EMI subvention</w:t>
            </w:r>
          </w:p>
        </w:tc>
        <w:tc>
          <w:tcPr>
            <w:tcW w:w="3100" w:type="dxa"/>
          </w:tcPr>
          <w:p>
            <w:pPr>
              <w:spacing w:after="0" w:before="0"/>
            </w:pPr>
            <w:r/>
            <w:r>
              <w:rPr>
                <w:rFonts w:ascii="Arial" w:hAnsi="Arial" w:cs="Arial"/>
                <w:b w:val="0"/>
                <w:sz w:val="17"/>
              </w:rPr>
              <w:t>₹30,000 · 6m · 18% yield</w:t>
            </w:r>
          </w:p>
        </w:tc>
        <w:tc>
          <w:tcPr>
            <w:tcW w:w="4160" w:type="dxa"/>
          </w:tcPr>
          <w:p>
            <w:pPr>
              <w:spacing w:after="0" w:before="0"/>
            </w:pPr>
            <w:r/>
            <w:r>
              <w:rPr>
                <w:rFonts w:ascii="Arial" w:hAnsi="Arial" w:cs="Arial"/>
                <w:b w:val="0"/>
                <w:sz w:val="17"/>
              </w:rPr>
              <w:t>Subvention ₹1,514.06</w:t>
            </w:r>
          </w:p>
        </w:tc>
      </w:tr>
      <w:tr>
        <w:tc>
          <w:tcPr>
            <w:tcW w:w="2100" w:type="dxa"/>
          </w:tcPr>
          <w:p>
            <w:pPr>
              <w:spacing w:after="0" w:before="0"/>
            </w:pPr>
            <w:r/>
            <w:r>
              <w:rPr>
                <w:rFonts w:ascii="Arial" w:hAnsi="Arial" w:cs="Arial"/>
                <w:b w:val="0"/>
                <w:sz w:val="17"/>
              </w:rPr>
              <w:t>Advance EMI</w:t>
            </w:r>
          </w:p>
        </w:tc>
        <w:tc>
          <w:tcPr>
            <w:tcW w:w="3100" w:type="dxa"/>
          </w:tcPr>
          <w:p>
            <w:pPr>
              <w:spacing w:after="0" w:before="0"/>
            </w:pPr>
            <w:r/>
            <w:r>
              <w:rPr>
                <w:rFonts w:ascii="Arial" w:hAnsi="Arial" w:cs="Arial"/>
                <w:b w:val="0"/>
                <w:sz w:val="17"/>
              </w:rPr>
              <w:t>₹5,00,000 · 14% · 36m</w:t>
            </w:r>
          </w:p>
        </w:tc>
        <w:tc>
          <w:tcPr>
            <w:tcW w:w="4160" w:type="dxa"/>
          </w:tcPr>
          <w:p>
            <w:pPr>
              <w:spacing w:after="0" w:before="0"/>
            </w:pPr>
            <w:r/>
            <w:r>
              <w:rPr>
                <w:rFonts w:ascii="Arial" w:hAnsi="Arial" w:cs="Arial"/>
                <w:b w:val="0"/>
                <w:sz w:val="17"/>
              </w:rPr>
              <w:t>₹16,891.74</w:t>
            </w:r>
          </w:p>
        </w:tc>
      </w:tr>
      <w:tr>
        <w:tc>
          <w:tcPr>
            <w:tcW w:w="2100" w:type="dxa"/>
          </w:tcPr>
          <w:p>
            <w:pPr>
              <w:spacing w:after="0" w:before="0"/>
            </w:pPr>
            <w:r/>
            <w:r>
              <w:rPr>
                <w:rFonts w:ascii="Arial" w:hAnsi="Arial" w:cs="Arial"/>
                <w:b w:val="0"/>
                <w:sz w:val="17"/>
              </w:rPr>
              <w:t>Penal charge</w:t>
            </w:r>
          </w:p>
        </w:tc>
        <w:tc>
          <w:tcPr>
            <w:tcW w:w="3100" w:type="dxa"/>
          </w:tcPr>
          <w:p>
            <w:pPr>
              <w:spacing w:after="0" w:before="0"/>
            </w:pPr>
            <w:r/>
            <w:r>
              <w:rPr>
                <w:rFonts w:ascii="Arial" w:hAnsi="Arial" w:cs="Arial"/>
                <w:b w:val="0"/>
                <w:sz w:val="17"/>
              </w:rPr>
              <w:t>₹17,088.81 overdue · 2%</w:t>
            </w:r>
          </w:p>
        </w:tc>
        <w:tc>
          <w:tcPr>
            <w:tcW w:w="4160" w:type="dxa"/>
          </w:tcPr>
          <w:p>
            <w:pPr>
              <w:spacing w:after="0" w:before="0"/>
            </w:pPr>
            <w:r/>
            <w:r>
              <w:rPr>
                <w:rFonts w:ascii="Arial" w:hAnsi="Arial" w:cs="Arial"/>
                <w:b w:val="0"/>
                <w:sz w:val="17"/>
              </w:rPr>
              <w:t>₹341.78</w:t>
            </w:r>
          </w:p>
        </w:tc>
      </w:tr>
      <w:tr>
        <w:tc>
          <w:tcPr>
            <w:tcW w:w="2100" w:type="dxa"/>
          </w:tcPr>
          <w:p>
            <w:pPr>
              <w:spacing w:after="0" w:before="0"/>
            </w:pPr>
            <w:r/>
            <w:r>
              <w:rPr>
                <w:rFonts w:ascii="Arial" w:hAnsi="Arial" w:cs="Arial"/>
                <w:b w:val="0"/>
                <w:sz w:val="17"/>
              </w:rPr>
              <w:t>APR with fee</w:t>
            </w:r>
          </w:p>
        </w:tc>
        <w:tc>
          <w:tcPr>
            <w:tcW w:w="3100" w:type="dxa"/>
          </w:tcPr>
          <w:p>
            <w:pPr>
              <w:spacing w:after="0" w:before="0"/>
            </w:pPr>
            <w:r/>
            <w:r>
              <w:rPr>
                <w:rFonts w:ascii="Arial" w:hAnsi="Arial" w:cs="Arial"/>
                <w:b w:val="0"/>
                <w:sz w:val="17"/>
              </w:rPr>
              <w:t>₹5,00,000 · 14% · 36m · 1% fee</w:t>
            </w:r>
          </w:p>
        </w:tc>
        <w:tc>
          <w:tcPr>
            <w:tcW w:w="4160" w:type="dxa"/>
          </w:tcPr>
          <w:p>
            <w:pPr>
              <w:spacing w:after="0" w:before="0"/>
            </w:pPr>
            <w:r/>
            <w:r>
              <w:rPr>
                <w:rFonts w:ascii="Arial" w:hAnsi="Arial" w:cs="Arial"/>
                <w:b w:val="0"/>
                <w:sz w:val="17"/>
              </w:rPr>
              <w:t>APR ≈ 15.74%</w:t>
            </w:r>
          </w:p>
        </w:tc>
      </w:tr>
    </w:tbl>
    <w:p/>
    <w:p>
      <w:r>
        <w:br w:type="pag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LMS — Architecture &amp; Functional Specification</w:t>
    </w:r>
    <w:r>
      <w:rPr>
        <w:color w:val="888888"/>
        <w:sz w:val="16"/>
        <w:szCs w:val="16"/>
      </w:rPr>
      <w:t xml:space="preserve">	LawDocs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6" w:space="4"/>
      </w:pBdr>
      <w:spacing w:after="20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F4E78"/>
      <w:sz w:val="27"/>
      <w:szCs w:val="27"/>
    </w:rPr>
  </w:style>
  <w:style w:type="paragraph" w:styleId="Heading3">
    <w:name w:val="Heading 3"/>
    <w:basedOn w:val="Normal"/>
    <w:next w:val="Normal"/>
    <w:qFormat/>
    <w:pPr>
      <w:spacing w:after="100" w:before="220"/>
      <w:outlineLvl w:val="2"/>
    </w:pPr>
    <w:rPr>
      <w:rFonts w:ascii="Arial" w:cs="Arial" w:eastAsia="Arial" w:hAnsi="Arial"/>
      <w:b/>
      <w:bCs/>
      <w:color w:val="2E75B6"/>
      <w:sz w:val="24"/>
      <w:szCs w:val="24"/>
    </w:rPr>
  </w:style>
  <w:style w:type="paragraph" w:styleId="Heading4">
    <w:name w:val="Heading 4"/>
    <w:basedOn w:val="Normal"/>
    <w:next w:val="Normal"/>
    <w:qFormat/>
    <w:pPr>
      <w:spacing w:after="80" w:before="160"/>
      <w:outlineLvl w:val="3"/>
    </w:pPr>
    <w:rPr>
      <w:rFonts w:ascii="Arial" w:cs="Arial" w:eastAsia="Arial" w:hAnsi="Arial"/>
      <w:b/>
      <w:bCs/>
      <w:color w:val="444444"/>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927a516b922a8c75156a0f5dac6bfa1fbf9153.png"/><Relationship Id="rId10" Type="http://schemas.openxmlformats.org/officeDocument/2006/relationships/image" Target="media/dbc3daf2b01f223d6f6d44e0c495b277bcbe88ca.png"/><Relationship Id="rId11" Type="http://schemas.openxmlformats.org/officeDocument/2006/relationships/image" Target="media/373e9c6e9ba83c3703dcec6858bf479e165599a9.png"/><Relationship Id="rId12" Type="http://schemas.openxmlformats.org/officeDocument/2006/relationships/image" Target="media/761546f6c76e691cef636babc205053547d028b8.png"/><Relationship Id="rId13" Type="http://schemas.openxmlformats.org/officeDocument/2006/relationships/fontTable" Target="fontTable.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2026-07-01T13:23:14.972Z</dcterms:created>
  <dcterms:modified xsi:type="dcterms:W3CDTF">2026-07-01T13:23:14.972Z</dcterms:modified>
</cp:coreProperties>
</file>

<file path=docProps/custom.xml><?xml version="1.0" encoding="utf-8"?>
<Properties xmlns="http://schemas.openxmlformats.org/officeDocument/2006/custom-properties" xmlns:vt="http://schemas.openxmlformats.org/officeDocument/2006/docPropsVTypes"/>
</file>