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8"/>
          <w:sz w:val="52"/>
          <w:szCs w:val="52"/>
        </w:rPr>
        <w:t xml:space="preserve">LOAN MANAGEMENT SYSTEM (LMS)</w:t>
      </w:r>
    </w:p>
    <w:p>
      <w:pPr>
        <w:spacing w:after="400" w:before="200"/>
        <w:jc w:val="center"/>
      </w:pPr>
      <w:r>
        <w:rPr>
          <w:b/>
          <w:bCs/>
          <w:color w:val="444444"/>
          <w:sz w:val="32"/>
          <w:szCs w:val="32"/>
        </w:rPr>
        <w:t xml:space="preserve">System Architecture &amp; Functional Specification</w:t>
      </w:r>
    </w:p>
    <w:p>
      <w:pPr>
        <w:spacing w:after="120"/>
        <w:jc w:val="center"/>
      </w:pPr>
      <w:r>
        <w:rPr>
          <w:i/>
          <w:iCs/>
          <w:sz w:val="24"/>
          <w:szCs w:val="24"/>
        </w:rPr>
        <w:t xml:space="preserve">For NBFC Lending &amp; Accounting Operations — SaaS Web Platform</w:t>
      </w:r>
    </w:p>
    <w:p>
      <w:pPr>
        <w:spacing w:before="800"/>
        <w:jc w:val="center"/>
      </w:pPr>
      <w:r>
        <w:rPr>
          <w:color w:val="555555"/>
          <w:sz w:val="20"/>
          <w:szCs w:val="20"/>
        </w:rPr>
        <w:t xml:space="preserve">Covers: Multi-product lending • Embedded accounting/GL • RBI regulatory reporting • Credit Information Company (CIC) reporting • Borrower onboarding forms • Product application forms</w:t>
      </w:r>
    </w:p>
    <w:p>
      <w:pPr>
        <w:spacing w:before="1200"/>
        <w:jc w:val="center"/>
      </w:pPr>
      <w:r>
        <w:rPr>
          <w:sz w:val="20"/>
          <w:szCs w:val="20"/>
        </w:rPr>
        <w:t xml:space="preserve">Prepared for: LawDocs</w:t>
      </w:r>
    </w:p>
    <w:p>
      <w:pPr>
        <w:spacing w:before="80"/>
        <w:jc w:val="center"/>
      </w:pPr>
      <w:r>
        <w:rPr>
          <w:sz w:val="20"/>
          <w:szCs w:val="20"/>
        </w:rPr>
        <w:t>Date: July 2, 2026 — Version 5.0</w:t>
      </w:r>
    </w:p>
    <w:p>
      <w:r>
        <w:br w:type="page"/>
      </w:r>
    </w:p>
    <w:p>
      <w:r>
        <w:rPr>
          <w:rFonts w:ascii="Arial" w:hAnsi="Arial" w:cs="Arial"/>
          <w:b/>
          <w:color w:val="1F4E78"/>
          <w:sz w:val="28"/>
        </w:rPr>
        <w:t xml:space="preserve">Volume 3 of 3 — Governance, Delivery &amp; Developer Reference (Sections 46–98)</w:t>
      </w:r>
    </w:p>
    <w:p>
      <w:r>
        <w:rPr>
          <w:rFonts w:ascii="Arial" w:hAnsi="Arial" w:cs="Arial"/>
          <w:i/>
          <w:sz w:val="20"/>
        </w:rPr>
        <w:t xml:space="preserve">Cross-references to Sections 1–23 resolve to Volume 1; Sections 24–45 to Volume 2. The master document remains LMS_Architecture_Specification_v8.docx.</w:t>
      </w:r>
    </w:p>
    <w:p>
      <w:pPr>
        <w:pStyle w:val="Heading1"/>
      </w:pPr>
      <w:r>
        <w:t>46. Reference-Model &amp; Standards Alignment</w:t>
      </w:r>
    </w:p>
    <w:p>
      <w:r>
        <w:rPr>
          <w:rFonts w:ascii="Arial" w:hAnsi="Arial" w:cs="Arial"/>
          <w:b w:val="0"/>
          <w:i w:val="0"/>
          <w:sz w:val="22"/>
        </w:rPr>
        <w:t>A top-tier architecture anchors itself to recognised industry frameworks rather than an invented structure. This section maps the platform to banking, IT-governance and India-specific standards, giving auditors and the Board a familiar frame of reference.</w:t>
      </w:r>
    </w:p>
    <w:p>
      <w:pPr>
        <w:pStyle w:val="Heading2"/>
      </w:pPr>
      <w:r>
        <w:t>46.1 Framework Mapping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400"/>
        <w:gridCol w:w="2400"/>
        <w:gridCol w:w="4560"/>
      </w:tblGrid>
      <w:tr>
        <w:tc>
          <w:tcPr>
            <w:tcW w:w="2400" w:type="dxa"/>
            <w:shd w:val="clear" w:color="auto" w:fill="1F4E78"/>
          </w:tcPr>
          <w:p>
            <w:pPr>
              <w:spacing w:after="0" w:before="0"/>
            </w:pPr>
            <w:r/>
            <w:r>
              <w:rPr>
                <w:rFonts w:ascii="Arial" w:hAnsi="Arial" w:cs="Arial"/>
                <w:b/>
                <w:color w:val="FFFFFF"/>
                <w:sz w:val="17"/>
              </w:rPr>
              <w:t>Framework</w:t>
            </w:r>
          </w:p>
        </w:tc>
        <w:tc>
          <w:tcPr>
            <w:tcW w:w="2400" w:type="dxa"/>
            <w:shd w:val="clear" w:color="auto" w:fill="1F4E78"/>
          </w:tcPr>
          <w:p>
            <w:pPr>
              <w:spacing w:after="0" w:before="0"/>
            </w:pPr>
            <w:r/>
            <w:r>
              <w:rPr>
                <w:rFonts w:ascii="Arial" w:hAnsi="Arial" w:cs="Arial"/>
                <w:b/>
                <w:color w:val="FFFFFF"/>
                <w:sz w:val="17"/>
              </w:rPr>
              <w:t>Purpose</w:t>
            </w:r>
          </w:p>
        </w:tc>
        <w:tc>
          <w:tcPr>
            <w:tcW w:w="4560" w:type="dxa"/>
            <w:shd w:val="clear" w:color="auto" w:fill="1F4E78"/>
          </w:tcPr>
          <w:p>
            <w:pPr>
              <w:spacing w:after="0" w:before="0"/>
            </w:pPr>
            <w:r/>
            <w:r>
              <w:rPr>
                <w:rFonts w:ascii="Arial" w:hAnsi="Arial" w:cs="Arial"/>
                <w:b/>
                <w:color w:val="FFFFFF"/>
                <w:sz w:val="17"/>
              </w:rPr>
              <w:t>How the design aligns</w:t>
            </w:r>
          </w:p>
        </w:tc>
      </w:tr>
      <w:tr>
        <w:tc>
          <w:tcPr>
            <w:tcW w:w="2400" w:type="dxa"/>
          </w:tcPr>
          <w:p>
            <w:pPr>
              <w:spacing w:after="0" w:before="0"/>
            </w:pPr>
            <w:r/>
            <w:r>
              <w:rPr>
                <w:rFonts w:ascii="Arial" w:hAnsi="Arial" w:cs="Arial"/>
                <w:b w:val="0"/>
                <w:sz w:val="17"/>
              </w:rPr>
              <w:t>BIAN (Banking Industry Architecture Network)</w:t>
            </w:r>
          </w:p>
        </w:tc>
        <w:tc>
          <w:tcPr>
            <w:tcW w:w="2400" w:type="dxa"/>
          </w:tcPr>
          <w:p>
            <w:pPr>
              <w:spacing w:after="0" w:before="0"/>
            </w:pPr>
            <w:r/>
            <w:r>
              <w:rPr>
                <w:rFonts w:ascii="Arial" w:hAnsi="Arial" w:cs="Arial"/>
                <w:b w:val="0"/>
                <w:sz w:val="17"/>
              </w:rPr>
              <w:t>Service-domain reference model</w:t>
            </w:r>
          </w:p>
        </w:tc>
        <w:tc>
          <w:tcPr>
            <w:tcW w:w="4560" w:type="dxa"/>
          </w:tcPr>
          <w:p>
            <w:pPr>
              <w:spacing w:after="0" w:before="0"/>
            </w:pPr>
            <w:r/>
            <w:r>
              <w:rPr>
                <w:rFonts w:ascii="Arial" w:hAnsi="Arial" w:cs="Arial"/>
                <w:b w:val="0"/>
                <w:sz w:val="17"/>
              </w:rPr>
              <w:t>Modules in Section 1.3 map to BIAN service domains — e.g., Party Reference Data Mgmt, Product Directory, Consumer/Corporate Loan, Collections, Credit Management, Financial Accounting, Regulatory Reporting</w:t>
            </w:r>
          </w:p>
        </w:tc>
      </w:tr>
      <w:tr>
        <w:tc>
          <w:tcPr>
            <w:tcW w:w="2400" w:type="dxa"/>
          </w:tcPr>
          <w:p>
            <w:pPr>
              <w:spacing w:after="0" w:before="0"/>
            </w:pPr>
            <w:r/>
            <w:r>
              <w:rPr>
                <w:rFonts w:ascii="Arial" w:hAnsi="Arial" w:cs="Arial"/>
                <w:b w:val="0"/>
                <w:sz w:val="17"/>
              </w:rPr>
              <w:t>TOGAF</w:t>
            </w:r>
          </w:p>
        </w:tc>
        <w:tc>
          <w:tcPr>
            <w:tcW w:w="2400" w:type="dxa"/>
          </w:tcPr>
          <w:p>
            <w:pPr>
              <w:spacing w:after="0" w:before="0"/>
            </w:pPr>
            <w:r/>
            <w:r>
              <w:rPr>
                <w:rFonts w:ascii="Arial" w:hAnsi="Arial" w:cs="Arial"/>
                <w:b w:val="0"/>
                <w:sz w:val="17"/>
              </w:rPr>
              <w:t>Enterprise-architecture method &amp; views</w:t>
            </w:r>
          </w:p>
        </w:tc>
        <w:tc>
          <w:tcPr>
            <w:tcW w:w="4560" w:type="dxa"/>
          </w:tcPr>
          <w:p>
            <w:pPr>
              <w:spacing w:after="0" w:before="0"/>
            </w:pPr>
            <w:r/>
            <w:r>
              <w:rPr>
                <w:rFonts w:ascii="Arial" w:hAnsi="Arial" w:cs="Arial"/>
                <w:b w:val="0"/>
                <w:sz w:val="17"/>
              </w:rPr>
              <w:t>Sections 1, 11, 12, 44 provide Business, Data, Application and Technology views; Section 47 adds baseline/target/transition</w:t>
            </w:r>
          </w:p>
        </w:tc>
      </w:tr>
      <w:tr>
        <w:tc>
          <w:tcPr>
            <w:tcW w:w="2400" w:type="dxa"/>
          </w:tcPr>
          <w:p>
            <w:pPr>
              <w:spacing w:after="0" w:before="0"/>
            </w:pPr>
            <w:r/>
            <w:r>
              <w:rPr>
                <w:rFonts w:ascii="Arial" w:hAnsi="Arial" w:cs="Arial"/>
                <w:b w:val="0"/>
                <w:sz w:val="17"/>
              </w:rPr>
              <w:t>COBIT 2019</w:t>
            </w:r>
          </w:p>
        </w:tc>
        <w:tc>
          <w:tcPr>
            <w:tcW w:w="2400" w:type="dxa"/>
          </w:tcPr>
          <w:p>
            <w:pPr>
              <w:spacing w:after="0" w:before="0"/>
            </w:pPr>
            <w:r/>
            <w:r>
              <w:rPr>
                <w:rFonts w:ascii="Arial" w:hAnsi="Arial" w:cs="Arial"/>
                <w:b w:val="0"/>
                <w:sz w:val="17"/>
              </w:rPr>
              <w:t>IT governance &amp; management objectives</w:t>
            </w:r>
          </w:p>
        </w:tc>
        <w:tc>
          <w:tcPr>
            <w:tcW w:w="4560" w:type="dxa"/>
          </w:tcPr>
          <w:p>
            <w:pPr>
              <w:spacing w:after="0" w:before="0"/>
            </w:pPr>
            <w:r/>
            <w:r>
              <w:rPr>
                <w:rFonts w:ascii="Arial" w:hAnsi="Arial" w:cs="Arial"/>
                <w:b w:val="0"/>
                <w:sz w:val="17"/>
              </w:rPr>
              <w:t>Section 34 maps to governance/risk/assurance objectives (aligned to RBI IT Directions)</w:t>
            </w:r>
          </w:p>
        </w:tc>
      </w:tr>
      <w:tr>
        <w:tc>
          <w:tcPr>
            <w:tcW w:w="2400" w:type="dxa"/>
          </w:tcPr>
          <w:p>
            <w:pPr>
              <w:spacing w:after="0" w:before="0"/>
            </w:pPr>
            <w:r/>
            <w:r>
              <w:rPr>
                <w:rFonts w:ascii="Arial" w:hAnsi="Arial" w:cs="Arial"/>
                <w:b w:val="0"/>
                <w:sz w:val="17"/>
              </w:rPr>
              <w:t>ITIL 4</w:t>
            </w:r>
          </w:p>
        </w:tc>
        <w:tc>
          <w:tcPr>
            <w:tcW w:w="2400" w:type="dxa"/>
          </w:tcPr>
          <w:p>
            <w:pPr>
              <w:spacing w:after="0" w:before="0"/>
            </w:pPr>
            <w:r/>
            <w:r>
              <w:rPr>
                <w:rFonts w:ascii="Arial" w:hAnsi="Arial" w:cs="Arial"/>
                <w:b w:val="0"/>
                <w:sz w:val="17"/>
              </w:rPr>
              <w:t>IT service management</w:t>
            </w:r>
          </w:p>
        </w:tc>
        <w:tc>
          <w:tcPr>
            <w:tcW w:w="4560" w:type="dxa"/>
          </w:tcPr>
          <w:p>
            <w:pPr>
              <w:spacing w:after="0" w:before="0"/>
            </w:pPr>
            <w:r/>
            <w:r>
              <w:rPr>
                <w:rFonts w:ascii="Arial" w:hAnsi="Arial" w:cs="Arial"/>
                <w:b w:val="0"/>
                <w:sz w:val="17"/>
              </w:rPr>
              <w:t>Sections 42 (observability, change) and 58 (go-live, hypercare) reflect ITIL practices</w:t>
            </w:r>
          </w:p>
        </w:tc>
      </w:tr>
      <w:tr>
        <w:tc>
          <w:tcPr>
            <w:tcW w:w="2400" w:type="dxa"/>
          </w:tcPr>
          <w:p>
            <w:pPr>
              <w:spacing w:after="0" w:before="0"/>
            </w:pPr>
            <w:r/>
            <w:r>
              <w:rPr>
                <w:rFonts w:ascii="Arial" w:hAnsi="Arial" w:cs="Arial"/>
                <w:b w:val="0"/>
                <w:sz w:val="17"/>
              </w:rPr>
              <w:t>COSO / COSO-ERM</w:t>
            </w:r>
          </w:p>
        </w:tc>
        <w:tc>
          <w:tcPr>
            <w:tcW w:w="2400" w:type="dxa"/>
          </w:tcPr>
          <w:p>
            <w:pPr>
              <w:spacing w:after="0" w:before="0"/>
            </w:pPr>
            <w:r/>
            <w:r>
              <w:rPr>
                <w:rFonts w:ascii="Arial" w:hAnsi="Arial" w:cs="Arial"/>
                <w:b w:val="0"/>
                <w:sz w:val="17"/>
              </w:rPr>
              <w:t>Internal control &amp; enterprise risk</w:t>
            </w:r>
          </w:p>
        </w:tc>
        <w:tc>
          <w:tcPr>
            <w:tcW w:w="4560" w:type="dxa"/>
          </w:tcPr>
          <w:p>
            <w:pPr>
              <w:spacing w:after="0" w:before="0"/>
            </w:pPr>
            <w:r/>
            <w:r>
              <w:rPr>
                <w:rFonts w:ascii="Arial" w:hAnsi="Arial" w:cs="Arial"/>
                <w:b w:val="0"/>
                <w:sz w:val="17"/>
              </w:rPr>
              <w:t>Sections 8, 14, 33, 37, 55 map to control activities and risk response</w:t>
            </w:r>
          </w:p>
        </w:tc>
      </w:tr>
      <w:tr>
        <w:tc>
          <w:tcPr>
            <w:tcW w:w="2400" w:type="dxa"/>
          </w:tcPr>
          <w:p>
            <w:pPr>
              <w:spacing w:after="0" w:before="0"/>
            </w:pPr>
            <w:r/>
            <w:r>
              <w:rPr>
                <w:rFonts w:ascii="Arial" w:hAnsi="Arial" w:cs="Arial"/>
                <w:b w:val="0"/>
                <w:sz w:val="17"/>
              </w:rPr>
              <w:t>ISO/IEC 27001 &amp; NIST CSF</w:t>
            </w:r>
          </w:p>
        </w:tc>
        <w:tc>
          <w:tcPr>
            <w:tcW w:w="2400" w:type="dxa"/>
          </w:tcPr>
          <w:p>
            <w:pPr>
              <w:spacing w:after="0" w:before="0"/>
            </w:pPr>
            <w:r/>
            <w:r>
              <w:rPr>
                <w:rFonts w:ascii="Arial" w:hAnsi="Arial" w:cs="Arial"/>
                <w:b w:val="0"/>
                <w:sz w:val="17"/>
              </w:rPr>
              <w:t>Information-security control frameworks</w:t>
            </w:r>
          </w:p>
        </w:tc>
        <w:tc>
          <w:tcPr>
            <w:tcW w:w="4560" w:type="dxa"/>
          </w:tcPr>
          <w:p>
            <w:pPr>
              <w:spacing w:after="0" w:before="0"/>
            </w:pPr>
            <w:r/>
            <w:r>
              <w:rPr>
                <w:rFonts w:ascii="Arial" w:hAnsi="Arial" w:cs="Arial"/>
                <w:b w:val="0"/>
                <w:sz w:val="17"/>
              </w:rPr>
              <w:t>Section 50 control matrix maps each control to these frameworks and the RBI IT Directions</w:t>
            </w:r>
          </w:p>
        </w:tc>
      </w:tr>
    </w:tbl>
    <w:p/>
    <w:p>
      <w:pPr>
        <w:pStyle w:val="Heading2"/>
      </w:pPr>
      <w:r>
        <w:t>46.2 India Stack, Digital Rails &amp; Messaging Standards</w:t>
      </w:r>
    </w:p>
    <w:p>
      <w:r>
        <w:rPr>
          <w:rFonts w:ascii="Arial" w:hAnsi="Arial" w:cs="Arial"/>
          <w:b w:val="0"/>
          <w:i w:val="0"/>
          <w:sz w:val="22"/>
        </w:rPr>
        <w:t>The platform is designed to consume India’s public digital infrastructure natively rather than through bespoke point integrations.</w:t>
      </w:r>
    </w:p>
    <w:p>
      <w:pPr>
        <w:jc w:val="center"/>
      </w:pPr>
      <w:r>
        <w:drawing>
          <wp:inline xmlns:a="http://schemas.openxmlformats.org/drawingml/2006/main" xmlns:pic="http://schemas.openxmlformats.org/drawingml/2006/picture">
            <wp:extent cx="5120640" cy="836340"/>
            <wp:docPr id="11" name="Picture 11"/>
            <wp:cNvGraphicFramePr>
              <a:graphicFrameLocks noChangeAspect="1"/>
            </wp:cNvGraphicFramePr>
            <a:graphic>
              <a:graphicData uri="http://schemas.openxmlformats.org/drawingml/2006/picture">
                <pic:pic>
                  <pic:nvPicPr>
                    <pic:cNvPr id="0" name="d13_indiastack.png"/>
                    <pic:cNvPicPr/>
                  </pic:nvPicPr>
                  <pic:blipFill>
                    <a:blip r:embed="rId23"/>
                    <a:stretch>
                      <a:fillRect/>
                    </a:stretch>
                  </pic:blipFill>
                  <pic:spPr>
                    <a:xfrm>
                      <a:off x="0" y="0"/>
                      <a:ext cx="5120640" cy="836340"/>
                    </a:xfrm>
                    <a:prstGeom prst="rect"/>
                  </pic:spPr>
                </pic:pic>
              </a:graphicData>
            </a:graphic>
          </wp:inline>
        </w:drawing>
      </w:r>
    </w:p>
    <w:p>
      <w:pPr>
        <w:jc w:val="center"/>
      </w:pPr>
      <w:r>
        <w:rPr>
          <w:rFonts w:ascii="Arial" w:hAnsi="Arial" w:cs="Arial"/>
          <w:i/>
          <w:color w:val="404040"/>
          <w:sz w:val="18"/>
        </w:rPr>
        <w:t>Figure 46.1 — Alignment to India Stack layers and digital-lending rails (Sections 12, 38).</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3300"/>
        <w:gridCol w:w="3860"/>
      </w:tblGrid>
      <w:tr>
        <w:tc>
          <w:tcPr>
            <w:tcW w:w="2200" w:type="dxa"/>
            <w:shd w:val="clear" w:color="auto" w:fill="1F4E78"/>
          </w:tcPr>
          <w:p>
            <w:pPr>
              <w:spacing w:after="0" w:before="0"/>
            </w:pPr>
            <w:r/>
            <w:r>
              <w:rPr>
                <w:rFonts w:ascii="Arial" w:hAnsi="Arial" w:cs="Arial"/>
                <w:b/>
                <w:color w:val="FFFFFF"/>
                <w:sz w:val="17"/>
              </w:rPr>
              <w:t>Layer / standard</w:t>
            </w:r>
          </w:p>
        </w:tc>
        <w:tc>
          <w:tcPr>
            <w:tcW w:w="3300" w:type="dxa"/>
            <w:shd w:val="clear" w:color="auto" w:fill="1F4E78"/>
          </w:tcPr>
          <w:p>
            <w:pPr>
              <w:spacing w:after="0" w:before="0"/>
            </w:pPr>
            <w:r/>
            <w:r>
              <w:rPr>
                <w:rFonts w:ascii="Arial" w:hAnsi="Arial" w:cs="Arial"/>
                <w:b/>
                <w:color w:val="FFFFFF"/>
                <w:sz w:val="17"/>
              </w:rPr>
              <w:t>Component</w:t>
            </w:r>
          </w:p>
        </w:tc>
        <w:tc>
          <w:tcPr>
            <w:tcW w:w="3860" w:type="dxa"/>
            <w:shd w:val="clear" w:color="auto" w:fill="1F4E78"/>
          </w:tcPr>
          <w:p>
            <w:pPr>
              <w:spacing w:after="0" w:before="0"/>
            </w:pPr>
            <w:r/>
            <w:r>
              <w:rPr>
                <w:rFonts w:ascii="Arial" w:hAnsi="Arial" w:cs="Arial"/>
                <w:b/>
                <w:color w:val="FFFFFF"/>
                <w:sz w:val="17"/>
              </w:rPr>
              <w:t>Where used</w:t>
            </w:r>
          </w:p>
        </w:tc>
      </w:tr>
      <w:tr>
        <w:tc>
          <w:tcPr>
            <w:tcW w:w="2200" w:type="dxa"/>
          </w:tcPr>
          <w:p>
            <w:pPr>
              <w:spacing w:after="0" w:before="0"/>
            </w:pPr>
            <w:r/>
            <w:r>
              <w:rPr>
                <w:rFonts w:ascii="Arial" w:hAnsi="Arial" w:cs="Arial"/>
                <w:b w:val="0"/>
                <w:sz w:val="17"/>
              </w:rPr>
              <w:t>Identity</w:t>
            </w:r>
          </w:p>
        </w:tc>
        <w:tc>
          <w:tcPr>
            <w:tcW w:w="3300" w:type="dxa"/>
          </w:tcPr>
          <w:p>
            <w:pPr>
              <w:spacing w:after="0" w:before="0"/>
            </w:pPr>
            <w:r/>
            <w:r>
              <w:rPr>
                <w:rFonts w:ascii="Arial" w:hAnsi="Arial" w:cs="Arial"/>
                <w:b w:val="0"/>
                <w:sz w:val="17"/>
              </w:rPr>
              <w:t>Aadhaar eKYC, DigiLocker, CKYC, Video-KYC</w:t>
            </w:r>
          </w:p>
        </w:tc>
        <w:tc>
          <w:tcPr>
            <w:tcW w:w="3860" w:type="dxa"/>
          </w:tcPr>
          <w:p>
            <w:pPr>
              <w:spacing w:after="0" w:before="0"/>
            </w:pPr>
            <w:r/>
            <w:r>
              <w:rPr>
                <w:rFonts w:ascii="Arial" w:hAnsi="Arial" w:cs="Arial"/>
                <w:b w:val="0"/>
                <w:sz w:val="17"/>
              </w:rPr>
              <w:t>Onboarding (Section 2, 12)</w:t>
            </w:r>
          </w:p>
        </w:tc>
      </w:tr>
      <w:tr>
        <w:tc>
          <w:tcPr>
            <w:tcW w:w="2200" w:type="dxa"/>
          </w:tcPr>
          <w:p>
            <w:pPr>
              <w:spacing w:after="0" w:before="0"/>
            </w:pPr>
            <w:r/>
            <w:r>
              <w:rPr>
                <w:rFonts w:ascii="Arial" w:hAnsi="Arial" w:cs="Arial"/>
                <w:b w:val="0"/>
                <w:sz w:val="17"/>
              </w:rPr>
              <w:t>Payments</w:t>
            </w:r>
          </w:p>
        </w:tc>
        <w:tc>
          <w:tcPr>
            <w:tcW w:w="3300" w:type="dxa"/>
          </w:tcPr>
          <w:p>
            <w:pPr>
              <w:spacing w:after="0" w:before="0"/>
            </w:pPr>
            <w:r/>
            <w:r>
              <w:rPr>
                <w:rFonts w:ascii="Arial" w:hAnsi="Arial" w:cs="Arial"/>
                <w:b w:val="0"/>
                <w:sz w:val="17"/>
              </w:rPr>
              <w:t>UPI, UPI Autopay, NACH/e-NACH, IMPS/NEFT/RTGS</w:t>
            </w:r>
          </w:p>
        </w:tc>
        <w:tc>
          <w:tcPr>
            <w:tcW w:w="3860" w:type="dxa"/>
          </w:tcPr>
          <w:p>
            <w:pPr>
              <w:spacing w:after="0" w:before="0"/>
            </w:pPr>
            <w:r/>
            <w:r>
              <w:rPr>
                <w:rFonts w:ascii="Arial" w:hAnsi="Arial" w:cs="Arial"/>
                <w:b w:val="0"/>
                <w:sz w:val="17"/>
              </w:rPr>
              <w:t>Disbursement &amp; collection (Sections 6, 38)</w:t>
            </w:r>
          </w:p>
        </w:tc>
      </w:tr>
      <w:tr>
        <w:tc>
          <w:tcPr>
            <w:tcW w:w="2200" w:type="dxa"/>
          </w:tcPr>
          <w:p>
            <w:pPr>
              <w:spacing w:after="0" w:before="0"/>
            </w:pPr>
            <w:r/>
            <w:r>
              <w:rPr>
                <w:rFonts w:ascii="Arial" w:hAnsi="Arial" w:cs="Arial"/>
                <w:b w:val="0"/>
                <w:sz w:val="17"/>
              </w:rPr>
              <w:t>Data &amp; consent</w:t>
            </w:r>
          </w:p>
        </w:tc>
        <w:tc>
          <w:tcPr>
            <w:tcW w:w="3300" w:type="dxa"/>
          </w:tcPr>
          <w:p>
            <w:pPr>
              <w:spacing w:after="0" w:before="0"/>
            </w:pPr>
            <w:r/>
            <w:r>
              <w:rPr>
                <w:rFonts w:ascii="Arial" w:hAnsi="Arial" w:cs="Arial"/>
                <w:b w:val="0"/>
                <w:sz w:val="17"/>
              </w:rPr>
              <w:t>Account Aggregator (Sahamati), GSTN, DEPA</w:t>
            </w:r>
          </w:p>
        </w:tc>
        <w:tc>
          <w:tcPr>
            <w:tcW w:w="3860" w:type="dxa"/>
          </w:tcPr>
          <w:p>
            <w:pPr>
              <w:spacing w:after="0" w:before="0"/>
            </w:pPr>
            <w:r/>
            <w:r>
              <w:rPr>
                <w:rFonts w:ascii="Arial" w:hAnsi="Arial" w:cs="Arial"/>
                <w:b w:val="0"/>
                <w:sz w:val="17"/>
              </w:rPr>
              <w:t>Cash-flow underwriting (Sections 3.33, 35, 43)</w:t>
            </w:r>
          </w:p>
        </w:tc>
      </w:tr>
      <w:tr>
        <w:tc>
          <w:tcPr>
            <w:tcW w:w="2200" w:type="dxa"/>
          </w:tcPr>
          <w:p>
            <w:pPr>
              <w:spacing w:after="0" w:before="0"/>
            </w:pPr>
            <w:r/>
            <w:r>
              <w:rPr>
                <w:rFonts w:ascii="Arial" w:hAnsi="Arial" w:cs="Arial"/>
                <w:b w:val="0"/>
                <w:sz w:val="17"/>
              </w:rPr>
              <w:t>Credit rails</w:t>
            </w:r>
          </w:p>
        </w:tc>
        <w:tc>
          <w:tcPr>
            <w:tcW w:w="3300" w:type="dxa"/>
          </w:tcPr>
          <w:p>
            <w:pPr>
              <w:spacing w:after="0" w:before="0"/>
            </w:pPr>
            <w:r/>
            <w:r>
              <w:rPr>
                <w:rFonts w:ascii="Arial" w:hAnsi="Arial" w:cs="Arial"/>
                <w:b w:val="0"/>
                <w:sz w:val="17"/>
              </w:rPr>
              <w:t>OCEN (LSP/LDS roles), TReDS, Co-lending</w:t>
            </w:r>
          </w:p>
        </w:tc>
        <w:tc>
          <w:tcPr>
            <w:tcW w:w="3860" w:type="dxa"/>
          </w:tcPr>
          <w:p>
            <w:pPr>
              <w:spacing w:after="0" w:before="0"/>
            </w:pPr>
            <w:r/>
            <w:r>
              <w:rPr>
                <w:rFonts w:ascii="Arial" w:hAnsi="Arial" w:cs="Arial"/>
                <w:b w:val="0"/>
                <w:sz w:val="17"/>
              </w:rPr>
              <w:t>Digital lending &amp; partnerships (Sections 17, 18)</w:t>
            </w:r>
          </w:p>
        </w:tc>
      </w:tr>
      <w:tr>
        <w:tc>
          <w:tcPr>
            <w:tcW w:w="2200" w:type="dxa"/>
          </w:tcPr>
          <w:p>
            <w:pPr>
              <w:spacing w:after="0" w:before="0"/>
            </w:pPr>
            <w:r/>
            <w:r>
              <w:rPr>
                <w:rFonts w:ascii="Arial" w:hAnsi="Arial" w:cs="Arial"/>
                <w:b w:val="0"/>
                <w:sz w:val="17"/>
              </w:rPr>
              <w:t>Commerce</w:t>
            </w:r>
          </w:p>
        </w:tc>
        <w:tc>
          <w:tcPr>
            <w:tcW w:w="3300" w:type="dxa"/>
          </w:tcPr>
          <w:p>
            <w:pPr>
              <w:spacing w:after="0" w:before="0"/>
            </w:pPr>
            <w:r/>
            <w:r>
              <w:rPr>
                <w:rFonts w:ascii="Arial" w:hAnsi="Arial" w:cs="Arial"/>
                <w:b w:val="0"/>
                <w:sz w:val="17"/>
              </w:rPr>
              <w:t>ONDC credit, merchant/POS</w:t>
            </w:r>
          </w:p>
        </w:tc>
        <w:tc>
          <w:tcPr>
            <w:tcW w:w="3860" w:type="dxa"/>
          </w:tcPr>
          <w:p>
            <w:pPr>
              <w:spacing w:after="0" w:before="0"/>
            </w:pPr>
            <w:r/>
            <w:r>
              <w:rPr>
                <w:rFonts w:ascii="Arial" w:hAnsi="Arial" w:cs="Arial"/>
                <w:b w:val="0"/>
                <w:sz w:val="17"/>
              </w:rPr>
              <w:t>Embedded/BNPL/POS (Sections 3.22–3.23)</w:t>
            </w:r>
          </w:p>
        </w:tc>
      </w:tr>
      <w:tr>
        <w:tc>
          <w:tcPr>
            <w:tcW w:w="2200" w:type="dxa"/>
          </w:tcPr>
          <w:p>
            <w:pPr>
              <w:spacing w:after="0" w:before="0"/>
            </w:pPr>
            <w:r/>
            <w:r>
              <w:rPr>
                <w:rFonts w:ascii="Arial" w:hAnsi="Arial" w:cs="Arial"/>
                <w:b w:val="0"/>
                <w:sz w:val="17"/>
              </w:rPr>
              <w:t>Messaging</w:t>
            </w:r>
          </w:p>
        </w:tc>
        <w:tc>
          <w:tcPr>
            <w:tcW w:w="3300" w:type="dxa"/>
          </w:tcPr>
          <w:p>
            <w:pPr>
              <w:spacing w:after="0" w:before="0"/>
            </w:pPr>
            <w:r/>
            <w:r>
              <w:rPr>
                <w:rFonts w:ascii="Arial" w:hAnsi="Arial" w:cs="Arial"/>
                <w:b w:val="0"/>
                <w:sz w:val="17"/>
              </w:rPr>
              <w:t>ISO 20022 (payments), ISO 17442 (LEI), bureau URF</w:t>
            </w:r>
          </w:p>
        </w:tc>
        <w:tc>
          <w:tcPr>
            <w:tcW w:w="3860" w:type="dxa"/>
          </w:tcPr>
          <w:p>
            <w:pPr>
              <w:spacing w:after="0" w:before="0"/>
            </w:pPr>
            <w:r/>
            <w:r>
              <w:rPr>
                <w:rFonts w:ascii="Arial" w:hAnsi="Arial" w:cs="Arial"/>
                <w:b w:val="0"/>
                <w:sz w:val="17"/>
              </w:rPr>
              <w:t>Integration &amp; reporting (Sections 10, 12, 40)</w:t>
            </w:r>
          </w:p>
        </w:tc>
      </w:tr>
    </w:tbl>
    <w:p/>
    <w:p>
      <w:pPr>
        <w:pStyle w:val="Heading1"/>
      </w:pPr>
      <w:r>
        <w:t>47. Current-State Assessment, Maturity &amp; Transition Architecture</w:t>
      </w:r>
    </w:p>
    <w:p>
      <w:r>
        <w:rPr>
          <w:rFonts w:ascii="Arial" w:hAnsi="Arial" w:cs="Arial"/>
          <w:b w:val="0"/>
          <w:i w:val="0"/>
          <w:sz w:val="22"/>
        </w:rPr>
        <w:t>Sections 1–44 describe the target state. A Big-4-grade deliverable also documents where the organisation is today, the gap, and the path across — so the programme is a managed transition, not a single leap.</w:t>
      </w:r>
    </w:p>
    <w:p>
      <w:pPr>
        <w:pStyle w:val="Heading2"/>
      </w:pPr>
      <w:r>
        <w:t>47.1 Indicative As-Is Pain Points</w:t>
      </w:r>
    </w:p>
    <w:p>
      <w:pPr>
        <w:pStyle w:val="ListParagraph"/>
        <w:numPr>
          <w:ilvl w:val="0"/>
          <w:numId w:val="2"/>
        </w:numPr>
      </w:pPr>
      <w:r>
        <w:rPr>
          <w:rFonts w:ascii="Arial" w:hAnsi="Arial" w:cs="Arial"/>
          <w:sz w:val="22"/>
        </w:rPr>
        <w:t>Product changes require code releases; new products take weeks to launch.</w:t>
      </w:r>
    </w:p>
    <w:p>
      <w:pPr>
        <w:pStyle w:val="ListParagraph"/>
        <w:numPr>
          <w:ilvl w:val="0"/>
          <w:numId w:val="2"/>
        </w:numPr>
      </w:pPr>
      <w:r>
        <w:rPr>
          <w:rFonts w:ascii="Arial" w:hAnsi="Arial" w:cs="Arial"/>
          <w:sz w:val="22"/>
        </w:rPr>
        <w:t>Fragmented systems — origination, servicing, accounting and collections in separate tools with manual reconciliation.</w:t>
      </w:r>
    </w:p>
    <w:p>
      <w:pPr>
        <w:pStyle w:val="ListParagraph"/>
        <w:numPr>
          <w:ilvl w:val="0"/>
          <w:numId w:val="2"/>
        </w:numPr>
      </w:pPr>
      <w:r>
        <w:rPr>
          <w:rFonts w:ascii="Arial" w:hAnsi="Arial" w:cs="Arial"/>
          <w:sz w:val="22"/>
        </w:rPr>
        <w:t>Regulatory returns and bureau files assembled semi-manually, with rework and late-submission risk.</w:t>
      </w:r>
    </w:p>
    <w:p>
      <w:pPr>
        <w:pStyle w:val="ListParagraph"/>
        <w:numPr>
          <w:ilvl w:val="0"/>
          <w:numId w:val="2"/>
        </w:numPr>
      </w:pPr>
      <w:r>
        <w:rPr>
          <w:rFonts w:ascii="Arial" w:hAnsi="Arial" w:cs="Arial"/>
          <w:sz w:val="22"/>
        </w:rPr>
        <w:t>Limited straight-through digital origination; heavy branch dependency; thin analytics/EWS.</w:t>
      </w:r>
    </w:p>
    <w:p>
      <w:pPr>
        <w:pStyle w:val="ListParagraph"/>
        <w:numPr>
          <w:ilvl w:val="0"/>
          <w:numId w:val="2"/>
        </w:numPr>
      </w:pPr>
      <w:r>
        <w:rPr>
          <w:rFonts w:ascii="Arial" w:hAnsi="Arial" w:cs="Arial"/>
          <w:sz w:val="22"/>
        </w:rPr>
        <w:t>Provisioning and Ind AS 109 ECL computed offline in spreadsheets.</w:t>
      </w:r>
    </w:p>
    <w:p>
      <w:pPr>
        <w:pStyle w:val="Heading2"/>
      </w:pPr>
      <w:r>
        <w:t>47.2 Capability Maturity — Current vs Target</w:t>
      </w:r>
    </w:p>
    <w:p>
      <w:pPr>
        <w:jc w:val="center"/>
      </w:pPr>
      <w:r>
        <w:drawing>
          <wp:inline xmlns:a="http://schemas.openxmlformats.org/drawingml/2006/main" xmlns:pic="http://schemas.openxmlformats.org/drawingml/2006/picture">
            <wp:extent cx="5852160" cy="4014292"/>
            <wp:docPr id="12" name="Picture 12"/>
            <wp:cNvGraphicFramePr>
              <a:graphicFrameLocks noChangeAspect="1"/>
            </wp:cNvGraphicFramePr>
            <a:graphic>
              <a:graphicData uri="http://schemas.openxmlformats.org/drawingml/2006/picture">
                <pic:pic>
                  <pic:nvPicPr>
                    <pic:cNvPr id="0" name="d10_maturity.png"/>
                    <pic:cNvPicPr/>
                  </pic:nvPicPr>
                  <pic:blipFill>
                    <a:blip r:embed="rId24"/>
                    <a:stretch>
                      <a:fillRect/>
                    </a:stretch>
                  </pic:blipFill>
                  <pic:spPr>
                    <a:xfrm>
                      <a:off x="0" y="0"/>
                      <a:ext cx="5852160" cy="4014292"/>
                    </a:xfrm>
                    <a:prstGeom prst="rect"/>
                  </pic:spPr>
                </pic:pic>
              </a:graphicData>
            </a:graphic>
          </wp:inline>
        </w:drawing>
      </w:r>
    </w:p>
    <w:p>
      <w:pPr>
        <w:jc w:val="center"/>
      </w:pPr>
      <w:r>
        <w:rPr>
          <w:rFonts w:ascii="Arial" w:hAnsi="Arial" w:cs="Arial"/>
          <w:i/>
          <w:color w:val="404040"/>
          <w:sz w:val="18"/>
        </w:rPr>
        <w:t>Figure 47.1 — Capability maturity heatmap (1 = Initial … 5 = Optimised). Illustrative baseline; confirm in current-state workshops.</w:t>
      </w:r>
    </w:p>
    <w:p>
      <w:pPr>
        <w:pStyle w:val="Heading2"/>
      </w:pPr>
      <w:r>
        <w:t>47.3 Gap Analysis (illustrative)</w:t>
      </w:r>
    </w:p>
    <w:tbl>
      <w:tblPr>
        <w:tblW w:w="8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4600"/>
        <w:gridCol w:w="1160"/>
      </w:tblGrid>
      <w:tr>
        <w:tc>
          <w:tcPr>
            <w:tcW w:w="2600" w:type="dxa"/>
            <w:shd w:val="clear" w:color="auto" w:fill="1F4E78"/>
          </w:tcPr>
          <w:p>
            <w:pPr>
              <w:spacing w:after="0" w:before="0"/>
            </w:pPr>
            <w:r/>
            <w:r>
              <w:rPr>
                <w:rFonts w:ascii="Arial" w:hAnsi="Arial" w:cs="Arial"/>
                <w:b/>
                <w:color w:val="FFFFFF"/>
                <w:sz w:val="17"/>
              </w:rPr>
              <w:t>Capability</w:t>
            </w:r>
          </w:p>
        </w:tc>
        <w:tc>
          <w:tcPr>
            <w:tcW w:w="4600" w:type="dxa"/>
            <w:shd w:val="clear" w:color="auto" w:fill="1F4E78"/>
          </w:tcPr>
          <w:p>
            <w:pPr>
              <w:spacing w:after="0" w:before="0"/>
            </w:pPr>
            <w:r/>
            <w:r>
              <w:rPr>
                <w:rFonts w:ascii="Arial" w:hAnsi="Arial" w:cs="Arial"/>
                <w:b/>
                <w:color w:val="FFFFFF"/>
                <w:sz w:val="17"/>
              </w:rPr>
              <w:t>Gap</w:t>
            </w:r>
          </w:p>
        </w:tc>
        <w:tc>
          <w:tcPr>
            <w:tcW w:w="1160" w:type="dxa"/>
            <w:shd w:val="clear" w:color="auto" w:fill="1F4E78"/>
          </w:tcPr>
          <w:p>
            <w:pPr>
              <w:spacing w:after="0" w:before="0"/>
            </w:pPr>
            <w:r/>
            <w:r>
              <w:rPr>
                <w:rFonts w:ascii="Arial" w:hAnsi="Arial" w:cs="Arial"/>
                <w:b/>
                <w:color w:val="FFFFFF"/>
                <w:sz w:val="17"/>
              </w:rPr>
              <w:t>Priority</w:t>
            </w:r>
          </w:p>
        </w:tc>
      </w:tr>
      <w:tr>
        <w:tc>
          <w:tcPr>
            <w:tcW w:w="2600" w:type="dxa"/>
          </w:tcPr>
          <w:p>
            <w:pPr>
              <w:spacing w:after="0" w:before="0"/>
            </w:pPr>
            <w:r/>
            <w:r>
              <w:rPr>
                <w:rFonts w:ascii="Arial" w:hAnsi="Arial" w:cs="Arial"/>
                <w:b w:val="0"/>
                <w:sz w:val="17"/>
              </w:rPr>
              <w:t>Product configuration</w:t>
            </w:r>
          </w:p>
        </w:tc>
        <w:tc>
          <w:tcPr>
            <w:tcW w:w="4600" w:type="dxa"/>
          </w:tcPr>
          <w:p>
            <w:pPr>
              <w:spacing w:after="0" w:before="0"/>
            </w:pPr>
            <w:r/>
            <w:r>
              <w:rPr>
                <w:rFonts w:ascii="Arial" w:hAnsi="Arial" w:cs="Arial"/>
                <w:b w:val="0"/>
                <w:sz w:val="17"/>
              </w:rPr>
              <w:t>Code-driven → parameterised engine (Section 3)</w:t>
            </w:r>
          </w:p>
        </w:tc>
        <w:tc>
          <w:tcPr>
            <w:tcW w:w="1160" w:type="dxa"/>
          </w:tcPr>
          <w:p>
            <w:pPr>
              <w:spacing w:after="0" w:before="0"/>
            </w:pPr>
            <w:r/>
            <w:r>
              <w:rPr>
                <w:rFonts w:ascii="Arial" w:hAnsi="Arial" w:cs="Arial"/>
                <w:b w:val="0"/>
                <w:sz w:val="17"/>
              </w:rPr>
              <w:t>High</w:t>
            </w:r>
          </w:p>
        </w:tc>
      </w:tr>
      <w:tr>
        <w:tc>
          <w:tcPr>
            <w:tcW w:w="2600" w:type="dxa"/>
          </w:tcPr>
          <w:p>
            <w:pPr>
              <w:spacing w:after="0" w:before="0"/>
            </w:pPr>
            <w:r/>
            <w:r>
              <w:rPr>
                <w:rFonts w:ascii="Arial" w:hAnsi="Arial" w:cs="Arial"/>
                <w:b w:val="0"/>
                <w:sz w:val="17"/>
              </w:rPr>
              <w:t>Digital origination</w:t>
            </w:r>
          </w:p>
        </w:tc>
        <w:tc>
          <w:tcPr>
            <w:tcW w:w="4600" w:type="dxa"/>
          </w:tcPr>
          <w:p>
            <w:pPr>
              <w:spacing w:after="0" w:before="0"/>
            </w:pPr>
            <w:r/>
            <w:r>
              <w:rPr>
                <w:rFonts w:ascii="Arial" w:hAnsi="Arial" w:cs="Arial"/>
                <w:b w:val="0"/>
                <w:sz w:val="17"/>
              </w:rPr>
              <w:t>Manual → straight-through with AA/eKYC (Sections 2, 3.33)</w:t>
            </w:r>
          </w:p>
        </w:tc>
        <w:tc>
          <w:tcPr>
            <w:tcW w:w="1160" w:type="dxa"/>
          </w:tcPr>
          <w:p>
            <w:pPr>
              <w:spacing w:after="0" w:before="0"/>
            </w:pPr>
            <w:r/>
            <w:r>
              <w:rPr>
                <w:rFonts w:ascii="Arial" w:hAnsi="Arial" w:cs="Arial"/>
                <w:b w:val="0"/>
                <w:sz w:val="17"/>
              </w:rPr>
              <w:t>High</w:t>
            </w:r>
          </w:p>
        </w:tc>
      </w:tr>
      <w:tr>
        <w:tc>
          <w:tcPr>
            <w:tcW w:w="2600" w:type="dxa"/>
          </w:tcPr>
          <w:p>
            <w:pPr>
              <w:spacing w:after="0" w:before="0"/>
            </w:pPr>
            <w:r/>
            <w:r>
              <w:rPr>
                <w:rFonts w:ascii="Arial" w:hAnsi="Arial" w:cs="Arial"/>
                <w:b w:val="0"/>
                <w:sz w:val="17"/>
              </w:rPr>
              <w:t>Accounting/GL &amp; provisioning</w:t>
            </w:r>
          </w:p>
        </w:tc>
        <w:tc>
          <w:tcPr>
            <w:tcW w:w="4600" w:type="dxa"/>
          </w:tcPr>
          <w:p>
            <w:pPr>
              <w:spacing w:after="0" w:before="0"/>
            </w:pPr>
            <w:r/>
            <w:r>
              <w:rPr>
                <w:rFonts w:ascii="Arial" w:hAnsi="Arial" w:cs="Arial"/>
                <w:b w:val="0"/>
                <w:sz w:val="17"/>
              </w:rPr>
              <w:t>Offline → embedded GL + ECL engine (Sections 8, 30)</w:t>
            </w:r>
          </w:p>
        </w:tc>
        <w:tc>
          <w:tcPr>
            <w:tcW w:w="1160" w:type="dxa"/>
          </w:tcPr>
          <w:p>
            <w:pPr>
              <w:spacing w:after="0" w:before="0"/>
            </w:pPr>
            <w:r/>
            <w:r>
              <w:rPr>
                <w:rFonts w:ascii="Arial" w:hAnsi="Arial" w:cs="Arial"/>
                <w:b w:val="0"/>
                <w:sz w:val="17"/>
              </w:rPr>
              <w:t>High</w:t>
            </w:r>
          </w:p>
        </w:tc>
      </w:tr>
      <w:tr>
        <w:tc>
          <w:tcPr>
            <w:tcW w:w="2600" w:type="dxa"/>
          </w:tcPr>
          <w:p>
            <w:pPr>
              <w:spacing w:after="0" w:before="0"/>
            </w:pPr>
            <w:r/>
            <w:r>
              <w:rPr>
                <w:rFonts w:ascii="Arial" w:hAnsi="Arial" w:cs="Arial"/>
                <w:b w:val="0"/>
                <w:sz w:val="17"/>
              </w:rPr>
              <w:t>Regulatory reporting</w:t>
            </w:r>
          </w:p>
        </w:tc>
        <w:tc>
          <w:tcPr>
            <w:tcW w:w="4600" w:type="dxa"/>
          </w:tcPr>
          <w:p>
            <w:pPr>
              <w:spacing w:after="0" w:before="0"/>
            </w:pPr>
            <w:r/>
            <w:r>
              <w:rPr>
                <w:rFonts w:ascii="Arial" w:hAnsi="Arial" w:cs="Arial"/>
                <w:b w:val="0"/>
                <w:sz w:val="17"/>
              </w:rPr>
              <w:t>Semi-manual → configurable engine + DQ (Section 9)</w:t>
            </w:r>
          </w:p>
        </w:tc>
        <w:tc>
          <w:tcPr>
            <w:tcW w:w="1160" w:type="dxa"/>
          </w:tcPr>
          <w:p>
            <w:pPr>
              <w:spacing w:after="0" w:before="0"/>
            </w:pPr>
            <w:r/>
            <w:r>
              <w:rPr>
                <w:rFonts w:ascii="Arial" w:hAnsi="Arial" w:cs="Arial"/>
                <w:b w:val="0"/>
                <w:sz w:val="17"/>
              </w:rPr>
              <w:t>High</w:t>
            </w:r>
          </w:p>
        </w:tc>
      </w:tr>
      <w:tr>
        <w:tc>
          <w:tcPr>
            <w:tcW w:w="2600" w:type="dxa"/>
          </w:tcPr>
          <w:p>
            <w:pPr>
              <w:spacing w:after="0" w:before="0"/>
            </w:pPr>
            <w:r/>
            <w:r>
              <w:rPr>
                <w:rFonts w:ascii="Arial" w:hAnsi="Arial" w:cs="Arial"/>
                <w:b w:val="0"/>
                <w:sz w:val="17"/>
              </w:rPr>
              <w:t>Collections &amp; EWS</w:t>
            </w:r>
          </w:p>
        </w:tc>
        <w:tc>
          <w:tcPr>
            <w:tcW w:w="4600" w:type="dxa"/>
          </w:tcPr>
          <w:p>
            <w:pPr>
              <w:spacing w:after="0" w:before="0"/>
            </w:pPr>
            <w:r/>
            <w:r>
              <w:rPr>
                <w:rFonts w:ascii="Arial" w:hAnsi="Arial" w:cs="Arial"/>
                <w:b w:val="0"/>
                <w:sz w:val="17"/>
              </w:rPr>
              <w:t>Reactive → bucketed queues + early-warning (Sections 7, 37)</w:t>
            </w:r>
          </w:p>
        </w:tc>
        <w:tc>
          <w:tcPr>
            <w:tcW w:w="1160" w:type="dxa"/>
          </w:tcPr>
          <w:p>
            <w:pPr>
              <w:spacing w:after="0" w:before="0"/>
            </w:pPr>
            <w:r/>
            <w:r>
              <w:rPr>
                <w:rFonts w:ascii="Arial" w:hAnsi="Arial" w:cs="Arial"/>
                <w:b w:val="0"/>
                <w:sz w:val="17"/>
              </w:rPr>
              <w:t>Medium</w:t>
            </w:r>
          </w:p>
        </w:tc>
      </w:tr>
      <w:tr>
        <w:tc>
          <w:tcPr>
            <w:tcW w:w="2600" w:type="dxa"/>
          </w:tcPr>
          <w:p>
            <w:pPr>
              <w:spacing w:after="0" w:before="0"/>
            </w:pPr>
            <w:r/>
            <w:r>
              <w:rPr>
                <w:rFonts w:ascii="Arial" w:hAnsi="Arial" w:cs="Arial"/>
                <w:b w:val="0"/>
                <w:sz w:val="17"/>
              </w:rPr>
              <w:t>Analytics &amp; MIS</w:t>
            </w:r>
          </w:p>
        </w:tc>
        <w:tc>
          <w:tcPr>
            <w:tcW w:w="4600" w:type="dxa"/>
          </w:tcPr>
          <w:p>
            <w:pPr>
              <w:spacing w:after="0" w:before="0"/>
            </w:pPr>
            <w:r/>
            <w:r>
              <w:rPr>
                <w:rFonts w:ascii="Arial" w:hAnsi="Arial" w:cs="Arial"/>
                <w:b w:val="0"/>
                <w:sz w:val="17"/>
              </w:rPr>
              <w:t>Static → self-service mart + dashboards (Section 13)</w:t>
            </w:r>
          </w:p>
        </w:tc>
        <w:tc>
          <w:tcPr>
            <w:tcW w:w="1160" w:type="dxa"/>
          </w:tcPr>
          <w:p>
            <w:pPr>
              <w:spacing w:after="0" w:before="0"/>
            </w:pPr>
            <w:r/>
            <w:r>
              <w:rPr>
                <w:rFonts w:ascii="Arial" w:hAnsi="Arial" w:cs="Arial"/>
                <w:b w:val="0"/>
                <w:sz w:val="17"/>
              </w:rPr>
              <w:t>Medium</w:t>
            </w:r>
          </w:p>
        </w:tc>
      </w:tr>
    </w:tbl>
    <w:p/>
    <w:p>
      <w:pPr>
        <w:pStyle w:val="Heading2"/>
      </w:pPr>
      <w:r>
        <w:t>47.4 Transition Architecture — Migration Waves</w:t>
      </w:r>
    </w:p>
    <w:p>
      <w:r>
        <w:rPr>
          <w:rFonts w:ascii="Arial" w:hAnsi="Arial" w:cs="Arial"/>
          <w:b w:val="0"/>
          <w:i w:val="0"/>
          <w:sz w:val="22"/>
        </w:rPr>
        <w:t>A phased transition (not big-bang) reduces risk and lets the NBFC realise value early. Each wave is independently shippable behind the API gateway (Section 15).</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4200"/>
        <w:gridCol w:w="2960"/>
      </w:tblGrid>
      <w:tr>
        <w:tc>
          <w:tcPr>
            <w:tcW w:w="2200" w:type="dxa"/>
            <w:shd w:val="clear" w:color="auto" w:fill="1F4E78"/>
          </w:tcPr>
          <w:p>
            <w:pPr>
              <w:spacing w:after="0" w:before="0"/>
            </w:pPr>
            <w:r/>
            <w:r>
              <w:rPr>
                <w:rFonts w:ascii="Arial" w:hAnsi="Arial" w:cs="Arial"/>
                <w:b/>
                <w:color w:val="FFFFFF"/>
                <w:sz w:val="17"/>
              </w:rPr>
              <w:t>Wave</w:t>
            </w:r>
          </w:p>
        </w:tc>
        <w:tc>
          <w:tcPr>
            <w:tcW w:w="4200" w:type="dxa"/>
            <w:shd w:val="clear" w:color="auto" w:fill="1F4E78"/>
          </w:tcPr>
          <w:p>
            <w:pPr>
              <w:spacing w:after="0" w:before="0"/>
            </w:pPr>
            <w:r/>
            <w:r>
              <w:rPr>
                <w:rFonts w:ascii="Arial" w:hAnsi="Arial" w:cs="Arial"/>
                <w:b/>
                <w:color w:val="FFFFFF"/>
                <w:sz w:val="17"/>
              </w:rPr>
              <w:t>Scope</w:t>
            </w:r>
          </w:p>
        </w:tc>
        <w:tc>
          <w:tcPr>
            <w:tcW w:w="2960" w:type="dxa"/>
            <w:shd w:val="clear" w:color="auto" w:fill="1F4E78"/>
          </w:tcPr>
          <w:p>
            <w:pPr>
              <w:spacing w:after="0" w:before="0"/>
            </w:pPr>
            <w:r/>
            <w:r>
              <w:rPr>
                <w:rFonts w:ascii="Arial" w:hAnsi="Arial" w:cs="Arial"/>
                <w:b/>
                <w:color w:val="FFFFFF"/>
                <w:sz w:val="17"/>
              </w:rPr>
              <w:t>Outcome</w:t>
            </w:r>
          </w:p>
        </w:tc>
      </w:tr>
      <w:tr>
        <w:tc>
          <w:tcPr>
            <w:tcW w:w="2200" w:type="dxa"/>
          </w:tcPr>
          <w:p>
            <w:pPr>
              <w:spacing w:after="0" w:before="0"/>
            </w:pPr>
            <w:r/>
            <w:r>
              <w:rPr>
                <w:rFonts w:ascii="Arial" w:hAnsi="Arial" w:cs="Arial"/>
                <w:b w:val="0"/>
                <w:sz w:val="17"/>
              </w:rPr>
              <w:t>Wave 0 — Foundation</w:t>
            </w:r>
          </w:p>
        </w:tc>
        <w:tc>
          <w:tcPr>
            <w:tcW w:w="4200" w:type="dxa"/>
          </w:tcPr>
          <w:p>
            <w:pPr>
              <w:spacing w:after="0" w:before="0"/>
            </w:pPr>
            <w:r/>
            <w:r>
              <w:rPr>
                <w:rFonts w:ascii="Arial" w:hAnsi="Arial" w:cs="Arial"/>
                <w:b w:val="0"/>
                <w:sz w:val="17"/>
              </w:rPr>
              <w:t>Core data model, Party/KYC, Product Config engine, GL</w:t>
            </w:r>
          </w:p>
        </w:tc>
        <w:tc>
          <w:tcPr>
            <w:tcW w:w="2960" w:type="dxa"/>
          </w:tcPr>
          <w:p>
            <w:pPr>
              <w:spacing w:after="0" w:before="0"/>
            </w:pPr>
            <w:r/>
            <w:r>
              <w:rPr>
                <w:rFonts w:ascii="Arial" w:hAnsi="Arial" w:cs="Arial"/>
                <w:b w:val="0"/>
                <w:sz w:val="17"/>
              </w:rPr>
              <w:t>Platform backbone live</w:t>
            </w:r>
          </w:p>
        </w:tc>
      </w:tr>
      <w:tr>
        <w:tc>
          <w:tcPr>
            <w:tcW w:w="2200" w:type="dxa"/>
          </w:tcPr>
          <w:p>
            <w:pPr>
              <w:spacing w:after="0" w:before="0"/>
            </w:pPr>
            <w:r/>
            <w:r>
              <w:rPr>
                <w:rFonts w:ascii="Arial" w:hAnsi="Arial" w:cs="Arial"/>
                <w:b w:val="0"/>
                <w:sz w:val="17"/>
              </w:rPr>
              <w:t>Wave 1 — Origination</w:t>
            </w:r>
          </w:p>
        </w:tc>
        <w:tc>
          <w:tcPr>
            <w:tcW w:w="4200" w:type="dxa"/>
          </w:tcPr>
          <w:p>
            <w:pPr>
              <w:spacing w:after="0" w:before="0"/>
            </w:pPr>
            <w:r/>
            <w:r>
              <w:rPr>
                <w:rFonts w:ascii="Arial" w:hAnsi="Arial" w:cs="Arial"/>
                <w:b w:val="0"/>
                <w:sz w:val="17"/>
              </w:rPr>
              <w:t>LOS, underwriting, bureau, KFS, e-sign</w:t>
            </w:r>
          </w:p>
        </w:tc>
        <w:tc>
          <w:tcPr>
            <w:tcW w:w="2960" w:type="dxa"/>
          </w:tcPr>
          <w:p>
            <w:pPr>
              <w:spacing w:after="0" w:before="0"/>
            </w:pPr>
            <w:r/>
            <w:r>
              <w:rPr>
                <w:rFonts w:ascii="Arial" w:hAnsi="Arial" w:cs="Arial"/>
                <w:b w:val="0"/>
                <w:sz w:val="17"/>
              </w:rPr>
              <w:t>Digital origination for 2–3 flagship products</w:t>
            </w:r>
          </w:p>
        </w:tc>
      </w:tr>
      <w:tr>
        <w:tc>
          <w:tcPr>
            <w:tcW w:w="2200" w:type="dxa"/>
          </w:tcPr>
          <w:p>
            <w:pPr>
              <w:spacing w:after="0" w:before="0"/>
            </w:pPr>
            <w:r/>
            <w:r>
              <w:rPr>
                <w:rFonts w:ascii="Arial" w:hAnsi="Arial" w:cs="Arial"/>
                <w:b w:val="0"/>
                <w:sz w:val="17"/>
              </w:rPr>
              <w:t>Wave 2 — Servicing &amp; Accounting</w:t>
            </w:r>
          </w:p>
        </w:tc>
        <w:tc>
          <w:tcPr>
            <w:tcW w:w="4200" w:type="dxa"/>
          </w:tcPr>
          <w:p>
            <w:pPr>
              <w:spacing w:after="0" w:before="0"/>
            </w:pPr>
            <w:r/>
            <w:r>
              <w:rPr>
                <w:rFonts w:ascii="Arial" w:hAnsi="Arial" w:cs="Arial"/>
                <w:b w:val="0"/>
                <w:sz w:val="17"/>
              </w:rPr>
              <w:t>Calc engine, servicing, embedded GL, provisioning</w:t>
            </w:r>
          </w:p>
        </w:tc>
        <w:tc>
          <w:tcPr>
            <w:tcW w:w="2960" w:type="dxa"/>
          </w:tcPr>
          <w:p>
            <w:pPr>
              <w:spacing w:after="0" w:before="0"/>
            </w:pPr>
            <w:r/>
            <w:r>
              <w:rPr>
                <w:rFonts w:ascii="Arial" w:hAnsi="Arial" w:cs="Arial"/>
                <w:b w:val="0"/>
                <w:sz w:val="17"/>
              </w:rPr>
              <w:t>Books and schedules on-platform</w:t>
            </w:r>
          </w:p>
        </w:tc>
      </w:tr>
      <w:tr>
        <w:tc>
          <w:tcPr>
            <w:tcW w:w="2200" w:type="dxa"/>
          </w:tcPr>
          <w:p>
            <w:pPr>
              <w:spacing w:after="0" w:before="0"/>
            </w:pPr>
            <w:r/>
            <w:r>
              <w:rPr>
                <w:rFonts w:ascii="Arial" w:hAnsi="Arial" w:cs="Arial"/>
                <w:b w:val="0"/>
                <w:sz w:val="17"/>
              </w:rPr>
              <w:t>Wave 3 — Collections &amp; Reporting</w:t>
            </w:r>
          </w:p>
        </w:tc>
        <w:tc>
          <w:tcPr>
            <w:tcW w:w="4200" w:type="dxa"/>
          </w:tcPr>
          <w:p>
            <w:pPr>
              <w:spacing w:after="0" w:before="0"/>
            </w:pPr>
            <w:r/>
            <w:r>
              <w:rPr>
                <w:rFonts w:ascii="Arial" w:hAnsi="Arial" w:cs="Arial"/>
                <w:b w:val="0"/>
                <w:sz w:val="17"/>
              </w:rPr>
              <w:t>Collections, RBI returns, CIC reporting</w:t>
            </w:r>
          </w:p>
        </w:tc>
        <w:tc>
          <w:tcPr>
            <w:tcW w:w="2960" w:type="dxa"/>
          </w:tcPr>
          <w:p>
            <w:pPr>
              <w:spacing w:after="0" w:before="0"/>
            </w:pPr>
            <w:r/>
            <w:r>
              <w:rPr>
                <w:rFonts w:ascii="Arial" w:hAnsi="Arial" w:cs="Arial"/>
                <w:b w:val="0"/>
                <w:sz w:val="17"/>
              </w:rPr>
              <w:t>Compliance fully automated</w:t>
            </w:r>
          </w:p>
        </w:tc>
      </w:tr>
      <w:tr>
        <w:tc>
          <w:tcPr>
            <w:tcW w:w="2200" w:type="dxa"/>
          </w:tcPr>
          <w:p>
            <w:pPr>
              <w:spacing w:after="0" w:before="0"/>
            </w:pPr>
            <w:r/>
            <w:r>
              <w:rPr>
                <w:rFonts w:ascii="Arial" w:hAnsi="Arial" w:cs="Arial"/>
                <w:b w:val="0"/>
                <w:sz w:val="17"/>
              </w:rPr>
              <w:t>Wave 4 — Advanced</w:t>
            </w:r>
          </w:p>
        </w:tc>
        <w:tc>
          <w:tcPr>
            <w:tcW w:w="4200" w:type="dxa"/>
          </w:tcPr>
          <w:p>
            <w:pPr>
              <w:spacing w:after="0" w:before="0"/>
            </w:pPr>
            <w:r/>
            <w:r>
              <w:rPr>
                <w:rFonts w:ascii="Arial" w:hAnsi="Arial" w:cs="Arial"/>
                <w:b w:val="0"/>
                <w:sz w:val="17"/>
              </w:rPr>
              <w:t>Co-lending, digital/BNPL, AA/alt-data, EWS</w:t>
            </w:r>
          </w:p>
        </w:tc>
        <w:tc>
          <w:tcPr>
            <w:tcW w:w="2960" w:type="dxa"/>
          </w:tcPr>
          <w:p>
            <w:pPr>
              <w:spacing w:after="0" w:before="0"/>
            </w:pPr>
            <w:r/>
            <w:r>
              <w:rPr>
                <w:rFonts w:ascii="Arial" w:hAnsi="Arial" w:cs="Arial"/>
                <w:b w:val="0"/>
                <w:sz w:val="17"/>
              </w:rPr>
              <w:t>Growth &amp; efficiency features</w:t>
            </w:r>
          </w:p>
        </w:tc>
      </w:tr>
    </w:tbl>
    <w:p/>
    <w:p>
      <w:pPr>
        <w:pStyle w:val="Heading2"/>
      </w:pPr>
      <w:r>
        <w:t>47.5 Architecture Decision Records (ADRs) — sample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100"/>
        <w:gridCol w:w="3200"/>
        <w:gridCol w:w="5060"/>
      </w:tblGrid>
      <w:tr>
        <w:tc>
          <w:tcPr>
            <w:tcW w:w="1100" w:type="dxa"/>
            <w:shd w:val="clear" w:color="auto" w:fill="1F4E78"/>
          </w:tcPr>
          <w:p>
            <w:pPr>
              <w:spacing w:after="0" w:before="0"/>
            </w:pPr>
            <w:r/>
            <w:r>
              <w:rPr>
                <w:rFonts w:ascii="Arial" w:hAnsi="Arial" w:cs="Arial"/>
                <w:b/>
                <w:color w:val="FFFFFF"/>
                <w:sz w:val="17"/>
              </w:rPr>
              <w:t>ADR</w:t>
            </w:r>
          </w:p>
        </w:tc>
        <w:tc>
          <w:tcPr>
            <w:tcW w:w="3200" w:type="dxa"/>
            <w:shd w:val="clear" w:color="auto" w:fill="1F4E78"/>
          </w:tcPr>
          <w:p>
            <w:pPr>
              <w:spacing w:after="0" w:before="0"/>
            </w:pPr>
            <w:r/>
            <w:r>
              <w:rPr>
                <w:rFonts w:ascii="Arial" w:hAnsi="Arial" w:cs="Arial"/>
                <w:b/>
                <w:color w:val="FFFFFF"/>
                <w:sz w:val="17"/>
              </w:rPr>
              <w:t>Decision</w:t>
            </w:r>
          </w:p>
        </w:tc>
        <w:tc>
          <w:tcPr>
            <w:tcW w:w="5060" w:type="dxa"/>
            <w:shd w:val="clear" w:color="auto" w:fill="1F4E78"/>
          </w:tcPr>
          <w:p>
            <w:pPr>
              <w:spacing w:after="0" w:before="0"/>
            </w:pPr>
            <w:r/>
            <w:r>
              <w:rPr>
                <w:rFonts w:ascii="Arial" w:hAnsi="Arial" w:cs="Arial"/>
                <w:b/>
                <w:color w:val="FFFFFF"/>
                <w:sz w:val="17"/>
              </w:rPr>
              <w:t>Rationale / alternatives</w:t>
            </w:r>
          </w:p>
        </w:tc>
      </w:tr>
      <w:tr>
        <w:tc>
          <w:tcPr>
            <w:tcW w:w="1100" w:type="dxa"/>
          </w:tcPr>
          <w:p>
            <w:pPr>
              <w:spacing w:after="0" w:before="0"/>
            </w:pPr>
            <w:r/>
            <w:r>
              <w:rPr>
                <w:rFonts w:ascii="Arial" w:hAnsi="Arial" w:cs="Arial"/>
                <w:b w:val="0"/>
                <w:sz w:val="17"/>
              </w:rPr>
              <w:t>ADR-01</w:t>
            </w:r>
          </w:p>
        </w:tc>
        <w:tc>
          <w:tcPr>
            <w:tcW w:w="3200" w:type="dxa"/>
          </w:tcPr>
          <w:p>
            <w:pPr>
              <w:spacing w:after="0" w:before="0"/>
            </w:pPr>
            <w:r/>
            <w:r>
              <w:rPr>
                <w:rFonts w:ascii="Arial" w:hAnsi="Arial" w:cs="Arial"/>
                <w:b w:val="0"/>
                <w:sz w:val="17"/>
              </w:rPr>
              <w:t>Modular monolith at launch, service extraction later</w:t>
            </w:r>
          </w:p>
        </w:tc>
        <w:tc>
          <w:tcPr>
            <w:tcW w:w="5060" w:type="dxa"/>
          </w:tcPr>
          <w:p>
            <w:pPr>
              <w:spacing w:after="0" w:before="0"/>
            </w:pPr>
            <w:r/>
            <w:r>
              <w:rPr>
                <w:rFonts w:ascii="Arial" w:hAnsi="Arial" w:cs="Arial"/>
                <w:b w:val="0"/>
                <w:sz w:val="17"/>
              </w:rPr>
              <w:t>Balances speed and future scale (Section 27); alt: full microservices — rejected as premature</w:t>
            </w:r>
          </w:p>
        </w:tc>
      </w:tr>
      <w:tr>
        <w:tc>
          <w:tcPr>
            <w:tcW w:w="1100" w:type="dxa"/>
          </w:tcPr>
          <w:p>
            <w:pPr>
              <w:spacing w:after="0" w:before="0"/>
            </w:pPr>
            <w:r/>
            <w:r>
              <w:rPr>
                <w:rFonts w:ascii="Arial" w:hAnsi="Arial" w:cs="Arial"/>
                <w:b w:val="0"/>
                <w:sz w:val="17"/>
              </w:rPr>
              <w:t>ADR-02</w:t>
            </w:r>
          </w:p>
        </w:tc>
        <w:tc>
          <w:tcPr>
            <w:tcW w:w="3200" w:type="dxa"/>
          </w:tcPr>
          <w:p>
            <w:pPr>
              <w:spacing w:after="0" w:before="0"/>
            </w:pPr>
            <w:r/>
            <w:r>
              <w:rPr>
                <w:rFonts w:ascii="Arial" w:hAnsi="Arial" w:cs="Arial"/>
                <w:b w:val="0"/>
                <w:sz w:val="17"/>
              </w:rPr>
              <w:t>PostgreSQL as primary datastore</w:t>
            </w:r>
          </w:p>
        </w:tc>
        <w:tc>
          <w:tcPr>
            <w:tcW w:w="5060" w:type="dxa"/>
          </w:tcPr>
          <w:p>
            <w:pPr>
              <w:spacing w:after="0" w:before="0"/>
            </w:pPr>
            <w:r/>
            <w:r>
              <w:rPr>
                <w:rFonts w:ascii="Arial" w:hAnsi="Arial" w:cs="Arial"/>
                <w:b w:val="0"/>
                <w:sz w:val="17"/>
              </w:rPr>
              <w:t>ACID, native DECIMAL, partitioning, India-region managed options; alt: Oracle — higher licence cost</w:t>
            </w:r>
          </w:p>
        </w:tc>
      </w:tr>
      <w:tr>
        <w:tc>
          <w:tcPr>
            <w:tcW w:w="1100" w:type="dxa"/>
          </w:tcPr>
          <w:p>
            <w:pPr>
              <w:spacing w:after="0" w:before="0"/>
            </w:pPr>
            <w:r/>
            <w:r>
              <w:rPr>
                <w:rFonts w:ascii="Arial" w:hAnsi="Arial" w:cs="Arial"/>
                <w:b w:val="0"/>
                <w:sz w:val="17"/>
              </w:rPr>
              <w:t>ADR-03</w:t>
            </w:r>
          </w:p>
        </w:tc>
        <w:tc>
          <w:tcPr>
            <w:tcW w:w="3200" w:type="dxa"/>
          </w:tcPr>
          <w:p>
            <w:pPr>
              <w:spacing w:after="0" w:before="0"/>
            </w:pPr>
            <w:r/>
            <w:r>
              <w:rPr>
                <w:rFonts w:ascii="Arial" w:hAnsi="Arial" w:cs="Arial"/>
                <w:b w:val="0"/>
                <w:sz w:val="17"/>
              </w:rPr>
              <w:t>Parameterised Product Config engine</w:t>
            </w:r>
          </w:p>
        </w:tc>
        <w:tc>
          <w:tcPr>
            <w:tcW w:w="5060" w:type="dxa"/>
          </w:tcPr>
          <w:p>
            <w:pPr>
              <w:spacing w:after="0" w:before="0"/>
            </w:pPr>
            <w:r/>
            <w:r>
              <w:rPr>
                <w:rFonts w:ascii="Arial" w:hAnsi="Arial" w:cs="Arial"/>
                <w:b w:val="0"/>
                <w:sz w:val="17"/>
              </w:rPr>
              <w:t>New products without code release (Section 3); alt: per-product code — rejected</w:t>
            </w:r>
          </w:p>
        </w:tc>
      </w:tr>
      <w:tr>
        <w:tc>
          <w:tcPr>
            <w:tcW w:w="1100" w:type="dxa"/>
          </w:tcPr>
          <w:p>
            <w:pPr>
              <w:spacing w:after="0" w:before="0"/>
            </w:pPr>
            <w:r/>
            <w:r>
              <w:rPr>
                <w:rFonts w:ascii="Arial" w:hAnsi="Arial" w:cs="Arial"/>
                <w:b w:val="0"/>
                <w:sz w:val="17"/>
              </w:rPr>
              <w:t>ADR-04</w:t>
            </w:r>
          </w:p>
        </w:tc>
        <w:tc>
          <w:tcPr>
            <w:tcW w:w="3200" w:type="dxa"/>
          </w:tcPr>
          <w:p>
            <w:pPr>
              <w:spacing w:after="0" w:before="0"/>
            </w:pPr>
            <w:r/>
            <w:r>
              <w:rPr>
                <w:rFonts w:ascii="Arial" w:hAnsi="Arial" w:cs="Arial"/>
                <w:b w:val="0"/>
                <w:sz w:val="17"/>
              </w:rPr>
              <w:t>Embedded GL rather than external accounting package</w:t>
            </w:r>
          </w:p>
        </w:tc>
        <w:tc>
          <w:tcPr>
            <w:tcW w:w="5060" w:type="dxa"/>
          </w:tcPr>
          <w:p>
            <w:pPr>
              <w:spacing w:after="0" w:before="0"/>
            </w:pPr>
            <w:r/>
            <w:r>
              <w:rPr>
                <w:rFonts w:ascii="Arial" w:hAnsi="Arial" w:cs="Arial"/>
                <w:b w:val="0"/>
                <w:sz w:val="17"/>
              </w:rPr>
              <w:t>Real-time loan-to-GL integrity (Section 8); alt: bolt-on GL — reconciliation risk</w:t>
            </w:r>
          </w:p>
        </w:tc>
      </w:tr>
      <w:tr>
        <w:tc>
          <w:tcPr>
            <w:tcW w:w="1100" w:type="dxa"/>
          </w:tcPr>
          <w:p>
            <w:pPr>
              <w:spacing w:after="0" w:before="0"/>
            </w:pPr>
            <w:r/>
            <w:r>
              <w:rPr>
                <w:rFonts w:ascii="Arial" w:hAnsi="Arial" w:cs="Arial"/>
                <w:b w:val="0"/>
                <w:sz w:val="17"/>
              </w:rPr>
              <w:t>ADR-05</w:t>
            </w:r>
          </w:p>
        </w:tc>
        <w:tc>
          <w:tcPr>
            <w:tcW w:w="3200" w:type="dxa"/>
          </w:tcPr>
          <w:p>
            <w:pPr>
              <w:spacing w:after="0" w:before="0"/>
            </w:pPr>
            <w:r/>
            <w:r>
              <w:rPr>
                <w:rFonts w:ascii="Arial" w:hAnsi="Arial" w:cs="Arial"/>
                <w:b w:val="0"/>
                <w:sz w:val="17"/>
              </w:rPr>
              <w:t>Configurable returns engine, not hard-coded returns</w:t>
            </w:r>
          </w:p>
        </w:tc>
        <w:tc>
          <w:tcPr>
            <w:tcW w:w="5060" w:type="dxa"/>
          </w:tcPr>
          <w:p>
            <w:pPr>
              <w:spacing w:after="0" w:before="0"/>
            </w:pPr>
            <w:r/>
            <w:r>
              <w:rPr>
                <w:rFonts w:ascii="Arial" w:hAnsi="Arial" w:cs="Arial"/>
                <w:b w:val="0"/>
                <w:sz w:val="17"/>
              </w:rPr>
              <w:t>RBI formats change over time (Section 9); alt: hard-coded — high change cost</w:t>
            </w:r>
          </w:p>
        </w:tc>
      </w:tr>
      <w:tr>
        <w:tc>
          <w:tcPr>
            <w:tcW w:w="1100" w:type="dxa"/>
          </w:tcPr>
          <w:p>
            <w:pPr>
              <w:spacing w:after="0" w:before="0"/>
            </w:pPr>
            <w:r/>
            <w:r>
              <w:rPr>
                <w:rFonts w:ascii="Arial" w:hAnsi="Arial" w:cs="Arial"/>
                <w:b w:val="0"/>
                <w:sz w:val="17"/>
              </w:rPr>
              <w:t>ADR-06</w:t>
            </w:r>
          </w:p>
        </w:tc>
        <w:tc>
          <w:tcPr>
            <w:tcW w:w="3200" w:type="dxa"/>
          </w:tcPr>
          <w:p>
            <w:pPr>
              <w:spacing w:after="0" w:before="0"/>
            </w:pPr>
            <w:r/>
            <w:r>
              <w:rPr>
                <w:rFonts w:ascii="Arial" w:hAnsi="Arial" w:cs="Arial"/>
                <w:b w:val="0"/>
                <w:sz w:val="17"/>
              </w:rPr>
              <w:t>DECIMAL money + append-only ledger</w:t>
            </w:r>
          </w:p>
        </w:tc>
        <w:tc>
          <w:tcPr>
            <w:tcW w:w="5060" w:type="dxa"/>
          </w:tcPr>
          <w:p>
            <w:pPr>
              <w:spacing w:after="0" w:before="0"/>
            </w:pPr>
            <w:r/>
            <w:r>
              <w:rPr>
                <w:rFonts w:ascii="Arial" w:hAnsi="Arial" w:cs="Arial"/>
                <w:b w:val="0"/>
                <w:sz w:val="17"/>
              </w:rPr>
              <w:t>Financial correctness (Section 28); alt: float — rejected outright</w:t>
            </w:r>
          </w:p>
        </w:tc>
      </w:tr>
    </w:tbl>
    <w:p/>
    <w:p>
      <w:r>
        <w:br w:type="page"/>
      </w:r>
    </w:p>
    <w:p>
      <w:pPr>
        <w:pStyle w:val="Heading1"/>
      </w:pPr>
      <w:r>
        <w:t>48. Requirements Traceability Matrix (RTM)</w:t>
      </w:r>
    </w:p>
    <w:p>
      <w:r>
        <w:rPr>
          <w:rFonts w:ascii="Arial" w:hAnsi="Arial" w:cs="Arial"/>
          <w:b w:val="0"/>
          <w:i w:val="0"/>
          <w:sz w:val="22"/>
        </w:rPr>
        <w:t>The RTM links every material requirement to the design section that satisfies it and the test that verifies it — the backbone of audit and UAT traceability. An extract is shown; the full RTM is maintained as a living artifact and each requirement carries a stable ID.</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100"/>
        <w:gridCol w:w="3300"/>
        <w:gridCol w:w="1900"/>
        <w:gridCol w:w="3060"/>
      </w:tblGrid>
      <w:tr>
        <w:tc>
          <w:tcPr>
            <w:tcW w:w="1100" w:type="dxa"/>
            <w:shd w:val="clear" w:color="auto" w:fill="1F4E78"/>
          </w:tcPr>
          <w:p>
            <w:pPr>
              <w:spacing w:after="0" w:before="0"/>
            </w:pPr>
            <w:r/>
            <w:r>
              <w:rPr>
                <w:rFonts w:ascii="Arial" w:hAnsi="Arial" w:cs="Arial"/>
                <w:b/>
                <w:color w:val="FFFFFF"/>
                <w:sz w:val="17"/>
              </w:rPr>
              <w:t>Req ID</w:t>
            </w:r>
          </w:p>
        </w:tc>
        <w:tc>
          <w:tcPr>
            <w:tcW w:w="3300" w:type="dxa"/>
            <w:shd w:val="clear" w:color="auto" w:fill="1F4E78"/>
          </w:tcPr>
          <w:p>
            <w:pPr>
              <w:spacing w:after="0" w:before="0"/>
            </w:pPr>
            <w:r/>
            <w:r>
              <w:rPr>
                <w:rFonts w:ascii="Arial" w:hAnsi="Arial" w:cs="Arial"/>
                <w:b/>
                <w:color w:val="FFFFFF"/>
                <w:sz w:val="17"/>
              </w:rPr>
              <w:t>Requirement</w:t>
            </w:r>
          </w:p>
        </w:tc>
        <w:tc>
          <w:tcPr>
            <w:tcW w:w="1900" w:type="dxa"/>
            <w:shd w:val="clear" w:color="auto" w:fill="1F4E78"/>
          </w:tcPr>
          <w:p>
            <w:pPr>
              <w:spacing w:after="0" w:before="0"/>
            </w:pPr>
            <w:r/>
            <w:r>
              <w:rPr>
                <w:rFonts w:ascii="Arial" w:hAnsi="Arial" w:cs="Arial"/>
                <w:b/>
                <w:color w:val="FFFFFF"/>
                <w:sz w:val="17"/>
              </w:rPr>
              <w:t>Design ref</w:t>
            </w:r>
          </w:p>
        </w:tc>
        <w:tc>
          <w:tcPr>
            <w:tcW w:w="3060" w:type="dxa"/>
            <w:shd w:val="clear" w:color="auto" w:fill="1F4E78"/>
          </w:tcPr>
          <w:p>
            <w:pPr>
              <w:spacing w:after="0" w:before="0"/>
            </w:pPr>
            <w:r/>
            <w:r>
              <w:rPr>
                <w:rFonts w:ascii="Arial" w:hAnsi="Arial" w:cs="Arial"/>
                <w:b/>
                <w:color w:val="FFFFFF"/>
                <w:sz w:val="17"/>
              </w:rPr>
              <w:t>Verification</w:t>
            </w:r>
          </w:p>
        </w:tc>
      </w:tr>
      <w:tr>
        <w:tc>
          <w:tcPr>
            <w:tcW w:w="1100" w:type="dxa"/>
          </w:tcPr>
          <w:p>
            <w:pPr>
              <w:spacing w:after="0" w:before="0"/>
            </w:pPr>
            <w:r/>
            <w:r>
              <w:rPr>
                <w:rFonts w:ascii="Arial" w:hAnsi="Arial" w:cs="Arial"/>
                <w:b w:val="0"/>
                <w:sz w:val="17"/>
              </w:rPr>
              <w:t>FR-01</w:t>
            </w:r>
          </w:p>
        </w:tc>
        <w:tc>
          <w:tcPr>
            <w:tcW w:w="3300" w:type="dxa"/>
          </w:tcPr>
          <w:p>
            <w:pPr>
              <w:spacing w:after="0" w:before="0"/>
            </w:pPr>
            <w:r/>
            <w:r>
              <w:rPr>
                <w:rFonts w:ascii="Arial" w:hAnsi="Arial" w:cs="Arial"/>
                <w:b w:val="0"/>
                <w:sz w:val="17"/>
              </w:rPr>
              <w:t>Configure a new product without a code release</w:t>
            </w:r>
          </w:p>
        </w:tc>
        <w:tc>
          <w:tcPr>
            <w:tcW w:w="1900" w:type="dxa"/>
          </w:tcPr>
          <w:p>
            <w:pPr>
              <w:spacing w:after="0" w:before="0"/>
            </w:pPr>
            <w:r/>
            <w:r>
              <w:rPr>
                <w:rFonts w:ascii="Arial" w:hAnsi="Arial" w:cs="Arial"/>
                <w:b w:val="0"/>
                <w:sz w:val="17"/>
              </w:rPr>
              <w:t>§3, §39.2</w:t>
            </w:r>
          </w:p>
        </w:tc>
        <w:tc>
          <w:tcPr>
            <w:tcW w:w="3060" w:type="dxa"/>
          </w:tcPr>
          <w:p>
            <w:pPr>
              <w:spacing w:after="0" w:before="0"/>
            </w:pPr>
            <w:r/>
            <w:r>
              <w:rPr>
                <w:rFonts w:ascii="Arial" w:hAnsi="Arial" w:cs="Arial"/>
                <w:b w:val="0"/>
                <w:sz w:val="17"/>
              </w:rPr>
              <w:t>Config-only product added in UAT</w:t>
            </w:r>
          </w:p>
        </w:tc>
      </w:tr>
      <w:tr>
        <w:tc>
          <w:tcPr>
            <w:tcW w:w="1100" w:type="dxa"/>
          </w:tcPr>
          <w:p>
            <w:pPr>
              <w:spacing w:after="0" w:before="0"/>
            </w:pPr>
            <w:r/>
            <w:r>
              <w:rPr>
                <w:rFonts w:ascii="Arial" w:hAnsi="Arial" w:cs="Arial"/>
                <w:b w:val="0"/>
                <w:sz w:val="17"/>
              </w:rPr>
              <w:t>FR-02</w:t>
            </w:r>
          </w:p>
        </w:tc>
        <w:tc>
          <w:tcPr>
            <w:tcW w:w="3300" w:type="dxa"/>
          </w:tcPr>
          <w:p>
            <w:pPr>
              <w:spacing w:after="0" w:before="0"/>
            </w:pPr>
            <w:r/>
            <w:r>
              <w:rPr>
                <w:rFonts w:ascii="Arial" w:hAnsi="Arial" w:cs="Arial"/>
                <w:b w:val="0"/>
                <w:sz w:val="17"/>
              </w:rPr>
              <w:t>Dynamic onboarding forms by applicant type</w:t>
            </w:r>
          </w:p>
        </w:tc>
        <w:tc>
          <w:tcPr>
            <w:tcW w:w="1900" w:type="dxa"/>
          </w:tcPr>
          <w:p>
            <w:pPr>
              <w:spacing w:after="0" w:before="0"/>
            </w:pPr>
            <w:r/>
            <w:r>
              <w:rPr>
                <w:rFonts w:ascii="Arial" w:hAnsi="Arial" w:cs="Arial"/>
                <w:b w:val="0"/>
                <w:sz w:val="17"/>
              </w:rPr>
              <w:t>§2</w:t>
            </w:r>
          </w:p>
        </w:tc>
        <w:tc>
          <w:tcPr>
            <w:tcW w:w="3060" w:type="dxa"/>
          </w:tcPr>
          <w:p>
            <w:pPr>
              <w:spacing w:after="0" w:before="0"/>
            </w:pPr>
            <w:r/>
            <w:r>
              <w:rPr>
                <w:rFonts w:ascii="Arial" w:hAnsi="Arial" w:cs="Arial"/>
                <w:b w:val="0"/>
                <w:sz w:val="17"/>
              </w:rPr>
              <w:t>E2E per applicant type</w:t>
            </w:r>
          </w:p>
        </w:tc>
      </w:tr>
      <w:tr>
        <w:tc>
          <w:tcPr>
            <w:tcW w:w="1100" w:type="dxa"/>
          </w:tcPr>
          <w:p>
            <w:pPr>
              <w:spacing w:after="0" w:before="0"/>
            </w:pPr>
            <w:r/>
            <w:r>
              <w:rPr>
                <w:rFonts w:ascii="Arial" w:hAnsi="Arial" w:cs="Arial"/>
                <w:b w:val="0"/>
                <w:sz w:val="17"/>
              </w:rPr>
              <w:t>FR-03</w:t>
            </w:r>
          </w:p>
        </w:tc>
        <w:tc>
          <w:tcPr>
            <w:tcW w:w="3300" w:type="dxa"/>
          </w:tcPr>
          <w:p>
            <w:pPr>
              <w:spacing w:after="0" w:before="0"/>
            </w:pPr>
            <w:r/>
            <w:r>
              <w:rPr>
                <w:rFonts w:ascii="Arial" w:hAnsi="Arial" w:cs="Arial"/>
                <w:b w:val="0"/>
                <w:sz w:val="17"/>
              </w:rPr>
              <w:t>Bureau pull with consent at underwriting</w:t>
            </w:r>
          </w:p>
        </w:tc>
        <w:tc>
          <w:tcPr>
            <w:tcW w:w="1900" w:type="dxa"/>
          </w:tcPr>
          <w:p>
            <w:pPr>
              <w:spacing w:after="0" w:before="0"/>
            </w:pPr>
            <w:r/>
            <w:r>
              <w:rPr>
                <w:rFonts w:ascii="Arial" w:hAnsi="Arial" w:cs="Arial"/>
                <w:b w:val="0"/>
                <w:sz w:val="17"/>
              </w:rPr>
              <w:t>§5.1, §35</w:t>
            </w:r>
          </w:p>
        </w:tc>
        <w:tc>
          <w:tcPr>
            <w:tcW w:w="3060" w:type="dxa"/>
          </w:tcPr>
          <w:p>
            <w:pPr>
              <w:spacing w:after="0" w:before="0"/>
            </w:pPr>
            <w:r/>
            <w:r>
              <w:rPr>
                <w:rFonts w:ascii="Arial" w:hAnsi="Arial" w:cs="Arial"/>
                <w:b w:val="0"/>
                <w:sz w:val="17"/>
              </w:rPr>
              <w:t>Contract test vs each CIC</w:t>
            </w:r>
          </w:p>
        </w:tc>
      </w:tr>
      <w:tr>
        <w:tc>
          <w:tcPr>
            <w:tcW w:w="1100" w:type="dxa"/>
          </w:tcPr>
          <w:p>
            <w:pPr>
              <w:spacing w:after="0" w:before="0"/>
            </w:pPr>
            <w:r/>
            <w:r>
              <w:rPr>
                <w:rFonts w:ascii="Arial" w:hAnsi="Arial" w:cs="Arial"/>
                <w:b w:val="0"/>
                <w:sz w:val="17"/>
              </w:rPr>
              <w:t>FR-04</w:t>
            </w:r>
          </w:p>
        </w:tc>
        <w:tc>
          <w:tcPr>
            <w:tcW w:w="3300" w:type="dxa"/>
          </w:tcPr>
          <w:p>
            <w:pPr>
              <w:spacing w:after="0" w:before="0"/>
            </w:pPr>
            <w:r/>
            <w:r>
              <w:rPr>
                <w:rFonts w:ascii="Arial" w:hAnsi="Arial" w:cs="Arial"/>
                <w:b w:val="0"/>
                <w:sz w:val="17"/>
              </w:rPr>
              <w:t>Generate amortisation schedule at disbursement</w:t>
            </w:r>
          </w:p>
        </w:tc>
        <w:tc>
          <w:tcPr>
            <w:tcW w:w="1900" w:type="dxa"/>
          </w:tcPr>
          <w:p>
            <w:pPr>
              <w:spacing w:after="0" w:before="0"/>
            </w:pPr>
            <w:r/>
            <w:r>
              <w:rPr>
                <w:rFonts w:ascii="Arial" w:hAnsi="Arial" w:cs="Arial"/>
                <w:b w:val="0"/>
                <w:sz w:val="17"/>
              </w:rPr>
              <w:t>§24, §45</w:t>
            </w:r>
          </w:p>
        </w:tc>
        <w:tc>
          <w:tcPr>
            <w:tcW w:w="3060" w:type="dxa"/>
          </w:tcPr>
          <w:p>
            <w:pPr>
              <w:spacing w:after="0" w:before="0"/>
            </w:pPr>
            <w:r/>
            <w:r>
              <w:rPr>
                <w:rFonts w:ascii="Arial" w:hAnsi="Arial" w:cs="Arial"/>
                <w:b w:val="0"/>
                <w:sz w:val="17"/>
              </w:rPr>
              <w:t>Golden vectors (§45.10)</w:t>
            </w:r>
          </w:p>
        </w:tc>
      </w:tr>
      <w:tr>
        <w:tc>
          <w:tcPr>
            <w:tcW w:w="1100" w:type="dxa"/>
          </w:tcPr>
          <w:p>
            <w:pPr>
              <w:spacing w:after="0" w:before="0"/>
            </w:pPr>
            <w:r/>
            <w:r>
              <w:rPr>
                <w:rFonts w:ascii="Arial" w:hAnsi="Arial" w:cs="Arial"/>
                <w:b w:val="0"/>
                <w:sz w:val="17"/>
              </w:rPr>
              <w:t>FR-05</w:t>
            </w:r>
          </w:p>
        </w:tc>
        <w:tc>
          <w:tcPr>
            <w:tcW w:w="3300" w:type="dxa"/>
          </w:tcPr>
          <w:p>
            <w:pPr>
              <w:spacing w:after="0" w:before="0"/>
            </w:pPr>
            <w:r/>
            <w:r>
              <w:rPr>
                <w:rFonts w:ascii="Arial" w:hAnsi="Arial" w:cs="Arial"/>
                <w:b w:val="0"/>
                <w:sz w:val="17"/>
              </w:rPr>
              <w:t>Auto double-entry posting for every event</w:t>
            </w:r>
          </w:p>
        </w:tc>
        <w:tc>
          <w:tcPr>
            <w:tcW w:w="1900" w:type="dxa"/>
          </w:tcPr>
          <w:p>
            <w:pPr>
              <w:spacing w:after="0" w:before="0"/>
            </w:pPr>
            <w:r/>
            <w:r>
              <w:rPr>
                <w:rFonts w:ascii="Arial" w:hAnsi="Arial" w:cs="Arial"/>
                <w:b w:val="0"/>
                <w:sz w:val="17"/>
              </w:rPr>
              <w:t>§8.2</w:t>
            </w:r>
          </w:p>
        </w:tc>
        <w:tc>
          <w:tcPr>
            <w:tcW w:w="3060" w:type="dxa"/>
          </w:tcPr>
          <w:p>
            <w:pPr>
              <w:spacing w:after="0" w:before="0"/>
            </w:pPr>
            <w:r/>
            <w:r>
              <w:rPr>
                <w:rFonts w:ascii="Arial" w:hAnsi="Arial" w:cs="Arial"/>
                <w:b w:val="0"/>
                <w:sz w:val="17"/>
              </w:rPr>
              <w:t>GL tie-out (§41.3)</w:t>
            </w:r>
          </w:p>
        </w:tc>
      </w:tr>
      <w:tr>
        <w:tc>
          <w:tcPr>
            <w:tcW w:w="1100" w:type="dxa"/>
          </w:tcPr>
          <w:p>
            <w:pPr>
              <w:spacing w:after="0" w:before="0"/>
            </w:pPr>
            <w:r/>
            <w:r>
              <w:rPr>
                <w:rFonts w:ascii="Arial" w:hAnsi="Arial" w:cs="Arial"/>
                <w:b w:val="0"/>
                <w:sz w:val="17"/>
              </w:rPr>
              <w:t>FR-06</w:t>
            </w:r>
          </w:p>
        </w:tc>
        <w:tc>
          <w:tcPr>
            <w:tcW w:w="3300" w:type="dxa"/>
          </w:tcPr>
          <w:p>
            <w:pPr>
              <w:spacing w:after="0" w:before="0"/>
            </w:pPr>
            <w:r/>
            <w:r>
              <w:rPr>
                <w:rFonts w:ascii="Arial" w:hAnsi="Arial" w:cs="Arial"/>
                <w:b w:val="0"/>
                <w:sz w:val="17"/>
              </w:rPr>
              <w:t>Monthly CIC file in URF per bureau</w:t>
            </w:r>
          </w:p>
        </w:tc>
        <w:tc>
          <w:tcPr>
            <w:tcW w:w="1900" w:type="dxa"/>
          </w:tcPr>
          <w:p>
            <w:pPr>
              <w:spacing w:after="0" w:before="0"/>
            </w:pPr>
            <w:r/>
            <w:r>
              <w:rPr>
                <w:rFonts w:ascii="Arial" w:hAnsi="Arial" w:cs="Arial"/>
                <w:b w:val="0"/>
                <w:sz w:val="17"/>
              </w:rPr>
              <w:t>§10</w:t>
            </w:r>
          </w:p>
        </w:tc>
        <w:tc>
          <w:tcPr>
            <w:tcW w:w="3060" w:type="dxa"/>
          </w:tcPr>
          <w:p>
            <w:pPr>
              <w:spacing w:after="0" w:before="0"/>
            </w:pPr>
            <w:r/>
            <w:r>
              <w:rPr>
                <w:rFonts w:ascii="Arial" w:hAnsi="Arial" w:cs="Arial"/>
                <w:b w:val="0"/>
                <w:sz w:val="17"/>
              </w:rPr>
              <w:t>DQ + acceptance-rate test</w:t>
            </w:r>
          </w:p>
        </w:tc>
      </w:tr>
      <w:tr>
        <w:tc>
          <w:tcPr>
            <w:tcW w:w="1100" w:type="dxa"/>
          </w:tcPr>
          <w:p>
            <w:pPr>
              <w:spacing w:after="0" w:before="0"/>
            </w:pPr>
            <w:r/>
            <w:r>
              <w:rPr>
                <w:rFonts w:ascii="Arial" w:hAnsi="Arial" w:cs="Arial"/>
                <w:b w:val="0"/>
                <w:sz w:val="17"/>
              </w:rPr>
              <w:t>FR-07</w:t>
            </w:r>
          </w:p>
        </w:tc>
        <w:tc>
          <w:tcPr>
            <w:tcW w:w="3300" w:type="dxa"/>
          </w:tcPr>
          <w:p>
            <w:pPr>
              <w:spacing w:after="0" w:before="0"/>
            </w:pPr>
            <w:r/>
            <w:r>
              <w:rPr>
                <w:rFonts w:ascii="Arial" w:hAnsi="Arial" w:cs="Arial"/>
                <w:b w:val="0"/>
                <w:sz w:val="17"/>
              </w:rPr>
              <w:t>Configurable RBI returns by SBR layer</w:t>
            </w:r>
          </w:p>
        </w:tc>
        <w:tc>
          <w:tcPr>
            <w:tcW w:w="1900" w:type="dxa"/>
          </w:tcPr>
          <w:p>
            <w:pPr>
              <w:spacing w:after="0" w:before="0"/>
            </w:pPr>
            <w:r/>
            <w:r>
              <w:rPr>
                <w:rFonts w:ascii="Arial" w:hAnsi="Arial" w:cs="Arial"/>
                <w:b w:val="0"/>
                <w:sz w:val="17"/>
              </w:rPr>
              <w:t>§9</w:t>
            </w:r>
          </w:p>
        </w:tc>
        <w:tc>
          <w:tcPr>
            <w:tcW w:w="3060" w:type="dxa"/>
          </w:tcPr>
          <w:p>
            <w:pPr>
              <w:spacing w:after="0" w:before="0"/>
            </w:pPr>
            <w:r/>
            <w:r>
              <w:rPr>
                <w:rFonts w:ascii="Arial" w:hAnsi="Arial" w:cs="Arial"/>
                <w:b w:val="0"/>
                <w:sz w:val="17"/>
              </w:rPr>
              <w:t>Regulatory UAT pass</w:t>
            </w:r>
          </w:p>
        </w:tc>
      </w:tr>
      <w:tr>
        <w:tc>
          <w:tcPr>
            <w:tcW w:w="1100" w:type="dxa"/>
          </w:tcPr>
          <w:p>
            <w:pPr>
              <w:spacing w:after="0" w:before="0"/>
            </w:pPr>
            <w:r/>
            <w:r>
              <w:rPr>
                <w:rFonts w:ascii="Arial" w:hAnsi="Arial" w:cs="Arial"/>
                <w:b w:val="0"/>
                <w:sz w:val="17"/>
              </w:rPr>
              <w:t>FR-08</w:t>
            </w:r>
          </w:p>
        </w:tc>
        <w:tc>
          <w:tcPr>
            <w:tcW w:w="3300" w:type="dxa"/>
          </w:tcPr>
          <w:p>
            <w:pPr>
              <w:spacing w:after="0" w:before="0"/>
            </w:pPr>
            <w:r/>
            <w:r>
              <w:rPr>
                <w:rFonts w:ascii="Arial" w:hAnsi="Arial" w:cs="Arial"/>
                <w:b w:val="0"/>
                <w:sz w:val="17"/>
              </w:rPr>
              <w:t>NPA classification &amp; provisioning + ECL</w:t>
            </w:r>
          </w:p>
        </w:tc>
        <w:tc>
          <w:tcPr>
            <w:tcW w:w="1900" w:type="dxa"/>
          </w:tcPr>
          <w:p>
            <w:pPr>
              <w:spacing w:after="0" w:before="0"/>
            </w:pPr>
            <w:r/>
            <w:r>
              <w:rPr>
                <w:rFonts w:ascii="Arial" w:hAnsi="Arial" w:cs="Arial"/>
                <w:b w:val="0"/>
                <w:sz w:val="17"/>
              </w:rPr>
              <w:t>§9.4, §30</w:t>
            </w:r>
          </w:p>
        </w:tc>
        <w:tc>
          <w:tcPr>
            <w:tcW w:w="3060" w:type="dxa"/>
          </w:tcPr>
          <w:p>
            <w:pPr>
              <w:spacing w:after="0" w:before="0"/>
            </w:pPr>
            <w:r/>
            <w:r>
              <w:rPr>
                <w:rFonts w:ascii="Arial" w:hAnsi="Arial" w:cs="Arial"/>
                <w:b w:val="0"/>
                <w:sz w:val="17"/>
              </w:rPr>
              <w:t>Worked-example reconciliation</w:t>
            </w:r>
          </w:p>
        </w:tc>
      </w:tr>
      <w:tr>
        <w:tc>
          <w:tcPr>
            <w:tcW w:w="1100" w:type="dxa"/>
          </w:tcPr>
          <w:p>
            <w:pPr>
              <w:spacing w:after="0" w:before="0"/>
            </w:pPr>
            <w:r/>
            <w:r>
              <w:rPr>
                <w:rFonts w:ascii="Arial" w:hAnsi="Arial" w:cs="Arial"/>
                <w:b w:val="0"/>
                <w:sz w:val="17"/>
              </w:rPr>
              <w:t>FR-09</w:t>
            </w:r>
          </w:p>
        </w:tc>
        <w:tc>
          <w:tcPr>
            <w:tcW w:w="3300" w:type="dxa"/>
          </w:tcPr>
          <w:p>
            <w:pPr>
              <w:spacing w:after="0" w:before="0"/>
            </w:pPr>
            <w:r/>
            <w:r>
              <w:rPr>
                <w:rFonts w:ascii="Arial" w:hAnsi="Arial" w:cs="Arial"/>
                <w:b w:val="0"/>
                <w:sz w:val="17"/>
              </w:rPr>
              <w:t>Collections buckets, PTP, field app</w:t>
            </w:r>
          </w:p>
        </w:tc>
        <w:tc>
          <w:tcPr>
            <w:tcW w:w="1900" w:type="dxa"/>
          </w:tcPr>
          <w:p>
            <w:pPr>
              <w:spacing w:after="0" w:before="0"/>
            </w:pPr>
            <w:r/>
            <w:r>
              <w:rPr>
                <w:rFonts w:ascii="Arial" w:hAnsi="Arial" w:cs="Arial"/>
                <w:b w:val="0"/>
                <w:sz w:val="17"/>
              </w:rPr>
              <w:t>§7</w:t>
            </w:r>
          </w:p>
        </w:tc>
        <w:tc>
          <w:tcPr>
            <w:tcW w:w="3060" w:type="dxa"/>
          </w:tcPr>
          <w:p>
            <w:pPr>
              <w:spacing w:after="0" w:before="0"/>
            </w:pPr>
            <w:r/>
            <w:r>
              <w:rPr>
                <w:rFonts w:ascii="Arial" w:hAnsi="Arial" w:cs="Arial"/>
                <w:b w:val="0"/>
                <w:sz w:val="17"/>
              </w:rPr>
              <w:t>E2E collections</w:t>
            </w:r>
          </w:p>
        </w:tc>
      </w:tr>
      <w:tr>
        <w:tc>
          <w:tcPr>
            <w:tcW w:w="1100" w:type="dxa"/>
          </w:tcPr>
          <w:p>
            <w:pPr>
              <w:spacing w:after="0" w:before="0"/>
            </w:pPr>
            <w:r/>
            <w:r>
              <w:rPr>
                <w:rFonts w:ascii="Arial" w:hAnsi="Arial" w:cs="Arial"/>
                <w:b w:val="0"/>
                <w:sz w:val="17"/>
              </w:rPr>
              <w:t>FR-10</w:t>
            </w:r>
          </w:p>
        </w:tc>
        <w:tc>
          <w:tcPr>
            <w:tcW w:w="3300" w:type="dxa"/>
          </w:tcPr>
          <w:p>
            <w:pPr>
              <w:spacing w:after="0" w:before="0"/>
            </w:pPr>
            <w:r/>
            <w:r>
              <w:rPr>
                <w:rFonts w:ascii="Arial" w:hAnsi="Arial" w:cs="Arial"/>
                <w:b w:val="0"/>
                <w:sz w:val="17"/>
              </w:rPr>
              <w:t>KFS with APR and cooling-off</w:t>
            </w:r>
          </w:p>
        </w:tc>
        <w:tc>
          <w:tcPr>
            <w:tcW w:w="1900" w:type="dxa"/>
          </w:tcPr>
          <w:p>
            <w:pPr>
              <w:spacing w:after="0" w:before="0"/>
            </w:pPr>
            <w:r/>
            <w:r>
              <w:rPr>
                <w:rFonts w:ascii="Arial" w:hAnsi="Arial" w:cs="Arial"/>
                <w:b w:val="0"/>
                <w:sz w:val="17"/>
              </w:rPr>
              <w:t>§17, §45.9</w:t>
            </w:r>
          </w:p>
        </w:tc>
        <w:tc>
          <w:tcPr>
            <w:tcW w:w="3060" w:type="dxa"/>
          </w:tcPr>
          <w:p>
            <w:pPr>
              <w:spacing w:after="0" w:before="0"/>
            </w:pPr>
            <w:r/>
            <w:r>
              <w:rPr>
                <w:rFonts w:ascii="Arial" w:hAnsi="Arial" w:cs="Arial"/>
                <w:b w:val="0"/>
                <w:sz w:val="17"/>
              </w:rPr>
              <w:t>KFS generation test</w:t>
            </w:r>
          </w:p>
        </w:tc>
      </w:tr>
      <w:tr>
        <w:tc>
          <w:tcPr>
            <w:tcW w:w="1100" w:type="dxa"/>
          </w:tcPr>
          <w:p>
            <w:pPr>
              <w:spacing w:after="0" w:before="0"/>
            </w:pPr>
            <w:r/>
            <w:r>
              <w:rPr>
                <w:rFonts w:ascii="Arial" w:hAnsi="Arial" w:cs="Arial"/>
                <w:b w:val="0"/>
                <w:sz w:val="17"/>
              </w:rPr>
              <w:t>NFR-01</w:t>
            </w:r>
          </w:p>
        </w:tc>
        <w:tc>
          <w:tcPr>
            <w:tcW w:w="3300" w:type="dxa"/>
          </w:tcPr>
          <w:p>
            <w:pPr>
              <w:spacing w:after="0" w:before="0"/>
            </w:pPr>
            <w:r/>
            <w:r>
              <w:rPr>
                <w:rFonts w:ascii="Arial" w:hAnsi="Arial" w:cs="Arial"/>
                <w:b w:val="0"/>
                <w:sz w:val="17"/>
              </w:rPr>
              <w:t>API p95 ≤ 300 ms at peak</w:t>
            </w:r>
          </w:p>
        </w:tc>
        <w:tc>
          <w:tcPr>
            <w:tcW w:w="1900" w:type="dxa"/>
          </w:tcPr>
          <w:p>
            <w:pPr>
              <w:spacing w:after="0" w:before="0"/>
            </w:pPr>
            <w:r/>
            <w:r>
              <w:rPr>
                <w:rFonts w:ascii="Arial" w:hAnsi="Arial" w:cs="Arial"/>
                <w:b w:val="0"/>
                <w:sz w:val="17"/>
              </w:rPr>
              <w:t>§29.1</w:t>
            </w:r>
          </w:p>
        </w:tc>
        <w:tc>
          <w:tcPr>
            <w:tcW w:w="3060" w:type="dxa"/>
          </w:tcPr>
          <w:p>
            <w:pPr>
              <w:spacing w:after="0" w:before="0"/>
            </w:pPr>
            <w:r/>
            <w:r>
              <w:rPr>
                <w:rFonts w:ascii="Arial" w:hAnsi="Arial" w:cs="Arial"/>
                <w:b w:val="0"/>
                <w:sz w:val="17"/>
              </w:rPr>
              <w:t>Load test</w:t>
            </w:r>
          </w:p>
        </w:tc>
      </w:tr>
      <w:tr>
        <w:tc>
          <w:tcPr>
            <w:tcW w:w="1100" w:type="dxa"/>
          </w:tcPr>
          <w:p>
            <w:pPr>
              <w:spacing w:after="0" w:before="0"/>
            </w:pPr>
            <w:r/>
            <w:r>
              <w:rPr>
                <w:rFonts w:ascii="Arial" w:hAnsi="Arial" w:cs="Arial"/>
                <w:b w:val="0"/>
                <w:sz w:val="17"/>
              </w:rPr>
              <w:t>NFR-02</w:t>
            </w:r>
          </w:p>
        </w:tc>
        <w:tc>
          <w:tcPr>
            <w:tcW w:w="3300" w:type="dxa"/>
          </w:tcPr>
          <w:p>
            <w:pPr>
              <w:spacing w:after="0" w:before="0"/>
            </w:pPr>
            <w:r/>
            <w:r>
              <w:rPr>
                <w:rFonts w:ascii="Arial" w:hAnsi="Arial" w:cs="Arial"/>
                <w:b w:val="0"/>
                <w:sz w:val="17"/>
              </w:rPr>
              <w:t>RPO ≤ 15 min / RTO ≤ 2 h</w:t>
            </w:r>
          </w:p>
        </w:tc>
        <w:tc>
          <w:tcPr>
            <w:tcW w:w="1900" w:type="dxa"/>
          </w:tcPr>
          <w:p>
            <w:pPr>
              <w:spacing w:after="0" w:before="0"/>
            </w:pPr>
            <w:r/>
            <w:r>
              <w:rPr>
                <w:rFonts w:ascii="Arial" w:hAnsi="Arial" w:cs="Arial"/>
                <w:b w:val="0"/>
                <w:sz w:val="17"/>
              </w:rPr>
              <w:t>§29.1</w:t>
            </w:r>
          </w:p>
        </w:tc>
        <w:tc>
          <w:tcPr>
            <w:tcW w:w="3060" w:type="dxa"/>
          </w:tcPr>
          <w:p>
            <w:pPr>
              <w:spacing w:after="0" w:before="0"/>
            </w:pPr>
            <w:r/>
            <w:r>
              <w:rPr>
                <w:rFonts w:ascii="Arial" w:hAnsi="Arial" w:cs="Arial"/>
                <w:b w:val="0"/>
                <w:sz w:val="17"/>
              </w:rPr>
              <w:t>DR drill</w:t>
            </w:r>
          </w:p>
        </w:tc>
      </w:tr>
      <w:tr>
        <w:tc>
          <w:tcPr>
            <w:tcW w:w="1100" w:type="dxa"/>
          </w:tcPr>
          <w:p>
            <w:pPr>
              <w:spacing w:after="0" w:before="0"/>
            </w:pPr>
            <w:r/>
            <w:r>
              <w:rPr>
                <w:rFonts w:ascii="Arial" w:hAnsi="Arial" w:cs="Arial"/>
                <w:b w:val="0"/>
                <w:sz w:val="17"/>
              </w:rPr>
              <w:t>NFR-03</w:t>
            </w:r>
          </w:p>
        </w:tc>
        <w:tc>
          <w:tcPr>
            <w:tcW w:w="3300" w:type="dxa"/>
          </w:tcPr>
          <w:p>
            <w:pPr>
              <w:spacing w:after="0" w:before="0"/>
            </w:pPr>
            <w:r/>
            <w:r>
              <w:rPr>
                <w:rFonts w:ascii="Arial" w:hAnsi="Arial" w:cs="Arial"/>
                <w:b w:val="0"/>
                <w:sz w:val="17"/>
              </w:rPr>
              <w:t>Money as DECIMAL; balanced postings</w:t>
            </w:r>
          </w:p>
        </w:tc>
        <w:tc>
          <w:tcPr>
            <w:tcW w:w="1900" w:type="dxa"/>
          </w:tcPr>
          <w:p>
            <w:pPr>
              <w:spacing w:after="0" w:before="0"/>
            </w:pPr>
            <w:r/>
            <w:r>
              <w:rPr>
                <w:rFonts w:ascii="Arial" w:hAnsi="Arial" w:cs="Arial"/>
                <w:b w:val="0"/>
                <w:sz w:val="17"/>
              </w:rPr>
              <w:t>§28</w:t>
            </w:r>
          </w:p>
        </w:tc>
        <w:tc>
          <w:tcPr>
            <w:tcW w:w="3060" w:type="dxa"/>
          </w:tcPr>
          <w:p>
            <w:pPr>
              <w:spacing w:after="0" w:before="0"/>
            </w:pPr>
            <w:r/>
            <w:r>
              <w:rPr>
                <w:rFonts w:ascii="Arial" w:hAnsi="Arial" w:cs="Arial"/>
                <w:b w:val="0"/>
                <w:sz w:val="17"/>
              </w:rPr>
              <w:t>Unit + property tests</w:t>
            </w:r>
          </w:p>
        </w:tc>
      </w:tr>
      <w:tr>
        <w:tc>
          <w:tcPr>
            <w:tcW w:w="1100" w:type="dxa"/>
          </w:tcPr>
          <w:p>
            <w:pPr>
              <w:spacing w:after="0" w:before="0"/>
            </w:pPr>
            <w:r/>
            <w:r>
              <w:rPr>
                <w:rFonts w:ascii="Arial" w:hAnsi="Arial" w:cs="Arial"/>
                <w:b w:val="0"/>
                <w:sz w:val="17"/>
              </w:rPr>
              <w:t>SEC-01</w:t>
            </w:r>
          </w:p>
        </w:tc>
        <w:tc>
          <w:tcPr>
            <w:tcW w:w="3300" w:type="dxa"/>
          </w:tcPr>
          <w:p>
            <w:pPr>
              <w:spacing w:after="0" w:before="0"/>
            </w:pPr>
            <w:r/>
            <w:r>
              <w:rPr>
                <w:rFonts w:ascii="Arial" w:hAnsi="Arial" w:cs="Arial"/>
                <w:b w:val="0"/>
                <w:sz w:val="17"/>
              </w:rPr>
              <w:t>Field-level encryption/tokenisation of PII</w:t>
            </w:r>
          </w:p>
        </w:tc>
        <w:tc>
          <w:tcPr>
            <w:tcW w:w="1900" w:type="dxa"/>
          </w:tcPr>
          <w:p>
            <w:pPr>
              <w:spacing w:after="0" w:before="0"/>
            </w:pPr>
            <w:r/>
            <w:r>
              <w:rPr>
                <w:rFonts w:ascii="Arial" w:hAnsi="Arial" w:cs="Arial"/>
                <w:b w:val="0"/>
                <w:sz w:val="17"/>
              </w:rPr>
              <w:t>§14, §34.2</w:t>
            </w:r>
          </w:p>
        </w:tc>
        <w:tc>
          <w:tcPr>
            <w:tcW w:w="3060" w:type="dxa"/>
          </w:tcPr>
          <w:p>
            <w:pPr>
              <w:spacing w:after="0" w:before="0"/>
            </w:pPr>
            <w:r/>
            <w:r>
              <w:rPr>
                <w:rFonts w:ascii="Arial" w:hAnsi="Arial" w:cs="Arial"/>
                <w:b w:val="0"/>
                <w:sz w:val="17"/>
              </w:rPr>
              <w:t>Security test / VAPT</w:t>
            </w:r>
          </w:p>
        </w:tc>
      </w:tr>
      <w:tr>
        <w:tc>
          <w:tcPr>
            <w:tcW w:w="1100" w:type="dxa"/>
          </w:tcPr>
          <w:p>
            <w:pPr>
              <w:spacing w:after="0" w:before="0"/>
            </w:pPr>
            <w:r/>
            <w:r>
              <w:rPr>
                <w:rFonts w:ascii="Arial" w:hAnsi="Arial" w:cs="Arial"/>
                <w:b w:val="0"/>
                <w:sz w:val="17"/>
              </w:rPr>
              <w:t>REG-01</w:t>
            </w:r>
          </w:p>
        </w:tc>
        <w:tc>
          <w:tcPr>
            <w:tcW w:w="3300" w:type="dxa"/>
          </w:tcPr>
          <w:p>
            <w:pPr>
              <w:spacing w:after="0" w:before="0"/>
            </w:pPr>
            <w:r/>
            <w:r>
              <w:rPr>
                <w:rFonts w:ascii="Arial" w:hAnsi="Arial" w:cs="Arial"/>
                <w:b w:val="0"/>
                <w:sz w:val="17"/>
              </w:rPr>
              <w:t>Report cyber incident within 6 h</w:t>
            </w:r>
          </w:p>
        </w:tc>
        <w:tc>
          <w:tcPr>
            <w:tcW w:w="1900" w:type="dxa"/>
          </w:tcPr>
          <w:p>
            <w:pPr>
              <w:spacing w:after="0" w:before="0"/>
            </w:pPr>
            <w:r/>
            <w:r>
              <w:rPr>
                <w:rFonts w:ascii="Arial" w:hAnsi="Arial" w:cs="Arial"/>
                <w:b w:val="0"/>
                <w:sz w:val="17"/>
              </w:rPr>
              <w:t>§34.3</w:t>
            </w:r>
          </w:p>
        </w:tc>
        <w:tc>
          <w:tcPr>
            <w:tcW w:w="3060" w:type="dxa"/>
          </w:tcPr>
          <w:p>
            <w:pPr>
              <w:spacing w:after="0" w:before="0"/>
            </w:pPr>
            <w:r/>
            <w:r>
              <w:rPr>
                <w:rFonts w:ascii="Arial" w:hAnsi="Arial" w:cs="Arial"/>
                <w:b w:val="0"/>
                <w:sz w:val="17"/>
              </w:rPr>
              <w:t>Tabletop exercise</w:t>
            </w:r>
          </w:p>
        </w:tc>
      </w:tr>
      <w:tr>
        <w:tc>
          <w:tcPr>
            <w:tcW w:w="1100" w:type="dxa"/>
          </w:tcPr>
          <w:p>
            <w:pPr>
              <w:spacing w:after="0" w:before="0"/>
            </w:pPr>
            <w:r/>
            <w:r>
              <w:rPr>
                <w:rFonts w:ascii="Arial" w:hAnsi="Arial" w:cs="Arial"/>
                <w:b w:val="0"/>
                <w:sz w:val="17"/>
              </w:rPr>
              <w:t>REG-02</w:t>
            </w:r>
          </w:p>
        </w:tc>
        <w:tc>
          <w:tcPr>
            <w:tcW w:w="3300" w:type="dxa"/>
          </w:tcPr>
          <w:p>
            <w:pPr>
              <w:spacing w:after="0" w:before="0"/>
            </w:pPr>
            <w:r/>
            <w:r>
              <w:rPr>
                <w:rFonts w:ascii="Arial" w:hAnsi="Arial" w:cs="Arial"/>
                <w:b w:val="0"/>
                <w:sz w:val="17"/>
              </w:rPr>
              <w:t>LEI for entity exposure ≥ ₹5 cr</w:t>
            </w:r>
          </w:p>
        </w:tc>
        <w:tc>
          <w:tcPr>
            <w:tcW w:w="1900" w:type="dxa"/>
          </w:tcPr>
          <w:p>
            <w:pPr>
              <w:spacing w:after="0" w:before="0"/>
            </w:pPr>
            <w:r/>
            <w:r>
              <w:rPr>
                <w:rFonts w:ascii="Arial" w:hAnsi="Arial" w:cs="Arial"/>
                <w:b w:val="0"/>
                <w:sz w:val="17"/>
              </w:rPr>
              <w:t>§25.1, §43.2</w:t>
            </w:r>
          </w:p>
        </w:tc>
        <w:tc>
          <w:tcPr>
            <w:tcW w:w="3060" w:type="dxa"/>
          </w:tcPr>
          <w:p>
            <w:pPr>
              <w:spacing w:after="0" w:before="0"/>
            </w:pPr>
            <w:r/>
            <w:r>
              <w:rPr>
                <w:rFonts w:ascii="Arial" w:hAnsi="Arial" w:cs="Arial"/>
                <w:b w:val="0"/>
                <w:sz w:val="17"/>
              </w:rPr>
              <w:t>Validation rule test</w:t>
            </w:r>
          </w:p>
        </w:tc>
      </w:tr>
    </w:tbl>
    <w:p/>
    <w:p>
      <w:pPr>
        <w:pStyle w:val="Heading1"/>
      </w:pPr>
      <w:r>
        <w:t>49. Regulatory Obligations Register</w:t>
      </w:r>
    </w:p>
    <w:p>
      <w:r>
        <w:rPr>
          <w:rFonts w:ascii="Arial" w:hAnsi="Arial" w:cs="Arial"/>
          <w:b w:val="0"/>
          <w:i w:val="0"/>
          <w:sz w:val="22"/>
        </w:rPr>
        <w:t>Each obligation is mapped to where it is addressed, the accountable control owner, and the evidence produced. This single register is what a regulator or auditor typically asks for first; thresholds/formats are per the extant Master Directions and are re-validated by Compliance.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300"/>
        <w:gridCol w:w="2700"/>
        <w:gridCol w:w="1400"/>
        <w:gridCol w:w="2960"/>
      </w:tblGrid>
      <w:tr>
        <w:tc>
          <w:tcPr>
            <w:tcW w:w="2300" w:type="dxa"/>
            <w:shd w:val="clear" w:color="auto" w:fill="1F4E78"/>
          </w:tcPr>
          <w:p>
            <w:pPr>
              <w:spacing w:after="0" w:before="0"/>
            </w:pPr>
            <w:r/>
            <w:r>
              <w:rPr>
                <w:rFonts w:ascii="Arial" w:hAnsi="Arial" w:cs="Arial"/>
                <w:b/>
                <w:color w:val="FFFFFF"/>
                <w:sz w:val="17"/>
              </w:rPr>
              <w:t>Regulation / basis</w:t>
            </w:r>
          </w:p>
        </w:tc>
        <w:tc>
          <w:tcPr>
            <w:tcW w:w="2700" w:type="dxa"/>
            <w:shd w:val="clear" w:color="auto" w:fill="1F4E78"/>
          </w:tcPr>
          <w:p>
            <w:pPr>
              <w:spacing w:after="0" w:before="0"/>
            </w:pPr>
            <w:r/>
            <w:r>
              <w:rPr>
                <w:rFonts w:ascii="Arial" w:hAnsi="Arial" w:cs="Arial"/>
                <w:b/>
                <w:color w:val="FFFFFF"/>
                <w:sz w:val="17"/>
              </w:rPr>
              <w:t>Key obligation</w:t>
            </w:r>
          </w:p>
        </w:tc>
        <w:tc>
          <w:tcPr>
            <w:tcW w:w="1400" w:type="dxa"/>
            <w:shd w:val="clear" w:color="auto" w:fill="1F4E78"/>
          </w:tcPr>
          <w:p>
            <w:pPr>
              <w:spacing w:after="0" w:before="0"/>
            </w:pPr>
            <w:r/>
            <w:r>
              <w:rPr>
                <w:rFonts w:ascii="Arial" w:hAnsi="Arial" w:cs="Arial"/>
                <w:b/>
                <w:color w:val="FFFFFF"/>
                <w:sz w:val="17"/>
              </w:rPr>
              <w:t>Design ref</w:t>
            </w:r>
          </w:p>
        </w:tc>
        <w:tc>
          <w:tcPr>
            <w:tcW w:w="2960" w:type="dxa"/>
            <w:shd w:val="clear" w:color="auto" w:fill="1F4E78"/>
          </w:tcPr>
          <w:p>
            <w:pPr>
              <w:spacing w:after="0" w:before="0"/>
            </w:pPr>
            <w:r/>
            <w:r>
              <w:rPr>
                <w:rFonts w:ascii="Arial" w:hAnsi="Arial" w:cs="Arial"/>
                <w:b/>
                <w:color w:val="FFFFFF"/>
                <w:sz w:val="17"/>
              </w:rPr>
              <w:t>Owner / evidence</w:t>
            </w:r>
          </w:p>
        </w:tc>
      </w:tr>
      <w:tr>
        <w:tc>
          <w:tcPr>
            <w:tcW w:w="2300" w:type="dxa"/>
          </w:tcPr>
          <w:p>
            <w:pPr>
              <w:spacing w:after="0" w:before="0"/>
            </w:pPr>
            <w:r/>
            <w:r>
              <w:rPr>
                <w:rFonts w:ascii="Arial" w:hAnsi="Arial" w:cs="Arial"/>
                <w:b w:val="0"/>
                <w:sz w:val="17"/>
              </w:rPr>
              <w:t>RBI Scale-Based Regulation</w:t>
            </w:r>
          </w:p>
        </w:tc>
        <w:tc>
          <w:tcPr>
            <w:tcW w:w="2700" w:type="dxa"/>
          </w:tcPr>
          <w:p>
            <w:pPr>
              <w:spacing w:after="0" w:before="0"/>
            </w:pPr>
            <w:r/>
            <w:r>
              <w:rPr>
                <w:rFonts w:ascii="Arial" w:hAnsi="Arial" w:cs="Arial"/>
                <w:b w:val="0"/>
                <w:sz w:val="17"/>
              </w:rPr>
              <w:t>Layer-appropriate prudential norms &amp; returns</w:t>
            </w:r>
          </w:p>
        </w:tc>
        <w:tc>
          <w:tcPr>
            <w:tcW w:w="1400" w:type="dxa"/>
          </w:tcPr>
          <w:p>
            <w:pPr>
              <w:spacing w:after="0" w:before="0"/>
            </w:pPr>
            <w:r/>
            <w:r>
              <w:rPr>
                <w:rFonts w:ascii="Arial" w:hAnsi="Arial" w:cs="Arial"/>
                <w:b w:val="0"/>
                <w:sz w:val="17"/>
              </w:rPr>
              <w:t>§9.1–9.2</w:t>
            </w:r>
          </w:p>
        </w:tc>
        <w:tc>
          <w:tcPr>
            <w:tcW w:w="2960" w:type="dxa"/>
          </w:tcPr>
          <w:p>
            <w:pPr>
              <w:spacing w:after="0" w:before="0"/>
            </w:pPr>
            <w:r/>
            <w:r>
              <w:rPr>
                <w:rFonts w:ascii="Arial" w:hAnsi="Arial" w:cs="Arial"/>
                <w:b w:val="0"/>
                <w:sz w:val="17"/>
              </w:rPr>
              <w:t>Compliance / return archive</w:t>
            </w:r>
          </w:p>
        </w:tc>
      </w:tr>
      <w:tr>
        <w:tc>
          <w:tcPr>
            <w:tcW w:w="2300" w:type="dxa"/>
          </w:tcPr>
          <w:p>
            <w:pPr>
              <w:spacing w:after="0" w:before="0"/>
            </w:pPr>
            <w:r/>
            <w:r>
              <w:rPr>
                <w:rFonts w:ascii="Arial" w:hAnsi="Arial" w:cs="Arial"/>
                <w:b w:val="0"/>
                <w:sz w:val="17"/>
              </w:rPr>
              <w:t>RBI KYC Master Direction</w:t>
            </w:r>
          </w:p>
        </w:tc>
        <w:tc>
          <w:tcPr>
            <w:tcW w:w="2700" w:type="dxa"/>
          </w:tcPr>
          <w:p>
            <w:pPr>
              <w:spacing w:after="0" w:before="0"/>
            </w:pPr>
            <w:r/>
            <w:r>
              <w:rPr>
                <w:rFonts w:ascii="Arial" w:hAnsi="Arial" w:cs="Arial"/>
                <w:b w:val="0"/>
                <w:sz w:val="17"/>
              </w:rPr>
              <w:t>CDD, risk categorisation, periodic re-KYC, CKYC</w:t>
            </w:r>
          </w:p>
        </w:tc>
        <w:tc>
          <w:tcPr>
            <w:tcW w:w="1400" w:type="dxa"/>
          </w:tcPr>
          <w:p>
            <w:pPr>
              <w:spacing w:after="0" w:before="0"/>
            </w:pPr>
            <w:r/>
            <w:r>
              <w:rPr>
                <w:rFonts w:ascii="Arial" w:hAnsi="Arial" w:cs="Arial"/>
                <w:b w:val="0"/>
                <w:sz w:val="17"/>
              </w:rPr>
              <w:t>§2.11, §16</w:t>
            </w:r>
          </w:p>
        </w:tc>
        <w:tc>
          <w:tcPr>
            <w:tcW w:w="2960" w:type="dxa"/>
          </w:tcPr>
          <w:p>
            <w:pPr>
              <w:spacing w:after="0" w:before="0"/>
            </w:pPr>
            <w:r/>
            <w:r>
              <w:rPr>
                <w:rFonts w:ascii="Arial" w:hAnsi="Arial" w:cs="Arial"/>
                <w:b w:val="0"/>
                <w:sz w:val="17"/>
              </w:rPr>
              <w:t>Compliance / KYC audit log</w:t>
            </w:r>
          </w:p>
        </w:tc>
      </w:tr>
      <w:tr>
        <w:tc>
          <w:tcPr>
            <w:tcW w:w="2300" w:type="dxa"/>
          </w:tcPr>
          <w:p>
            <w:pPr>
              <w:spacing w:after="0" w:before="0"/>
            </w:pPr>
            <w:r/>
            <w:r>
              <w:rPr>
                <w:rFonts w:ascii="Arial" w:hAnsi="Arial" w:cs="Arial"/>
                <w:b w:val="0"/>
                <w:sz w:val="17"/>
              </w:rPr>
              <w:t>RBI Digital Lending Directions</w:t>
            </w:r>
          </w:p>
        </w:tc>
        <w:tc>
          <w:tcPr>
            <w:tcW w:w="2700" w:type="dxa"/>
          </w:tcPr>
          <w:p>
            <w:pPr>
              <w:spacing w:after="0" w:before="0"/>
            </w:pPr>
            <w:r/>
            <w:r>
              <w:rPr>
                <w:rFonts w:ascii="Arial" w:hAnsi="Arial" w:cs="Arial"/>
                <w:b w:val="0"/>
                <w:sz w:val="17"/>
              </w:rPr>
              <w:t>KFS, APR, cooling-off, LSP/FLDG, no unsolicited limit</w:t>
            </w:r>
          </w:p>
        </w:tc>
        <w:tc>
          <w:tcPr>
            <w:tcW w:w="1400" w:type="dxa"/>
          </w:tcPr>
          <w:p>
            <w:pPr>
              <w:spacing w:after="0" w:before="0"/>
            </w:pPr>
            <w:r/>
            <w:r>
              <w:rPr>
                <w:rFonts w:ascii="Arial" w:hAnsi="Arial" w:cs="Arial"/>
                <w:b w:val="0"/>
                <w:sz w:val="17"/>
              </w:rPr>
              <w:t>§17, §36</w:t>
            </w:r>
          </w:p>
        </w:tc>
        <w:tc>
          <w:tcPr>
            <w:tcW w:w="2960" w:type="dxa"/>
          </w:tcPr>
          <w:p>
            <w:pPr>
              <w:spacing w:after="0" w:before="0"/>
            </w:pPr>
            <w:r/>
            <w:r>
              <w:rPr>
                <w:rFonts w:ascii="Arial" w:hAnsi="Arial" w:cs="Arial"/>
                <w:b w:val="0"/>
                <w:sz w:val="17"/>
              </w:rPr>
              <w:t>Compliance / KFS + consent logs</w:t>
            </w:r>
          </w:p>
        </w:tc>
      </w:tr>
      <w:tr>
        <w:tc>
          <w:tcPr>
            <w:tcW w:w="2300" w:type="dxa"/>
          </w:tcPr>
          <w:p>
            <w:pPr>
              <w:spacing w:after="0" w:before="0"/>
            </w:pPr>
            <w:r/>
            <w:r>
              <w:rPr>
                <w:rFonts w:ascii="Arial" w:hAnsi="Arial" w:cs="Arial"/>
                <w:b w:val="0"/>
                <w:sz w:val="17"/>
              </w:rPr>
              <w:t>RBI penal-charges framework</w:t>
            </w:r>
          </w:p>
        </w:tc>
        <w:tc>
          <w:tcPr>
            <w:tcW w:w="2700" w:type="dxa"/>
          </w:tcPr>
          <w:p>
            <w:pPr>
              <w:spacing w:after="0" w:before="0"/>
            </w:pPr>
            <w:r/>
            <w:r>
              <w:rPr>
                <w:rFonts w:ascii="Arial" w:hAnsi="Arial" w:cs="Arial"/>
                <w:b w:val="0"/>
                <w:sz w:val="17"/>
              </w:rPr>
              <w:t>Penalty as fee, non-compounding, not penal interest</w:t>
            </w:r>
          </w:p>
        </w:tc>
        <w:tc>
          <w:tcPr>
            <w:tcW w:w="1400" w:type="dxa"/>
          </w:tcPr>
          <w:p>
            <w:pPr>
              <w:spacing w:after="0" w:before="0"/>
            </w:pPr>
            <w:r/>
            <w:r>
              <w:rPr>
                <w:rFonts w:ascii="Arial" w:hAnsi="Arial" w:cs="Arial"/>
                <w:b w:val="0"/>
                <w:sz w:val="17"/>
              </w:rPr>
              <w:t>§24.7, §45.6</w:t>
            </w:r>
          </w:p>
        </w:tc>
        <w:tc>
          <w:tcPr>
            <w:tcW w:w="2960" w:type="dxa"/>
          </w:tcPr>
          <w:p>
            <w:pPr>
              <w:spacing w:after="0" w:before="0"/>
            </w:pPr>
            <w:r/>
            <w:r>
              <w:rPr>
                <w:rFonts w:ascii="Arial" w:hAnsi="Arial" w:cs="Arial"/>
                <w:b w:val="0"/>
                <w:sz w:val="17"/>
              </w:rPr>
              <w:t>Finance / penal-charge ledger</w:t>
            </w:r>
          </w:p>
        </w:tc>
      </w:tr>
      <w:tr>
        <w:tc>
          <w:tcPr>
            <w:tcW w:w="2300" w:type="dxa"/>
          </w:tcPr>
          <w:p>
            <w:pPr>
              <w:spacing w:after="0" w:before="0"/>
            </w:pPr>
            <w:r/>
            <w:r>
              <w:rPr>
                <w:rFonts w:ascii="Arial" w:hAnsi="Arial" w:cs="Arial"/>
                <w:b w:val="0"/>
                <w:sz w:val="17"/>
              </w:rPr>
              <w:t>RBI IT Governance Directions 2023</w:t>
            </w:r>
          </w:p>
        </w:tc>
        <w:tc>
          <w:tcPr>
            <w:tcW w:w="2700" w:type="dxa"/>
          </w:tcPr>
          <w:p>
            <w:pPr>
              <w:spacing w:after="0" w:before="0"/>
            </w:pPr>
            <w:r/>
            <w:r>
              <w:rPr>
                <w:rFonts w:ascii="Arial" w:hAnsi="Arial" w:cs="Arial"/>
                <w:b w:val="0"/>
                <w:sz w:val="17"/>
              </w:rPr>
              <w:t>IT governance, infosec, BCP/DR, IS audit</w:t>
            </w:r>
          </w:p>
        </w:tc>
        <w:tc>
          <w:tcPr>
            <w:tcW w:w="1400" w:type="dxa"/>
          </w:tcPr>
          <w:p>
            <w:pPr>
              <w:spacing w:after="0" w:before="0"/>
            </w:pPr>
            <w:r/>
            <w:r>
              <w:rPr>
                <w:rFonts w:ascii="Arial" w:hAnsi="Arial" w:cs="Arial"/>
                <w:b w:val="0"/>
                <w:sz w:val="17"/>
              </w:rPr>
              <w:t>§34</w:t>
            </w:r>
          </w:p>
        </w:tc>
        <w:tc>
          <w:tcPr>
            <w:tcW w:w="2960" w:type="dxa"/>
          </w:tcPr>
          <w:p>
            <w:pPr>
              <w:spacing w:after="0" w:before="0"/>
            </w:pPr>
            <w:r/>
            <w:r>
              <w:rPr>
                <w:rFonts w:ascii="Arial" w:hAnsi="Arial" w:cs="Arial"/>
                <w:b w:val="0"/>
                <w:sz w:val="17"/>
              </w:rPr>
              <w:t>CISO / policy + VAPT reports</w:t>
            </w:r>
          </w:p>
        </w:tc>
      </w:tr>
      <w:tr>
        <w:tc>
          <w:tcPr>
            <w:tcW w:w="2300" w:type="dxa"/>
          </w:tcPr>
          <w:p>
            <w:pPr>
              <w:spacing w:after="0" w:before="0"/>
            </w:pPr>
            <w:r/>
            <w:r>
              <w:rPr>
                <w:rFonts w:ascii="Arial" w:hAnsi="Arial" w:cs="Arial"/>
                <w:b w:val="0"/>
                <w:sz w:val="17"/>
              </w:rPr>
              <w:t>CERT-In Directions 2022</w:t>
            </w:r>
          </w:p>
        </w:tc>
        <w:tc>
          <w:tcPr>
            <w:tcW w:w="2700" w:type="dxa"/>
          </w:tcPr>
          <w:p>
            <w:pPr>
              <w:spacing w:after="0" w:before="0"/>
            </w:pPr>
            <w:r/>
            <w:r>
              <w:rPr>
                <w:rFonts w:ascii="Arial" w:hAnsi="Arial" w:cs="Arial"/>
                <w:b w:val="0"/>
                <w:sz w:val="17"/>
              </w:rPr>
              <w:t>6-hour incident reporting; 180-day logs</w:t>
            </w:r>
          </w:p>
        </w:tc>
        <w:tc>
          <w:tcPr>
            <w:tcW w:w="1400" w:type="dxa"/>
          </w:tcPr>
          <w:p>
            <w:pPr>
              <w:spacing w:after="0" w:before="0"/>
            </w:pPr>
            <w:r/>
            <w:r>
              <w:rPr>
                <w:rFonts w:ascii="Arial" w:hAnsi="Arial" w:cs="Arial"/>
                <w:b w:val="0"/>
                <w:sz w:val="17"/>
              </w:rPr>
              <w:t>§34.3</w:t>
            </w:r>
          </w:p>
        </w:tc>
        <w:tc>
          <w:tcPr>
            <w:tcW w:w="2960" w:type="dxa"/>
          </w:tcPr>
          <w:p>
            <w:pPr>
              <w:spacing w:after="0" w:before="0"/>
            </w:pPr>
            <w:r/>
            <w:r>
              <w:rPr>
                <w:rFonts w:ascii="Arial" w:hAnsi="Arial" w:cs="Arial"/>
                <w:b w:val="0"/>
                <w:sz w:val="17"/>
              </w:rPr>
              <w:t>CISO / incident register</w:t>
            </w:r>
          </w:p>
        </w:tc>
      </w:tr>
      <w:tr>
        <w:tc>
          <w:tcPr>
            <w:tcW w:w="2300" w:type="dxa"/>
          </w:tcPr>
          <w:p>
            <w:pPr>
              <w:spacing w:after="0" w:before="0"/>
            </w:pPr>
            <w:r/>
            <w:r>
              <w:rPr>
                <w:rFonts w:ascii="Arial" w:hAnsi="Arial" w:cs="Arial"/>
                <w:b w:val="0"/>
                <w:sz w:val="17"/>
              </w:rPr>
              <w:t>PMLA &amp; Rules</w:t>
            </w:r>
          </w:p>
        </w:tc>
        <w:tc>
          <w:tcPr>
            <w:tcW w:w="2700" w:type="dxa"/>
          </w:tcPr>
          <w:p>
            <w:pPr>
              <w:spacing w:after="0" w:before="0"/>
            </w:pPr>
            <w:r/>
            <w:r>
              <w:rPr>
                <w:rFonts w:ascii="Arial" w:hAnsi="Arial" w:cs="Arial"/>
                <w:b w:val="0"/>
                <w:sz w:val="17"/>
              </w:rPr>
              <w:t>CTR/STR/NTR/CCR to FIU-IND; 5-yr records</w:t>
            </w:r>
          </w:p>
        </w:tc>
        <w:tc>
          <w:tcPr>
            <w:tcW w:w="1400" w:type="dxa"/>
          </w:tcPr>
          <w:p>
            <w:pPr>
              <w:spacing w:after="0" w:before="0"/>
            </w:pPr>
            <w:r/>
            <w:r>
              <w:rPr>
                <w:rFonts w:ascii="Arial" w:hAnsi="Arial" w:cs="Arial"/>
                <w:b w:val="0"/>
                <w:sz w:val="17"/>
              </w:rPr>
              <w:t>§16</w:t>
            </w:r>
          </w:p>
        </w:tc>
        <w:tc>
          <w:tcPr>
            <w:tcW w:w="2960" w:type="dxa"/>
          </w:tcPr>
          <w:p>
            <w:pPr>
              <w:spacing w:after="0" w:before="0"/>
            </w:pPr>
            <w:r/>
            <w:r>
              <w:rPr>
                <w:rFonts w:ascii="Arial" w:hAnsi="Arial" w:cs="Arial"/>
                <w:b w:val="0"/>
                <w:sz w:val="17"/>
              </w:rPr>
              <w:t>Principal Officer / FIU filings</w:t>
            </w:r>
          </w:p>
        </w:tc>
      </w:tr>
      <w:tr>
        <w:tc>
          <w:tcPr>
            <w:tcW w:w="2300" w:type="dxa"/>
          </w:tcPr>
          <w:p>
            <w:pPr>
              <w:spacing w:after="0" w:before="0"/>
            </w:pPr>
            <w:r/>
            <w:r>
              <w:rPr>
                <w:rFonts w:ascii="Arial" w:hAnsi="Arial" w:cs="Arial"/>
                <w:b w:val="0"/>
                <w:sz w:val="17"/>
              </w:rPr>
              <w:t>DPDP Act 2023</w:t>
            </w:r>
          </w:p>
        </w:tc>
        <w:tc>
          <w:tcPr>
            <w:tcW w:w="2700" w:type="dxa"/>
          </w:tcPr>
          <w:p>
            <w:pPr>
              <w:spacing w:after="0" w:before="0"/>
            </w:pPr>
            <w:r/>
            <w:r>
              <w:rPr>
                <w:rFonts w:ascii="Arial" w:hAnsi="Arial" w:cs="Arial"/>
                <w:b w:val="0"/>
                <w:sz w:val="17"/>
              </w:rPr>
              <w:t>Consent, purpose limitation, rights, breach notice</w:t>
            </w:r>
          </w:p>
        </w:tc>
        <w:tc>
          <w:tcPr>
            <w:tcW w:w="1400" w:type="dxa"/>
          </w:tcPr>
          <w:p>
            <w:pPr>
              <w:spacing w:after="0" w:before="0"/>
            </w:pPr>
            <w:r/>
            <w:r>
              <w:rPr>
                <w:rFonts w:ascii="Arial" w:hAnsi="Arial" w:cs="Arial"/>
                <w:b w:val="0"/>
                <w:sz w:val="17"/>
              </w:rPr>
              <w:t>§35</w:t>
            </w:r>
          </w:p>
        </w:tc>
        <w:tc>
          <w:tcPr>
            <w:tcW w:w="2960" w:type="dxa"/>
          </w:tcPr>
          <w:p>
            <w:pPr>
              <w:spacing w:after="0" w:before="0"/>
            </w:pPr>
            <w:r/>
            <w:r>
              <w:rPr>
                <w:rFonts w:ascii="Arial" w:hAnsi="Arial" w:cs="Arial"/>
                <w:b w:val="0"/>
                <w:sz w:val="17"/>
              </w:rPr>
              <w:t>DPO / consent + retention logs</w:t>
            </w:r>
          </w:p>
        </w:tc>
      </w:tr>
      <w:tr>
        <w:tc>
          <w:tcPr>
            <w:tcW w:w="2300" w:type="dxa"/>
          </w:tcPr>
          <w:p>
            <w:pPr>
              <w:spacing w:after="0" w:before="0"/>
            </w:pPr>
            <w:r/>
            <w:r>
              <w:rPr>
                <w:rFonts w:ascii="Arial" w:hAnsi="Arial" w:cs="Arial"/>
                <w:b w:val="0"/>
                <w:sz w:val="17"/>
              </w:rPr>
              <w:t>CICRA &amp; RBI CIC directions</w:t>
            </w:r>
          </w:p>
        </w:tc>
        <w:tc>
          <w:tcPr>
            <w:tcW w:w="2700" w:type="dxa"/>
          </w:tcPr>
          <w:p>
            <w:pPr>
              <w:spacing w:after="0" w:before="0"/>
            </w:pPr>
            <w:r/>
            <w:r>
              <w:rPr>
                <w:rFonts w:ascii="Arial" w:hAnsi="Arial" w:cs="Arial"/>
                <w:b w:val="0"/>
                <w:sz w:val="17"/>
              </w:rPr>
              <w:t>Monthly CIC reporting; disputes</w:t>
            </w:r>
          </w:p>
        </w:tc>
        <w:tc>
          <w:tcPr>
            <w:tcW w:w="1400" w:type="dxa"/>
          </w:tcPr>
          <w:p>
            <w:pPr>
              <w:spacing w:after="0" w:before="0"/>
            </w:pPr>
            <w:r/>
            <w:r>
              <w:rPr>
                <w:rFonts w:ascii="Arial" w:hAnsi="Arial" w:cs="Arial"/>
                <w:b w:val="0"/>
                <w:sz w:val="17"/>
              </w:rPr>
              <w:t>§10</w:t>
            </w:r>
          </w:p>
        </w:tc>
        <w:tc>
          <w:tcPr>
            <w:tcW w:w="2960" w:type="dxa"/>
          </w:tcPr>
          <w:p>
            <w:pPr>
              <w:spacing w:after="0" w:before="0"/>
            </w:pPr>
            <w:r/>
            <w:r>
              <w:rPr>
                <w:rFonts w:ascii="Arial" w:hAnsi="Arial" w:cs="Arial"/>
                <w:b w:val="0"/>
                <w:sz w:val="17"/>
              </w:rPr>
              <w:t>Compliance / submission logs</w:t>
            </w:r>
          </w:p>
        </w:tc>
      </w:tr>
      <w:tr>
        <w:tc>
          <w:tcPr>
            <w:tcW w:w="2300" w:type="dxa"/>
          </w:tcPr>
          <w:p>
            <w:pPr>
              <w:spacing w:after="0" w:before="0"/>
            </w:pPr>
            <w:r/>
            <w:r>
              <w:rPr>
                <w:rFonts w:ascii="Arial" w:hAnsi="Arial" w:cs="Arial"/>
                <w:b w:val="0"/>
                <w:sz w:val="17"/>
              </w:rPr>
              <w:t>Ind AS 109</w:t>
            </w:r>
          </w:p>
        </w:tc>
        <w:tc>
          <w:tcPr>
            <w:tcW w:w="2700" w:type="dxa"/>
          </w:tcPr>
          <w:p>
            <w:pPr>
              <w:spacing w:after="0" w:before="0"/>
            </w:pPr>
            <w:r/>
            <w:r>
              <w:rPr>
                <w:rFonts w:ascii="Arial" w:hAnsi="Arial" w:cs="Arial"/>
                <w:b w:val="0"/>
                <w:sz w:val="17"/>
              </w:rPr>
              <w:t>ECL, EIR, staging, prudential floor</w:t>
            </w:r>
          </w:p>
        </w:tc>
        <w:tc>
          <w:tcPr>
            <w:tcW w:w="1400" w:type="dxa"/>
          </w:tcPr>
          <w:p>
            <w:pPr>
              <w:spacing w:after="0" w:before="0"/>
            </w:pPr>
            <w:r/>
            <w:r>
              <w:rPr>
                <w:rFonts w:ascii="Arial" w:hAnsi="Arial" w:cs="Arial"/>
                <w:b w:val="0"/>
                <w:sz w:val="17"/>
              </w:rPr>
              <w:t>§30, §24.10</w:t>
            </w:r>
          </w:p>
        </w:tc>
        <w:tc>
          <w:tcPr>
            <w:tcW w:w="2960" w:type="dxa"/>
          </w:tcPr>
          <w:p>
            <w:pPr>
              <w:spacing w:after="0" w:before="0"/>
            </w:pPr>
            <w:r/>
            <w:r>
              <w:rPr>
                <w:rFonts w:ascii="Arial" w:hAnsi="Arial" w:cs="Arial"/>
                <w:b w:val="0"/>
                <w:sz w:val="17"/>
              </w:rPr>
              <w:t>Finance / ECL model docs</w:t>
            </w:r>
          </w:p>
        </w:tc>
      </w:tr>
      <w:tr>
        <w:tc>
          <w:tcPr>
            <w:tcW w:w="2300" w:type="dxa"/>
          </w:tcPr>
          <w:p>
            <w:pPr>
              <w:spacing w:after="0" w:before="0"/>
            </w:pPr>
            <w:r/>
            <w:r>
              <w:rPr>
                <w:rFonts w:ascii="Arial" w:hAnsi="Arial" w:cs="Arial"/>
                <w:b w:val="0"/>
                <w:sz w:val="17"/>
              </w:rPr>
              <w:t>RBI LEI directions</w:t>
            </w:r>
          </w:p>
        </w:tc>
        <w:tc>
          <w:tcPr>
            <w:tcW w:w="2700" w:type="dxa"/>
          </w:tcPr>
          <w:p>
            <w:pPr>
              <w:spacing w:after="0" w:before="0"/>
            </w:pPr>
            <w:r/>
            <w:r>
              <w:rPr>
                <w:rFonts w:ascii="Arial" w:hAnsi="Arial" w:cs="Arial"/>
                <w:b w:val="0"/>
                <w:sz w:val="17"/>
              </w:rPr>
              <w:t>LEI for entity exposure ≥ ₹5 cr</w:t>
            </w:r>
          </w:p>
        </w:tc>
        <w:tc>
          <w:tcPr>
            <w:tcW w:w="1400" w:type="dxa"/>
          </w:tcPr>
          <w:p>
            <w:pPr>
              <w:spacing w:after="0" w:before="0"/>
            </w:pPr>
            <w:r/>
            <w:r>
              <w:rPr>
                <w:rFonts w:ascii="Arial" w:hAnsi="Arial" w:cs="Arial"/>
                <w:b w:val="0"/>
                <w:sz w:val="17"/>
              </w:rPr>
              <w:t>§25.1, §43.2</w:t>
            </w:r>
          </w:p>
        </w:tc>
        <w:tc>
          <w:tcPr>
            <w:tcW w:w="2960" w:type="dxa"/>
          </w:tcPr>
          <w:p>
            <w:pPr>
              <w:spacing w:after="0" w:before="0"/>
            </w:pPr>
            <w:r/>
            <w:r>
              <w:rPr>
                <w:rFonts w:ascii="Arial" w:hAnsi="Arial" w:cs="Arial"/>
                <w:b w:val="0"/>
                <w:sz w:val="17"/>
              </w:rPr>
              <w:t>Credit / LEI capture</w:t>
            </w:r>
          </w:p>
        </w:tc>
      </w:tr>
      <w:tr>
        <w:tc>
          <w:tcPr>
            <w:tcW w:w="2300" w:type="dxa"/>
          </w:tcPr>
          <w:p>
            <w:pPr>
              <w:spacing w:after="0" w:before="0"/>
            </w:pPr>
            <w:r/>
            <w:r>
              <w:rPr>
                <w:rFonts w:ascii="Arial" w:hAnsi="Arial" w:cs="Arial"/>
                <w:b w:val="0"/>
                <w:sz w:val="17"/>
              </w:rPr>
              <w:t>RBI Microfinance MD</w:t>
            </w:r>
          </w:p>
        </w:tc>
        <w:tc>
          <w:tcPr>
            <w:tcW w:w="2700" w:type="dxa"/>
          </w:tcPr>
          <w:p>
            <w:pPr>
              <w:spacing w:after="0" w:before="0"/>
            </w:pPr>
            <w:r/>
            <w:r>
              <w:rPr>
                <w:rFonts w:ascii="Arial" w:hAnsi="Arial" w:cs="Arial"/>
                <w:b w:val="0"/>
                <w:sz w:val="17"/>
              </w:rPr>
              <w:t>Household income &amp; indebtedness caps, pricing</w:t>
            </w:r>
          </w:p>
        </w:tc>
        <w:tc>
          <w:tcPr>
            <w:tcW w:w="1400" w:type="dxa"/>
          </w:tcPr>
          <w:p>
            <w:pPr>
              <w:spacing w:after="0" w:before="0"/>
            </w:pPr>
            <w:r/>
            <w:r>
              <w:rPr>
                <w:rFonts w:ascii="Arial" w:hAnsi="Arial" w:cs="Arial"/>
                <w:b w:val="0"/>
                <w:sz w:val="17"/>
              </w:rPr>
              <w:t>§3.8</w:t>
            </w:r>
          </w:p>
        </w:tc>
        <w:tc>
          <w:tcPr>
            <w:tcW w:w="2960" w:type="dxa"/>
          </w:tcPr>
          <w:p>
            <w:pPr>
              <w:spacing w:after="0" w:before="0"/>
            </w:pPr>
            <w:r/>
            <w:r>
              <w:rPr>
                <w:rFonts w:ascii="Arial" w:hAnsi="Arial" w:cs="Arial"/>
                <w:b w:val="0"/>
                <w:sz w:val="17"/>
              </w:rPr>
              <w:t>Credit / MFI checks</w:t>
            </w:r>
          </w:p>
        </w:tc>
      </w:tr>
      <w:tr>
        <w:tc>
          <w:tcPr>
            <w:tcW w:w="2300" w:type="dxa"/>
          </w:tcPr>
          <w:p>
            <w:pPr>
              <w:spacing w:after="0" w:before="0"/>
            </w:pPr>
            <w:r/>
            <w:r>
              <w:rPr>
                <w:rFonts w:ascii="Arial" w:hAnsi="Arial" w:cs="Arial"/>
                <w:b w:val="0"/>
                <w:sz w:val="17"/>
              </w:rPr>
              <w:t>RBI Co-lending / Securitisation</w:t>
            </w:r>
          </w:p>
        </w:tc>
        <w:tc>
          <w:tcPr>
            <w:tcW w:w="2700" w:type="dxa"/>
          </w:tcPr>
          <w:p>
            <w:pPr>
              <w:spacing w:after="0" w:before="0"/>
            </w:pPr>
            <w:r/>
            <w:r>
              <w:rPr>
                <w:rFonts w:ascii="Arial" w:hAnsi="Arial" w:cs="Arial"/>
                <w:b w:val="0"/>
                <w:sz w:val="17"/>
              </w:rPr>
              <w:t>MRR, true-sale, disclosures</w:t>
            </w:r>
          </w:p>
        </w:tc>
        <w:tc>
          <w:tcPr>
            <w:tcW w:w="1400" w:type="dxa"/>
          </w:tcPr>
          <w:p>
            <w:pPr>
              <w:spacing w:after="0" w:before="0"/>
            </w:pPr>
            <w:r/>
            <w:r>
              <w:rPr>
                <w:rFonts w:ascii="Arial" w:hAnsi="Arial" w:cs="Arial"/>
                <w:b w:val="0"/>
                <w:sz w:val="17"/>
              </w:rPr>
              <w:t>§18</w:t>
            </w:r>
          </w:p>
        </w:tc>
        <w:tc>
          <w:tcPr>
            <w:tcW w:w="2960" w:type="dxa"/>
          </w:tcPr>
          <w:p>
            <w:pPr>
              <w:spacing w:after="0" w:before="0"/>
            </w:pPr>
            <w:r/>
            <w:r>
              <w:rPr>
                <w:rFonts w:ascii="Arial" w:hAnsi="Arial" w:cs="Arial"/>
                <w:b w:val="0"/>
                <w:sz w:val="17"/>
              </w:rPr>
              <w:t>Treasury / deal records</w:t>
            </w:r>
          </w:p>
        </w:tc>
      </w:tr>
      <w:tr>
        <w:tc>
          <w:tcPr>
            <w:tcW w:w="2300" w:type="dxa"/>
          </w:tcPr>
          <w:p>
            <w:pPr>
              <w:spacing w:after="0" w:before="0"/>
            </w:pPr>
            <w:r/>
            <w:r>
              <w:rPr>
                <w:rFonts w:ascii="Arial" w:hAnsi="Arial" w:cs="Arial"/>
                <w:b w:val="0"/>
                <w:sz w:val="17"/>
              </w:rPr>
              <w:t>RBI Outsourcing / Recovery-agent</w:t>
            </w:r>
          </w:p>
        </w:tc>
        <w:tc>
          <w:tcPr>
            <w:tcW w:w="2700" w:type="dxa"/>
          </w:tcPr>
          <w:p>
            <w:pPr>
              <w:spacing w:after="0" w:before="0"/>
            </w:pPr>
            <w:r/>
            <w:r>
              <w:rPr>
                <w:rFonts w:ascii="Arial" w:hAnsi="Arial" w:cs="Arial"/>
                <w:b w:val="0"/>
                <w:sz w:val="17"/>
              </w:rPr>
              <w:t>Agent conduct, code, contact-window</w:t>
            </w:r>
          </w:p>
        </w:tc>
        <w:tc>
          <w:tcPr>
            <w:tcW w:w="1400" w:type="dxa"/>
          </w:tcPr>
          <w:p>
            <w:pPr>
              <w:spacing w:after="0" w:before="0"/>
            </w:pPr>
            <w:r/>
            <w:r>
              <w:rPr>
                <w:rFonts w:ascii="Arial" w:hAnsi="Arial" w:cs="Arial"/>
                <w:b w:val="0"/>
                <w:sz w:val="17"/>
              </w:rPr>
              <w:t>§36, §21</w:t>
            </w:r>
          </w:p>
        </w:tc>
        <w:tc>
          <w:tcPr>
            <w:tcW w:w="2960" w:type="dxa"/>
          </w:tcPr>
          <w:p>
            <w:pPr>
              <w:spacing w:after="0" w:before="0"/>
            </w:pPr>
            <w:r/>
            <w:r>
              <w:rPr>
                <w:rFonts w:ascii="Arial" w:hAnsi="Arial" w:cs="Arial"/>
                <w:b w:val="0"/>
                <w:sz w:val="17"/>
              </w:rPr>
              <w:t>Ops / agent governance</w:t>
            </w:r>
          </w:p>
        </w:tc>
      </w:tr>
      <w:tr>
        <w:tc>
          <w:tcPr>
            <w:tcW w:w="2300" w:type="dxa"/>
          </w:tcPr>
          <w:p>
            <w:pPr>
              <w:spacing w:after="0" w:before="0"/>
            </w:pPr>
            <w:r/>
            <w:r>
              <w:rPr>
                <w:rFonts w:ascii="Arial" w:hAnsi="Arial" w:cs="Arial"/>
                <w:b w:val="0"/>
                <w:sz w:val="17"/>
              </w:rPr>
              <w:t>RBI Wilful/Large Defaulter MD</w:t>
            </w:r>
          </w:p>
        </w:tc>
        <w:tc>
          <w:tcPr>
            <w:tcW w:w="2700" w:type="dxa"/>
          </w:tcPr>
          <w:p>
            <w:pPr>
              <w:spacing w:after="0" w:before="0"/>
            </w:pPr>
            <w:r/>
            <w:r>
              <w:rPr>
                <w:rFonts w:ascii="Arial" w:hAnsi="Arial" w:cs="Arial"/>
                <w:b w:val="0"/>
                <w:sz w:val="17"/>
              </w:rPr>
              <w:t>Identification committees, CIC reporting</w:t>
            </w:r>
          </w:p>
        </w:tc>
        <w:tc>
          <w:tcPr>
            <w:tcW w:w="1400" w:type="dxa"/>
          </w:tcPr>
          <w:p>
            <w:pPr>
              <w:spacing w:after="0" w:before="0"/>
            </w:pPr>
            <w:r/>
            <w:r>
              <w:rPr>
                <w:rFonts w:ascii="Arial" w:hAnsi="Arial" w:cs="Arial"/>
                <w:b w:val="0"/>
                <w:sz w:val="17"/>
              </w:rPr>
              <w:t>§37.3</w:t>
            </w:r>
          </w:p>
        </w:tc>
        <w:tc>
          <w:tcPr>
            <w:tcW w:w="2960" w:type="dxa"/>
          </w:tcPr>
          <w:p>
            <w:pPr>
              <w:spacing w:after="0" w:before="0"/>
            </w:pPr>
            <w:r/>
            <w:r>
              <w:rPr>
                <w:rFonts w:ascii="Arial" w:hAnsi="Arial" w:cs="Arial"/>
                <w:b w:val="0"/>
                <w:sz w:val="17"/>
              </w:rPr>
              <w:t>Credit / committee minutes</w:t>
            </w:r>
          </w:p>
        </w:tc>
      </w:tr>
      <w:tr>
        <w:tc>
          <w:tcPr>
            <w:tcW w:w="2300" w:type="dxa"/>
          </w:tcPr>
          <w:p>
            <w:pPr>
              <w:spacing w:after="0" w:before="0"/>
            </w:pPr>
            <w:r/>
            <w:r>
              <w:rPr>
                <w:rFonts w:ascii="Arial" w:hAnsi="Arial" w:cs="Arial"/>
                <w:b w:val="0"/>
                <w:sz w:val="17"/>
              </w:rPr>
              <w:t>Fair Practices Code</w:t>
            </w:r>
          </w:p>
        </w:tc>
        <w:tc>
          <w:tcPr>
            <w:tcW w:w="2700" w:type="dxa"/>
          </w:tcPr>
          <w:p>
            <w:pPr>
              <w:spacing w:after="0" w:before="0"/>
            </w:pPr>
            <w:r/>
            <w:r>
              <w:rPr>
                <w:rFonts w:ascii="Arial" w:hAnsi="Arial" w:cs="Arial"/>
                <w:b w:val="0"/>
                <w:sz w:val="17"/>
              </w:rPr>
              <w:t>Pricing rationale, grievance, Ombudsman</w:t>
            </w:r>
          </w:p>
        </w:tc>
        <w:tc>
          <w:tcPr>
            <w:tcW w:w="1400" w:type="dxa"/>
          </w:tcPr>
          <w:p>
            <w:pPr>
              <w:spacing w:after="0" w:before="0"/>
            </w:pPr>
            <w:r/>
            <w:r>
              <w:rPr>
                <w:rFonts w:ascii="Arial" w:hAnsi="Arial" w:cs="Arial"/>
                <w:b w:val="0"/>
                <w:sz w:val="17"/>
              </w:rPr>
              <w:t>§5.4, §9.5</w:t>
            </w:r>
          </w:p>
        </w:tc>
        <w:tc>
          <w:tcPr>
            <w:tcW w:w="2960" w:type="dxa"/>
          </w:tcPr>
          <w:p>
            <w:pPr>
              <w:spacing w:after="0" w:before="0"/>
            </w:pPr>
            <w:r/>
            <w:r>
              <w:rPr>
                <w:rFonts w:ascii="Arial" w:hAnsi="Arial" w:cs="Arial"/>
                <w:b w:val="0"/>
                <w:sz w:val="17"/>
              </w:rPr>
              <w:t>Compliance / grievance MIS</w:t>
            </w:r>
          </w:p>
        </w:tc>
      </w:tr>
      <w:tr>
        <w:tc>
          <w:tcPr>
            <w:tcW w:w="2300" w:type="dxa"/>
          </w:tcPr>
          <w:p>
            <w:pPr>
              <w:spacing w:after="0" w:before="0"/>
            </w:pPr>
            <w:r/>
            <w:r>
              <w:rPr>
                <w:rFonts w:ascii="Arial" w:hAnsi="Arial" w:cs="Arial"/>
                <w:b w:val="0"/>
                <w:sz w:val="17"/>
              </w:rPr>
              <w:t>Factoring Regulation Act</w:t>
            </w:r>
          </w:p>
        </w:tc>
        <w:tc>
          <w:tcPr>
            <w:tcW w:w="2700" w:type="dxa"/>
          </w:tcPr>
          <w:p>
            <w:pPr>
              <w:spacing w:after="0" w:before="0"/>
            </w:pPr>
            <w:r/>
            <w:r>
              <w:rPr>
                <w:rFonts w:ascii="Arial" w:hAnsi="Arial" w:cs="Arial"/>
                <w:b w:val="0"/>
                <w:sz w:val="17"/>
              </w:rPr>
              <w:t>CERSAI assignment filing timelines</w:t>
            </w:r>
          </w:p>
        </w:tc>
        <w:tc>
          <w:tcPr>
            <w:tcW w:w="1400" w:type="dxa"/>
          </w:tcPr>
          <w:p>
            <w:pPr>
              <w:spacing w:after="0" w:before="0"/>
            </w:pPr>
            <w:r/>
            <w:r>
              <w:rPr>
                <w:rFonts w:ascii="Arial" w:hAnsi="Arial" w:cs="Arial"/>
                <w:b w:val="0"/>
                <w:sz w:val="17"/>
              </w:rPr>
              <w:t>§3.10</w:t>
            </w:r>
          </w:p>
        </w:tc>
        <w:tc>
          <w:tcPr>
            <w:tcW w:w="2960" w:type="dxa"/>
          </w:tcPr>
          <w:p>
            <w:pPr>
              <w:spacing w:after="0" w:before="0"/>
            </w:pPr>
            <w:r/>
            <w:r>
              <w:rPr>
                <w:rFonts w:ascii="Arial" w:hAnsi="Arial" w:cs="Arial"/>
                <w:b w:val="0"/>
                <w:sz w:val="17"/>
              </w:rPr>
              <w:t>Ops / CERSAI filings</w:t>
            </w:r>
          </w:p>
        </w:tc>
      </w:tr>
      <w:tr>
        <w:tc>
          <w:tcPr>
            <w:tcW w:w="2300" w:type="dxa"/>
          </w:tcPr>
          <w:p>
            <w:pPr>
              <w:spacing w:after="0" w:before="0"/>
            </w:pPr>
            <w:r/>
            <w:r>
              <w:rPr>
                <w:rFonts w:ascii="Arial" w:hAnsi="Arial" w:cs="Arial"/>
                <w:b w:val="0"/>
                <w:sz w:val="17"/>
              </w:rPr>
              <w:t>RBI data localisation</w:t>
            </w:r>
          </w:p>
        </w:tc>
        <w:tc>
          <w:tcPr>
            <w:tcW w:w="2700" w:type="dxa"/>
          </w:tcPr>
          <w:p>
            <w:pPr>
              <w:spacing w:after="0" w:before="0"/>
            </w:pPr>
            <w:r/>
            <w:r>
              <w:rPr>
                <w:rFonts w:ascii="Arial" w:hAnsi="Arial" w:cs="Arial"/>
                <w:b w:val="0"/>
                <w:sz w:val="17"/>
              </w:rPr>
              <w:t>Storage &amp; processing within India</w:t>
            </w:r>
          </w:p>
        </w:tc>
        <w:tc>
          <w:tcPr>
            <w:tcW w:w="1400" w:type="dxa"/>
          </w:tcPr>
          <w:p>
            <w:pPr>
              <w:spacing w:after="0" w:before="0"/>
            </w:pPr>
            <w:r/>
            <w:r>
              <w:rPr>
                <w:rFonts w:ascii="Arial" w:hAnsi="Arial" w:cs="Arial"/>
                <w:b w:val="0"/>
                <w:sz w:val="17"/>
              </w:rPr>
              <w:t>§15</w:t>
            </w:r>
          </w:p>
        </w:tc>
        <w:tc>
          <w:tcPr>
            <w:tcW w:w="2960" w:type="dxa"/>
          </w:tcPr>
          <w:p>
            <w:pPr>
              <w:spacing w:after="0" w:before="0"/>
            </w:pPr>
            <w:r/>
            <w:r>
              <w:rPr>
                <w:rFonts w:ascii="Arial" w:hAnsi="Arial" w:cs="Arial"/>
                <w:b w:val="0"/>
                <w:sz w:val="17"/>
              </w:rPr>
              <w:t>IT / hosting evidence</w:t>
            </w:r>
          </w:p>
        </w:tc>
      </w:tr>
    </w:tbl>
    <w:p/>
    <w:p>
      <w:pPr>
        <w:pStyle w:val="Heading1"/>
      </w:pPr>
      <w:r>
        <w:t>50. NFR Catalogue &amp; Security Control Matrix</w:t>
      </w:r>
    </w:p>
    <w:p>
      <w:pPr>
        <w:pStyle w:val="Heading2"/>
      </w:pPr>
      <w:r>
        <w:t>50.1 NFR Catalogue (extract, with IDs)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100"/>
        <w:gridCol w:w="1900"/>
        <w:gridCol w:w="3100"/>
        <w:gridCol w:w="3260"/>
      </w:tblGrid>
      <w:tr>
        <w:tc>
          <w:tcPr>
            <w:tcW w:w="1100" w:type="dxa"/>
            <w:shd w:val="clear" w:color="auto" w:fill="1F4E78"/>
          </w:tcPr>
          <w:p>
            <w:pPr>
              <w:spacing w:after="0" w:before="0"/>
            </w:pPr>
            <w:r/>
            <w:r>
              <w:rPr>
                <w:rFonts w:ascii="Arial" w:hAnsi="Arial" w:cs="Arial"/>
                <w:b/>
                <w:color w:val="FFFFFF"/>
                <w:sz w:val="17"/>
              </w:rPr>
              <w:t>NFR ID</w:t>
            </w:r>
          </w:p>
        </w:tc>
        <w:tc>
          <w:tcPr>
            <w:tcW w:w="1900" w:type="dxa"/>
            <w:shd w:val="clear" w:color="auto" w:fill="1F4E78"/>
          </w:tcPr>
          <w:p>
            <w:pPr>
              <w:spacing w:after="0" w:before="0"/>
            </w:pPr>
            <w:r/>
            <w:r>
              <w:rPr>
                <w:rFonts w:ascii="Arial" w:hAnsi="Arial" w:cs="Arial"/>
                <w:b/>
                <w:color w:val="FFFFFF"/>
                <w:sz w:val="17"/>
              </w:rPr>
              <w:t>Category</w:t>
            </w:r>
          </w:p>
        </w:tc>
        <w:tc>
          <w:tcPr>
            <w:tcW w:w="3100" w:type="dxa"/>
            <w:shd w:val="clear" w:color="auto" w:fill="1F4E78"/>
          </w:tcPr>
          <w:p>
            <w:pPr>
              <w:spacing w:after="0" w:before="0"/>
            </w:pPr>
            <w:r/>
            <w:r>
              <w:rPr>
                <w:rFonts w:ascii="Arial" w:hAnsi="Arial" w:cs="Arial"/>
                <w:b/>
                <w:color w:val="FFFFFF"/>
                <w:sz w:val="17"/>
              </w:rPr>
              <w:t>Target</w:t>
            </w:r>
          </w:p>
        </w:tc>
        <w:tc>
          <w:tcPr>
            <w:tcW w:w="3260" w:type="dxa"/>
            <w:shd w:val="clear" w:color="auto" w:fill="1F4E78"/>
          </w:tcPr>
          <w:p>
            <w:pPr>
              <w:spacing w:after="0" w:before="0"/>
            </w:pPr>
            <w:r/>
            <w:r>
              <w:rPr>
                <w:rFonts w:ascii="Arial" w:hAnsi="Arial" w:cs="Arial"/>
                <w:b/>
                <w:color w:val="FFFFFF"/>
                <w:sz w:val="17"/>
              </w:rPr>
              <w:t>Verification</w:t>
            </w:r>
          </w:p>
        </w:tc>
      </w:tr>
      <w:tr>
        <w:tc>
          <w:tcPr>
            <w:tcW w:w="1100" w:type="dxa"/>
          </w:tcPr>
          <w:p>
            <w:pPr>
              <w:spacing w:after="0" w:before="0"/>
            </w:pPr>
            <w:r/>
            <w:r>
              <w:rPr>
                <w:rFonts w:ascii="Arial" w:hAnsi="Arial" w:cs="Arial"/>
                <w:b w:val="0"/>
                <w:sz w:val="17"/>
              </w:rPr>
              <w:t>NFR-01</w:t>
            </w:r>
          </w:p>
        </w:tc>
        <w:tc>
          <w:tcPr>
            <w:tcW w:w="1900" w:type="dxa"/>
          </w:tcPr>
          <w:p>
            <w:pPr>
              <w:spacing w:after="0" w:before="0"/>
            </w:pPr>
            <w:r/>
            <w:r>
              <w:rPr>
                <w:rFonts w:ascii="Arial" w:hAnsi="Arial" w:cs="Arial"/>
                <w:b w:val="0"/>
                <w:sz w:val="17"/>
              </w:rPr>
              <w:t>Performance</w:t>
            </w:r>
          </w:p>
        </w:tc>
        <w:tc>
          <w:tcPr>
            <w:tcW w:w="3100" w:type="dxa"/>
          </w:tcPr>
          <w:p>
            <w:pPr>
              <w:spacing w:after="0" w:before="0"/>
            </w:pPr>
            <w:r/>
            <w:r>
              <w:rPr>
                <w:rFonts w:ascii="Arial" w:hAnsi="Arial" w:cs="Arial"/>
                <w:b w:val="0"/>
                <w:sz w:val="17"/>
              </w:rPr>
              <w:t>Core API p95 ≤ 300 ms, p99 ≤ 800 ms</w:t>
            </w:r>
          </w:p>
        </w:tc>
        <w:tc>
          <w:tcPr>
            <w:tcW w:w="3260" w:type="dxa"/>
          </w:tcPr>
          <w:p>
            <w:pPr>
              <w:spacing w:after="0" w:before="0"/>
            </w:pPr>
            <w:r/>
            <w:r>
              <w:rPr>
                <w:rFonts w:ascii="Arial" w:hAnsi="Arial" w:cs="Arial"/>
                <w:b w:val="0"/>
                <w:sz w:val="17"/>
              </w:rPr>
              <w:t>Load test (§29.1)</w:t>
            </w:r>
          </w:p>
        </w:tc>
      </w:tr>
      <w:tr>
        <w:tc>
          <w:tcPr>
            <w:tcW w:w="1100" w:type="dxa"/>
          </w:tcPr>
          <w:p>
            <w:pPr>
              <w:spacing w:after="0" w:before="0"/>
            </w:pPr>
            <w:r/>
            <w:r>
              <w:rPr>
                <w:rFonts w:ascii="Arial" w:hAnsi="Arial" w:cs="Arial"/>
                <w:b w:val="0"/>
                <w:sz w:val="17"/>
              </w:rPr>
              <w:t>NFR-02</w:t>
            </w:r>
          </w:p>
        </w:tc>
        <w:tc>
          <w:tcPr>
            <w:tcW w:w="1900" w:type="dxa"/>
          </w:tcPr>
          <w:p>
            <w:pPr>
              <w:spacing w:after="0" w:before="0"/>
            </w:pPr>
            <w:r/>
            <w:r>
              <w:rPr>
                <w:rFonts w:ascii="Arial" w:hAnsi="Arial" w:cs="Arial"/>
                <w:b w:val="0"/>
                <w:sz w:val="17"/>
              </w:rPr>
              <w:t>Availability</w:t>
            </w:r>
          </w:p>
        </w:tc>
        <w:tc>
          <w:tcPr>
            <w:tcW w:w="3100" w:type="dxa"/>
          </w:tcPr>
          <w:p>
            <w:pPr>
              <w:spacing w:after="0" w:before="0"/>
            </w:pPr>
            <w:r/>
            <w:r>
              <w:rPr>
                <w:rFonts w:ascii="Arial" w:hAnsi="Arial" w:cs="Arial"/>
                <w:b w:val="0"/>
                <w:sz w:val="17"/>
              </w:rPr>
              <w:t>99.9% monthly</w:t>
            </w:r>
          </w:p>
        </w:tc>
        <w:tc>
          <w:tcPr>
            <w:tcW w:w="3260" w:type="dxa"/>
          </w:tcPr>
          <w:p>
            <w:pPr>
              <w:spacing w:after="0" w:before="0"/>
            </w:pPr>
            <w:r/>
            <w:r>
              <w:rPr>
                <w:rFonts w:ascii="Arial" w:hAnsi="Arial" w:cs="Arial"/>
                <w:b w:val="0"/>
                <w:sz w:val="17"/>
              </w:rPr>
              <w:t>Uptime monitoring</w:t>
            </w:r>
          </w:p>
        </w:tc>
      </w:tr>
      <w:tr>
        <w:tc>
          <w:tcPr>
            <w:tcW w:w="1100" w:type="dxa"/>
          </w:tcPr>
          <w:p>
            <w:pPr>
              <w:spacing w:after="0" w:before="0"/>
            </w:pPr>
            <w:r/>
            <w:r>
              <w:rPr>
                <w:rFonts w:ascii="Arial" w:hAnsi="Arial" w:cs="Arial"/>
                <w:b w:val="0"/>
                <w:sz w:val="17"/>
              </w:rPr>
              <w:t>NFR-03</w:t>
            </w:r>
          </w:p>
        </w:tc>
        <w:tc>
          <w:tcPr>
            <w:tcW w:w="1900" w:type="dxa"/>
          </w:tcPr>
          <w:p>
            <w:pPr>
              <w:spacing w:after="0" w:before="0"/>
            </w:pPr>
            <w:r/>
            <w:r>
              <w:rPr>
                <w:rFonts w:ascii="Arial" w:hAnsi="Arial" w:cs="Arial"/>
                <w:b w:val="0"/>
                <w:sz w:val="17"/>
              </w:rPr>
              <w:t>Resilience</w:t>
            </w:r>
          </w:p>
        </w:tc>
        <w:tc>
          <w:tcPr>
            <w:tcW w:w="3100" w:type="dxa"/>
          </w:tcPr>
          <w:p>
            <w:pPr>
              <w:spacing w:after="0" w:before="0"/>
            </w:pPr>
            <w:r/>
            <w:r>
              <w:rPr>
                <w:rFonts w:ascii="Arial" w:hAnsi="Arial" w:cs="Arial"/>
                <w:b w:val="0"/>
                <w:sz w:val="17"/>
              </w:rPr>
              <w:t>RPO ≤ 15 min, RTO ≤ 2 h</w:t>
            </w:r>
          </w:p>
        </w:tc>
        <w:tc>
          <w:tcPr>
            <w:tcW w:w="3260" w:type="dxa"/>
          </w:tcPr>
          <w:p>
            <w:pPr>
              <w:spacing w:after="0" w:before="0"/>
            </w:pPr>
            <w:r/>
            <w:r>
              <w:rPr>
                <w:rFonts w:ascii="Arial" w:hAnsi="Arial" w:cs="Arial"/>
                <w:b w:val="0"/>
                <w:sz w:val="17"/>
              </w:rPr>
              <w:t>DR drill</w:t>
            </w:r>
          </w:p>
        </w:tc>
      </w:tr>
      <w:tr>
        <w:tc>
          <w:tcPr>
            <w:tcW w:w="1100" w:type="dxa"/>
          </w:tcPr>
          <w:p>
            <w:pPr>
              <w:spacing w:after="0" w:before="0"/>
            </w:pPr>
            <w:r/>
            <w:r>
              <w:rPr>
                <w:rFonts w:ascii="Arial" w:hAnsi="Arial" w:cs="Arial"/>
                <w:b w:val="0"/>
                <w:sz w:val="17"/>
              </w:rPr>
              <w:t>NFR-04</w:t>
            </w:r>
          </w:p>
        </w:tc>
        <w:tc>
          <w:tcPr>
            <w:tcW w:w="1900" w:type="dxa"/>
          </w:tcPr>
          <w:p>
            <w:pPr>
              <w:spacing w:after="0" w:before="0"/>
            </w:pPr>
            <w:r/>
            <w:r>
              <w:rPr>
                <w:rFonts w:ascii="Arial" w:hAnsi="Arial" w:cs="Arial"/>
                <w:b w:val="0"/>
                <w:sz w:val="17"/>
              </w:rPr>
              <w:t>Scalability</w:t>
            </w:r>
          </w:p>
        </w:tc>
        <w:tc>
          <w:tcPr>
            <w:tcW w:w="3100" w:type="dxa"/>
          </w:tcPr>
          <w:p>
            <w:pPr>
              <w:spacing w:after="0" w:before="0"/>
            </w:pPr>
            <w:r/>
            <w:r>
              <w:rPr>
                <w:rFonts w:ascii="Arial" w:hAnsi="Arial" w:cs="Arial"/>
                <w:b w:val="0"/>
                <w:sz w:val="17"/>
              </w:rPr>
              <w:t>≥ 500 TPS sustained, 2,000 peak</w:t>
            </w:r>
          </w:p>
        </w:tc>
        <w:tc>
          <w:tcPr>
            <w:tcW w:w="3260" w:type="dxa"/>
          </w:tcPr>
          <w:p>
            <w:pPr>
              <w:spacing w:after="0" w:before="0"/>
            </w:pPr>
            <w:r/>
            <w:r>
              <w:rPr>
                <w:rFonts w:ascii="Arial" w:hAnsi="Arial" w:cs="Arial"/>
                <w:b w:val="0"/>
                <w:sz w:val="17"/>
              </w:rPr>
              <w:t>Soak/scale test</w:t>
            </w:r>
          </w:p>
        </w:tc>
      </w:tr>
      <w:tr>
        <w:tc>
          <w:tcPr>
            <w:tcW w:w="1100" w:type="dxa"/>
          </w:tcPr>
          <w:p>
            <w:pPr>
              <w:spacing w:after="0" w:before="0"/>
            </w:pPr>
            <w:r/>
            <w:r>
              <w:rPr>
                <w:rFonts w:ascii="Arial" w:hAnsi="Arial" w:cs="Arial"/>
                <w:b w:val="0"/>
                <w:sz w:val="17"/>
              </w:rPr>
              <w:t>NFR-05</w:t>
            </w:r>
          </w:p>
        </w:tc>
        <w:tc>
          <w:tcPr>
            <w:tcW w:w="1900" w:type="dxa"/>
          </w:tcPr>
          <w:p>
            <w:pPr>
              <w:spacing w:after="0" w:before="0"/>
            </w:pPr>
            <w:r/>
            <w:r>
              <w:rPr>
                <w:rFonts w:ascii="Arial" w:hAnsi="Arial" w:cs="Arial"/>
                <w:b w:val="0"/>
                <w:sz w:val="17"/>
              </w:rPr>
              <w:t>Batch</w:t>
            </w:r>
          </w:p>
        </w:tc>
        <w:tc>
          <w:tcPr>
            <w:tcW w:w="3100" w:type="dxa"/>
          </w:tcPr>
          <w:p>
            <w:pPr>
              <w:spacing w:after="0" w:before="0"/>
            </w:pPr>
            <w:r/>
            <w:r>
              <w:rPr>
                <w:rFonts w:ascii="Arial" w:hAnsi="Arial" w:cs="Arial"/>
                <w:b w:val="0"/>
                <w:sz w:val="17"/>
              </w:rPr>
              <w:t>EOD accrual complete by 02:00</w:t>
            </w:r>
          </w:p>
        </w:tc>
        <w:tc>
          <w:tcPr>
            <w:tcW w:w="3260" w:type="dxa"/>
          </w:tcPr>
          <w:p>
            <w:pPr>
              <w:spacing w:after="0" w:before="0"/>
            </w:pPr>
            <w:r/>
            <w:r>
              <w:rPr>
                <w:rFonts w:ascii="Arial" w:hAnsi="Arial" w:cs="Arial"/>
                <w:b w:val="0"/>
                <w:sz w:val="17"/>
              </w:rPr>
              <w:t>Batch SLA monitor</w:t>
            </w:r>
          </w:p>
        </w:tc>
      </w:tr>
      <w:tr>
        <w:tc>
          <w:tcPr>
            <w:tcW w:w="1100" w:type="dxa"/>
          </w:tcPr>
          <w:p>
            <w:pPr>
              <w:spacing w:after="0" w:before="0"/>
            </w:pPr>
            <w:r/>
            <w:r>
              <w:rPr>
                <w:rFonts w:ascii="Arial" w:hAnsi="Arial" w:cs="Arial"/>
                <w:b w:val="0"/>
                <w:sz w:val="17"/>
              </w:rPr>
              <w:t>NFR-06</w:t>
            </w:r>
          </w:p>
        </w:tc>
        <w:tc>
          <w:tcPr>
            <w:tcW w:w="1900" w:type="dxa"/>
          </w:tcPr>
          <w:p>
            <w:pPr>
              <w:spacing w:after="0" w:before="0"/>
            </w:pPr>
            <w:r/>
            <w:r>
              <w:rPr>
                <w:rFonts w:ascii="Arial" w:hAnsi="Arial" w:cs="Arial"/>
                <w:b w:val="0"/>
                <w:sz w:val="17"/>
              </w:rPr>
              <w:t>Security</w:t>
            </w:r>
          </w:p>
        </w:tc>
        <w:tc>
          <w:tcPr>
            <w:tcW w:w="3100" w:type="dxa"/>
          </w:tcPr>
          <w:p>
            <w:pPr>
              <w:spacing w:after="0" w:before="0"/>
            </w:pPr>
            <w:r/>
            <w:r>
              <w:rPr>
                <w:rFonts w:ascii="Arial" w:hAnsi="Arial" w:cs="Arial"/>
                <w:b w:val="0"/>
                <w:sz w:val="17"/>
              </w:rPr>
              <w:t>PII encrypted/tokenised; MFA</w:t>
            </w:r>
          </w:p>
        </w:tc>
        <w:tc>
          <w:tcPr>
            <w:tcW w:w="3260" w:type="dxa"/>
          </w:tcPr>
          <w:p>
            <w:pPr>
              <w:spacing w:after="0" w:before="0"/>
            </w:pPr>
            <w:r/>
            <w:r>
              <w:rPr>
                <w:rFonts w:ascii="Arial" w:hAnsi="Arial" w:cs="Arial"/>
                <w:b w:val="0"/>
                <w:sz w:val="17"/>
              </w:rPr>
              <w:t>VAPT</w:t>
            </w:r>
          </w:p>
        </w:tc>
      </w:tr>
      <w:tr>
        <w:tc>
          <w:tcPr>
            <w:tcW w:w="1100" w:type="dxa"/>
          </w:tcPr>
          <w:p>
            <w:pPr>
              <w:spacing w:after="0" w:before="0"/>
            </w:pPr>
            <w:r/>
            <w:r>
              <w:rPr>
                <w:rFonts w:ascii="Arial" w:hAnsi="Arial" w:cs="Arial"/>
                <w:b w:val="0"/>
                <w:sz w:val="17"/>
              </w:rPr>
              <w:t>NFR-07</w:t>
            </w:r>
          </w:p>
        </w:tc>
        <w:tc>
          <w:tcPr>
            <w:tcW w:w="1900" w:type="dxa"/>
          </w:tcPr>
          <w:p>
            <w:pPr>
              <w:spacing w:after="0" w:before="0"/>
            </w:pPr>
            <w:r/>
            <w:r>
              <w:rPr>
                <w:rFonts w:ascii="Arial" w:hAnsi="Arial" w:cs="Arial"/>
                <w:b w:val="0"/>
                <w:sz w:val="17"/>
              </w:rPr>
              <w:t>Auditability</w:t>
            </w:r>
          </w:p>
        </w:tc>
        <w:tc>
          <w:tcPr>
            <w:tcW w:w="3100" w:type="dxa"/>
          </w:tcPr>
          <w:p>
            <w:pPr>
              <w:spacing w:after="0" w:before="0"/>
            </w:pPr>
            <w:r/>
            <w:r>
              <w:rPr>
                <w:rFonts w:ascii="Arial" w:hAnsi="Arial" w:cs="Arial"/>
                <w:b w:val="0"/>
                <w:sz w:val="17"/>
              </w:rPr>
              <w:t>Immutable audit trail</w:t>
            </w:r>
          </w:p>
        </w:tc>
        <w:tc>
          <w:tcPr>
            <w:tcW w:w="3260" w:type="dxa"/>
          </w:tcPr>
          <w:p>
            <w:pPr>
              <w:spacing w:after="0" w:before="0"/>
            </w:pPr>
            <w:r/>
            <w:r>
              <w:rPr>
                <w:rFonts w:ascii="Arial" w:hAnsi="Arial" w:cs="Arial"/>
                <w:b w:val="0"/>
                <w:sz w:val="17"/>
              </w:rPr>
              <w:t>Audit review</w:t>
            </w:r>
          </w:p>
        </w:tc>
      </w:tr>
      <w:tr>
        <w:tc>
          <w:tcPr>
            <w:tcW w:w="1100" w:type="dxa"/>
          </w:tcPr>
          <w:p>
            <w:pPr>
              <w:spacing w:after="0" w:before="0"/>
            </w:pPr>
            <w:r/>
            <w:r>
              <w:rPr>
                <w:rFonts w:ascii="Arial" w:hAnsi="Arial" w:cs="Arial"/>
                <w:b w:val="0"/>
                <w:sz w:val="17"/>
              </w:rPr>
              <w:t>NFR-08</w:t>
            </w:r>
          </w:p>
        </w:tc>
        <w:tc>
          <w:tcPr>
            <w:tcW w:w="1900" w:type="dxa"/>
          </w:tcPr>
          <w:p>
            <w:pPr>
              <w:spacing w:after="0" w:before="0"/>
            </w:pPr>
            <w:r/>
            <w:r>
              <w:rPr>
                <w:rFonts w:ascii="Arial" w:hAnsi="Arial" w:cs="Arial"/>
                <w:b w:val="0"/>
                <w:sz w:val="17"/>
              </w:rPr>
              <w:t>Data residency</w:t>
            </w:r>
          </w:p>
        </w:tc>
        <w:tc>
          <w:tcPr>
            <w:tcW w:w="3100" w:type="dxa"/>
          </w:tcPr>
          <w:p>
            <w:pPr>
              <w:spacing w:after="0" w:before="0"/>
            </w:pPr>
            <w:r/>
            <w:r>
              <w:rPr>
                <w:rFonts w:ascii="Arial" w:hAnsi="Arial" w:cs="Arial"/>
                <w:b w:val="0"/>
                <w:sz w:val="17"/>
              </w:rPr>
              <w:t>All data within India</w:t>
            </w:r>
          </w:p>
        </w:tc>
        <w:tc>
          <w:tcPr>
            <w:tcW w:w="3260" w:type="dxa"/>
          </w:tcPr>
          <w:p>
            <w:pPr>
              <w:spacing w:after="0" w:before="0"/>
            </w:pPr>
            <w:r/>
            <w:r>
              <w:rPr>
                <w:rFonts w:ascii="Arial" w:hAnsi="Arial" w:cs="Arial"/>
                <w:b w:val="0"/>
                <w:sz w:val="17"/>
              </w:rPr>
              <w:t>Hosting evidence</w:t>
            </w:r>
          </w:p>
        </w:tc>
      </w:tr>
      <w:tr>
        <w:tc>
          <w:tcPr>
            <w:tcW w:w="1100" w:type="dxa"/>
          </w:tcPr>
          <w:p>
            <w:pPr>
              <w:spacing w:after="0" w:before="0"/>
            </w:pPr>
            <w:r/>
            <w:r>
              <w:rPr>
                <w:rFonts w:ascii="Arial" w:hAnsi="Arial" w:cs="Arial"/>
                <w:b w:val="0"/>
                <w:sz w:val="17"/>
              </w:rPr>
              <w:t>NFR-09</w:t>
            </w:r>
          </w:p>
        </w:tc>
        <w:tc>
          <w:tcPr>
            <w:tcW w:w="1900" w:type="dxa"/>
          </w:tcPr>
          <w:p>
            <w:pPr>
              <w:spacing w:after="0" w:before="0"/>
            </w:pPr>
            <w:r/>
            <w:r>
              <w:rPr>
                <w:rFonts w:ascii="Arial" w:hAnsi="Arial" w:cs="Arial"/>
                <w:b w:val="0"/>
                <w:sz w:val="17"/>
              </w:rPr>
              <w:t>Accessibility</w:t>
            </w:r>
          </w:p>
        </w:tc>
        <w:tc>
          <w:tcPr>
            <w:tcW w:w="3100" w:type="dxa"/>
          </w:tcPr>
          <w:p>
            <w:pPr>
              <w:spacing w:after="0" w:before="0"/>
            </w:pPr>
            <w:r/>
            <w:r>
              <w:rPr>
                <w:rFonts w:ascii="Arial" w:hAnsi="Arial" w:cs="Arial"/>
                <w:b w:val="0"/>
                <w:sz w:val="17"/>
              </w:rPr>
              <w:t>Borrower portal WCAG 2.1 AA</w:t>
            </w:r>
          </w:p>
        </w:tc>
        <w:tc>
          <w:tcPr>
            <w:tcW w:w="3260" w:type="dxa"/>
          </w:tcPr>
          <w:p>
            <w:pPr>
              <w:spacing w:after="0" w:before="0"/>
            </w:pPr>
            <w:r/>
            <w:r>
              <w:rPr>
                <w:rFonts w:ascii="Arial" w:hAnsi="Arial" w:cs="Arial"/>
                <w:b w:val="0"/>
                <w:sz w:val="17"/>
              </w:rPr>
              <w:t>Accessibility audit (§60)</w:t>
            </w:r>
          </w:p>
        </w:tc>
      </w:tr>
    </w:tbl>
    <w:p/>
    <w:p>
      <w:pPr>
        <w:pStyle w:val="Heading2"/>
      </w:pPr>
      <w:r>
        <w:t>50.2 Security Control Matrix (framework mapping)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100"/>
        <w:gridCol w:w="1400"/>
        <w:gridCol w:w="2400"/>
        <w:gridCol w:w="2460"/>
      </w:tblGrid>
      <w:tr>
        <w:tc>
          <w:tcPr>
            <w:tcW w:w="3100" w:type="dxa"/>
            <w:shd w:val="clear" w:color="auto" w:fill="1F4E78"/>
          </w:tcPr>
          <w:p>
            <w:pPr>
              <w:spacing w:after="0" w:before="0"/>
            </w:pPr>
            <w:r/>
            <w:r>
              <w:rPr>
                <w:rFonts w:ascii="Arial" w:hAnsi="Arial" w:cs="Arial"/>
                <w:b/>
                <w:color w:val="FFFFFF"/>
                <w:sz w:val="17"/>
              </w:rPr>
              <w:t>Control</w:t>
            </w:r>
          </w:p>
        </w:tc>
        <w:tc>
          <w:tcPr>
            <w:tcW w:w="1400" w:type="dxa"/>
            <w:shd w:val="clear" w:color="auto" w:fill="1F4E78"/>
          </w:tcPr>
          <w:p>
            <w:pPr>
              <w:spacing w:after="0" w:before="0"/>
            </w:pPr>
            <w:r/>
            <w:r>
              <w:rPr>
                <w:rFonts w:ascii="Arial" w:hAnsi="Arial" w:cs="Arial"/>
                <w:b/>
                <w:color w:val="FFFFFF"/>
                <w:sz w:val="17"/>
              </w:rPr>
              <w:t>NIST CSF</w:t>
            </w:r>
          </w:p>
        </w:tc>
        <w:tc>
          <w:tcPr>
            <w:tcW w:w="2400" w:type="dxa"/>
            <w:shd w:val="clear" w:color="auto" w:fill="1F4E78"/>
          </w:tcPr>
          <w:p>
            <w:pPr>
              <w:spacing w:after="0" w:before="0"/>
            </w:pPr>
            <w:r/>
            <w:r>
              <w:rPr>
                <w:rFonts w:ascii="Arial" w:hAnsi="Arial" w:cs="Arial"/>
                <w:b/>
                <w:color w:val="FFFFFF"/>
                <w:sz w:val="17"/>
              </w:rPr>
              <w:t>ISO 27001 (Annex A)</w:t>
            </w:r>
          </w:p>
        </w:tc>
        <w:tc>
          <w:tcPr>
            <w:tcW w:w="2460" w:type="dxa"/>
            <w:shd w:val="clear" w:color="auto" w:fill="1F4E78"/>
          </w:tcPr>
          <w:p>
            <w:pPr>
              <w:spacing w:after="0" w:before="0"/>
            </w:pPr>
            <w:r/>
            <w:r>
              <w:rPr>
                <w:rFonts w:ascii="Arial" w:hAnsi="Arial" w:cs="Arial"/>
                <w:b/>
                <w:color w:val="FFFFFF"/>
                <w:sz w:val="17"/>
              </w:rPr>
              <w:t>RBI IT Directions</w:t>
            </w:r>
          </w:p>
        </w:tc>
      </w:tr>
      <w:tr>
        <w:tc>
          <w:tcPr>
            <w:tcW w:w="3100" w:type="dxa"/>
          </w:tcPr>
          <w:p>
            <w:pPr>
              <w:spacing w:after="0" w:before="0"/>
            </w:pPr>
            <w:r/>
            <w:r>
              <w:rPr>
                <w:rFonts w:ascii="Arial" w:hAnsi="Arial" w:cs="Arial"/>
                <w:b w:val="0"/>
                <w:sz w:val="17"/>
              </w:rPr>
              <w:t>Access control / least privilege / PAM</w:t>
            </w:r>
          </w:p>
        </w:tc>
        <w:tc>
          <w:tcPr>
            <w:tcW w:w="1400" w:type="dxa"/>
          </w:tcPr>
          <w:p>
            <w:pPr>
              <w:spacing w:after="0" w:before="0"/>
            </w:pPr>
            <w:r/>
            <w:r>
              <w:rPr>
                <w:rFonts w:ascii="Arial" w:hAnsi="Arial" w:cs="Arial"/>
                <w:b w:val="0"/>
                <w:sz w:val="17"/>
              </w:rPr>
              <w:t>PR.AC</w:t>
            </w:r>
          </w:p>
        </w:tc>
        <w:tc>
          <w:tcPr>
            <w:tcW w:w="2400" w:type="dxa"/>
          </w:tcPr>
          <w:p>
            <w:pPr>
              <w:spacing w:after="0" w:before="0"/>
            </w:pPr>
            <w:r/>
            <w:r>
              <w:rPr>
                <w:rFonts w:ascii="Arial" w:hAnsi="Arial" w:cs="Arial"/>
                <w:b w:val="0"/>
                <w:sz w:val="17"/>
              </w:rPr>
              <w:t>A.5.15–A.5.18</w:t>
            </w:r>
          </w:p>
        </w:tc>
        <w:tc>
          <w:tcPr>
            <w:tcW w:w="2460" w:type="dxa"/>
          </w:tcPr>
          <w:p>
            <w:pPr>
              <w:spacing w:after="0" w:before="0"/>
            </w:pPr>
            <w:r/>
            <w:r>
              <w:rPr>
                <w:rFonts w:ascii="Arial" w:hAnsi="Arial" w:cs="Arial"/>
                <w:b w:val="0"/>
                <w:sz w:val="17"/>
              </w:rPr>
              <w:t>Access control</w:t>
            </w:r>
          </w:p>
        </w:tc>
      </w:tr>
      <w:tr>
        <w:tc>
          <w:tcPr>
            <w:tcW w:w="3100" w:type="dxa"/>
          </w:tcPr>
          <w:p>
            <w:pPr>
              <w:spacing w:after="0" w:before="0"/>
            </w:pPr>
            <w:r/>
            <w:r>
              <w:rPr>
                <w:rFonts w:ascii="Arial" w:hAnsi="Arial" w:cs="Arial"/>
                <w:b w:val="0"/>
                <w:sz w:val="17"/>
              </w:rPr>
              <w:t>Cryptography &amp; key management (HSM/KMS)</w:t>
            </w:r>
          </w:p>
        </w:tc>
        <w:tc>
          <w:tcPr>
            <w:tcW w:w="1400" w:type="dxa"/>
          </w:tcPr>
          <w:p>
            <w:pPr>
              <w:spacing w:after="0" w:before="0"/>
            </w:pPr>
            <w:r/>
            <w:r>
              <w:rPr>
                <w:rFonts w:ascii="Arial" w:hAnsi="Arial" w:cs="Arial"/>
                <w:b w:val="0"/>
                <w:sz w:val="17"/>
              </w:rPr>
              <w:t>PR.DS</w:t>
            </w:r>
          </w:p>
        </w:tc>
        <w:tc>
          <w:tcPr>
            <w:tcW w:w="2400" w:type="dxa"/>
          </w:tcPr>
          <w:p>
            <w:pPr>
              <w:spacing w:after="0" w:before="0"/>
            </w:pPr>
            <w:r/>
            <w:r>
              <w:rPr>
                <w:rFonts w:ascii="Arial" w:hAnsi="Arial" w:cs="Arial"/>
                <w:b w:val="0"/>
                <w:sz w:val="17"/>
              </w:rPr>
              <w:t>A.8.24</w:t>
            </w:r>
          </w:p>
        </w:tc>
        <w:tc>
          <w:tcPr>
            <w:tcW w:w="2460" w:type="dxa"/>
          </w:tcPr>
          <w:p>
            <w:pPr>
              <w:spacing w:after="0" w:before="0"/>
            </w:pPr>
            <w:r/>
            <w:r>
              <w:rPr>
                <w:rFonts w:ascii="Arial" w:hAnsi="Arial" w:cs="Arial"/>
                <w:b w:val="0"/>
                <w:sz w:val="17"/>
              </w:rPr>
              <w:t>Cryptographic controls</w:t>
            </w:r>
          </w:p>
        </w:tc>
      </w:tr>
      <w:tr>
        <w:tc>
          <w:tcPr>
            <w:tcW w:w="3100" w:type="dxa"/>
          </w:tcPr>
          <w:p>
            <w:pPr>
              <w:spacing w:after="0" w:before="0"/>
            </w:pPr>
            <w:r/>
            <w:r>
              <w:rPr>
                <w:rFonts w:ascii="Arial" w:hAnsi="Arial" w:cs="Arial"/>
                <w:b w:val="0"/>
                <w:sz w:val="17"/>
              </w:rPr>
              <w:t>Secure SDLC / SAST-DAST / SBOM</w:t>
            </w:r>
          </w:p>
        </w:tc>
        <w:tc>
          <w:tcPr>
            <w:tcW w:w="1400" w:type="dxa"/>
          </w:tcPr>
          <w:p>
            <w:pPr>
              <w:spacing w:after="0" w:before="0"/>
            </w:pPr>
            <w:r/>
            <w:r>
              <w:rPr>
                <w:rFonts w:ascii="Arial" w:hAnsi="Arial" w:cs="Arial"/>
                <w:b w:val="0"/>
                <w:sz w:val="17"/>
              </w:rPr>
              <w:t>PR.IP</w:t>
            </w:r>
          </w:p>
        </w:tc>
        <w:tc>
          <w:tcPr>
            <w:tcW w:w="2400" w:type="dxa"/>
          </w:tcPr>
          <w:p>
            <w:pPr>
              <w:spacing w:after="0" w:before="0"/>
            </w:pPr>
            <w:r/>
            <w:r>
              <w:rPr>
                <w:rFonts w:ascii="Arial" w:hAnsi="Arial" w:cs="Arial"/>
                <w:b w:val="0"/>
                <w:sz w:val="17"/>
              </w:rPr>
              <w:t>A.8.25–A.8.28</w:t>
            </w:r>
          </w:p>
        </w:tc>
        <w:tc>
          <w:tcPr>
            <w:tcW w:w="2460" w:type="dxa"/>
          </w:tcPr>
          <w:p>
            <w:pPr>
              <w:spacing w:after="0" w:before="0"/>
            </w:pPr>
            <w:r/>
            <w:r>
              <w:rPr>
                <w:rFonts w:ascii="Arial" w:hAnsi="Arial" w:cs="Arial"/>
                <w:b w:val="0"/>
                <w:sz w:val="17"/>
              </w:rPr>
              <w:t>Application security</w:t>
            </w:r>
          </w:p>
        </w:tc>
      </w:tr>
      <w:tr>
        <w:tc>
          <w:tcPr>
            <w:tcW w:w="3100" w:type="dxa"/>
          </w:tcPr>
          <w:p>
            <w:pPr>
              <w:spacing w:after="0" w:before="0"/>
            </w:pPr>
            <w:r/>
            <w:r>
              <w:rPr>
                <w:rFonts w:ascii="Arial" w:hAnsi="Arial" w:cs="Arial"/>
                <w:b w:val="0"/>
                <w:sz w:val="17"/>
              </w:rPr>
              <w:t>Logging, monitoring &amp; SIEM</w:t>
            </w:r>
          </w:p>
        </w:tc>
        <w:tc>
          <w:tcPr>
            <w:tcW w:w="1400" w:type="dxa"/>
          </w:tcPr>
          <w:p>
            <w:pPr>
              <w:spacing w:after="0" w:before="0"/>
            </w:pPr>
            <w:r/>
            <w:r>
              <w:rPr>
                <w:rFonts w:ascii="Arial" w:hAnsi="Arial" w:cs="Arial"/>
                <w:b w:val="0"/>
                <w:sz w:val="17"/>
              </w:rPr>
              <w:t>DE.CM</w:t>
            </w:r>
          </w:p>
        </w:tc>
        <w:tc>
          <w:tcPr>
            <w:tcW w:w="2400" w:type="dxa"/>
          </w:tcPr>
          <w:p>
            <w:pPr>
              <w:spacing w:after="0" w:before="0"/>
            </w:pPr>
            <w:r/>
            <w:r>
              <w:rPr>
                <w:rFonts w:ascii="Arial" w:hAnsi="Arial" w:cs="Arial"/>
                <w:b w:val="0"/>
                <w:sz w:val="17"/>
              </w:rPr>
              <w:t>A.8.15–A.8.16</w:t>
            </w:r>
          </w:p>
        </w:tc>
        <w:tc>
          <w:tcPr>
            <w:tcW w:w="2460" w:type="dxa"/>
          </w:tcPr>
          <w:p>
            <w:pPr>
              <w:spacing w:after="0" w:before="0"/>
            </w:pPr>
            <w:r/>
            <w:r>
              <w:rPr>
                <w:rFonts w:ascii="Arial" w:hAnsi="Arial" w:cs="Arial"/>
                <w:b w:val="0"/>
                <w:sz w:val="17"/>
              </w:rPr>
              <w:t>Audit trail / monitoring</w:t>
            </w:r>
          </w:p>
        </w:tc>
      </w:tr>
      <w:tr>
        <w:tc>
          <w:tcPr>
            <w:tcW w:w="3100" w:type="dxa"/>
          </w:tcPr>
          <w:p>
            <w:pPr>
              <w:spacing w:after="0" w:before="0"/>
            </w:pPr>
            <w:r/>
            <w:r>
              <w:rPr>
                <w:rFonts w:ascii="Arial" w:hAnsi="Arial" w:cs="Arial"/>
                <w:b w:val="0"/>
                <w:sz w:val="17"/>
              </w:rPr>
              <w:t>Incident response (6-hr CERT-In)</w:t>
            </w:r>
          </w:p>
        </w:tc>
        <w:tc>
          <w:tcPr>
            <w:tcW w:w="1400" w:type="dxa"/>
          </w:tcPr>
          <w:p>
            <w:pPr>
              <w:spacing w:after="0" w:before="0"/>
            </w:pPr>
            <w:r/>
            <w:r>
              <w:rPr>
                <w:rFonts w:ascii="Arial" w:hAnsi="Arial" w:cs="Arial"/>
                <w:b w:val="0"/>
                <w:sz w:val="17"/>
              </w:rPr>
              <w:t>RS.RP</w:t>
            </w:r>
          </w:p>
        </w:tc>
        <w:tc>
          <w:tcPr>
            <w:tcW w:w="2400" w:type="dxa"/>
          </w:tcPr>
          <w:p>
            <w:pPr>
              <w:spacing w:after="0" w:before="0"/>
            </w:pPr>
            <w:r/>
            <w:r>
              <w:rPr>
                <w:rFonts w:ascii="Arial" w:hAnsi="Arial" w:cs="Arial"/>
                <w:b w:val="0"/>
                <w:sz w:val="17"/>
              </w:rPr>
              <w:t>A.5.24–A.5.28</w:t>
            </w:r>
          </w:p>
        </w:tc>
        <w:tc>
          <w:tcPr>
            <w:tcW w:w="2460" w:type="dxa"/>
          </w:tcPr>
          <w:p>
            <w:pPr>
              <w:spacing w:after="0" w:before="0"/>
            </w:pPr>
            <w:r/>
            <w:r>
              <w:rPr>
                <w:rFonts w:ascii="Arial" w:hAnsi="Arial" w:cs="Arial"/>
                <w:b w:val="0"/>
                <w:sz w:val="17"/>
              </w:rPr>
              <w:t>Incident management</w:t>
            </w:r>
          </w:p>
        </w:tc>
      </w:tr>
      <w:tr>
        <w:tc>
          <w:tcPr>
            <w:tcW w:w="3100" w:type="dxa"/>
          </w:tcPr>
          <w:p>
            <w:pPr>
              <w:spacing w:after="0" w:before="0"/>
            </w:pPr>
            <w:r/>
            <w:r>
              <w:rPr>
                <w:rFonts w:ascii="Arial" w:hAnsi="Arial" w:cs="Arial"/>
                <w:b w:val="0"/>
                <w:sz w:val="17"/>
              </w:rPr>
              <w:t>BCP / DR &amp; drills</w:t>
            </w:r>
          </w:p>
        </w:tc>
        <w:tc>
          <w:tcPr>
            <w:tcW w:w="1400" w:type="dxa"/>
          </w:tcPr>
          <w:p>
            <w:pPr>
              <w:spacing w:after="0" w:before="0"/>
            </w:pPr>
            <w:r/>
            <w:r>
              <w:rPr>
                <w:rFonts w:ascii="Arial" w:hAnsi="Arial" w:cs="Arial"/>
                <w:b w:val="0"/>
                <w:sz w:val="17"/>
              </w:rPr>
              <w:t>RC.RP</w:t>
            </w:r>
          </w:p>
        </w:tc>
        <w:tc>
          <w:tcPr>
            <w:tcW w:w="2400" w:type="dxa"/>
          </w:tcPr>
          <w:p>
            <w:pPr>
              <w:spacing w:after="0" w:before="0"/>
            </w:pPr>
            <w:r/>
            <w:r>
              <w:rPr>
                <w:rFonts w:ascii="Arial" w:hAnsi="Arial" w:cs="Arial"/>
                <w:b w:val="0"/>
                <w:sz w:val="17"/>
              </w:rPr>
              <w:t>A.5.29–A.5.30</w:t>
            </w:r>
          </w:p>
        </w:tc>
        <w:tc>
          <w:tcPr>
            <w:tcW w:w="2460" w:type="dxa"/>
          </w:tcPr>
          <w:p>
            <w:pPr>
              <w:spacing w:after="0" w:before="0"/>
            </w:pPr>
            <w:r/>
            <w:r>
              <w:rPr>
                <w:rFonts w:ascii="Arial" w:hAnsi="Arial" w:cs="Arial"/>
                <w:b w:val="0"/>
                <w:sz w:val="17"/>
              </w:rPr>
              <w:t>Business continuity</w:t>
            </w:r>
          </w:p>
        </w:tc>
      </w:tr>
      <w:tr>
        <w:tc>
          <w:tcPr>
            <w:tcW w:w="3100" w:type="dxa"/>
          </w:tcPr>
          <w:p>
            <w:pPr>
              <w:spacing w:after="0" w:before="0"/>
            </w:pPr>
            <w:r/>
            <w:r>
              <w:rPr>
                <w:rFonts w:ascii="Arial" w:hAnsi="Arial" w:cs="Arial"/>
                <w:b w:val="0"/>
                <w:sz w:val="17"/>
              </w:rPr>
              <w:t>Third-party / outsourcing risk</w:t>
            </w:r>
          </w:p>
        </w:tc>
        <w:tc>
          <w:tcPr>
            <w:tcW w:w="1400" w:type="dxa"/>
          </w:tcPr>
          <w:p>
            <w:pPr>
              <w:spacing w:after="0" w:before="0"/>
            </w:pPr>
            <w:r/>
            <w:r>
              <w:rPr>
                <w:rFonts w:ascii="Arial" w:hAnsi="Arial" w:cs="Arial"/>
                <w:b w:val="0"/>
                <w:sz w:val="17"/>
              </w:rPr>
              <w:t>ID.SC</w:t>
            </w:r>
          </w:p>
        </w:tc>
        <w:tc>
          <w:tcPr>
            <w:tcW w:w="2400" w:type="dxa"/>
          </w:tcPr>
          <w:p>
            <w:pPr>
              <w:spacing w:after="0" w:before="0"/>
            </w:pPr>
            <w:r/>
            <w:r>
              <w:rPr>
                <w:rFonts w:ascii="Arial" w:hAnsi="Arial" w:cs="Arial"/>
                <w:b w:val="0"/>
                <w:sz w:val="17"/>
              </w:rPr>
              <w:t>A.5.19–A.5.23</w:t>
            </w:r>
          </w:p>
        </w:tc>
        <w:tc>
          <w:tcPr>
            <w:tcW w:w="2460" w:type="dxa"/>
          </w:tcPr>
          <w:p>
            <w:pPr>
              <w:spacing w:after="0" w:before="0"/>
            </w:pPr>
            <w:r/>
            <w:r>
              <w:rPr>
                <w:rFonts w:ascii="Arial" w:hAnsi="Arial" w:cs="Arial"/>
                <w:b w:val="0"/>
                <w:sz w:val="17"/>
              </w:rPr>
              <w:t>Outsourcing risk</w:t>
            </w:r>
          </w:p>
        </w:tc>
      </w:tr>
      <w:tr>
        <w:tc>
          <w:tcPr>
            <w:tcW w:w="3100" w:type="dxa"/>
          </w:tcPr>
          <w:p>
            <w:pPr>
              <w:spacing w:after="0" w:before="0"/>
            </w:pPr>
            <w:r/>
            <w:r>
              <w:rPr>
                <w:rFonts w:ascii="Arial" w:hAnsi="Arial" w:cs="Arial"/>
                <w:b w:val="0"/>
                <w:sz w:val="17"/>
              </w:rPr>
              <w:t>Data classification &amp; DLP</w:t>
            </w:r>
          </w:p>
        </w:tc>
        <w:tc>
          <w:tcPr>
            <w:tcW w:w="1400" w:type="dxa"/>
          </w:tcPr>
          <w:p>
            <w:pPr>
              <w:spacing w:after="0" w:before="0"/>
            </w:pPr>
            <w:r/>
            <w:r>
              <w:rPr>
                <w:rFonts w:ascii="Arial" w:hAnsi="Arial" w:cs="Arial"/>
                <w:b w:val="0"/>
                <w:sz w:val="17"/>
              </w:rPr>
              <w:t>PR.DS</w:t>
            </w:r>
          </w:p>
        </w:tc>
        <w:tc>
          <w:tcPr>
            <w:tcW w:w="2400" w:type="dxa"/>
          </w:tcPr>
          <w:p>
            <w:pPr>
              <w:spacing w:after="0" w:before="0"/>
            </w:pPr>
            <w:r/>
            <w:r>
              <w:rPr>
                <w:rFonts w:ascii="Arial" w:hAnsi="Arial" w:cs="Arial"/>
                <w:b w:val="0"/>
                <w:sz w:val="17"/>
              </w:rPr>
              <w:t>A.5.12–A.5.13</w:t>
            </w:r>
          </w:p>
        </w:tc>
        <w:tc>
          <w:tcPr>
            <w:tcW w:w="2460" w:type="dxa"/>
          </w:tcPr>
          <w:p>
            <w:pPr>
              <w:spacing w:after="0" w:before="0"/>
            </w:pPr>
            <w:r/>
            <w:r>
              <w:rPr>
                <w:rFonts w:ascii="Arial" w:hAnsi="Arial" w:cs="Arial"/>
                <w:b w:val="0"/>
                <w:sz w:val="17"/>
              </w:rPr>
              <w:t>Data leak prevention</w:t>
            </w:r>
          </w:p>
        </w:tc>
      </w:tr>
    </w:tbl>
    <w:p/>
    <w:p>
      <w:r>
        <w:br w:type="page"/>
      </w:r>
    </w:p>
    <w:p>
      <w:pPr>
        <w:pStyle w:val="Heading1"/>
      </w:pPr>
      <w:r>
        <w:t>51. Business Case, TCO &amp; Financial Model</w:t>
      </w:r>
    </w:p>
    <w:p>
      <w:r>
        <w:rPr>
          <w:rFonts w:ascii="Arial" w:hAnsi="Arial" w:cs="Arial"/>
          <w:b w:val="0"/>
          <w:i w:val="0"/>
          <w:sz w:val="22"/>
        </w:rPr>
        <w:t>All figures in this section are illustrative planning assumptions to demonstrate the model structure — they are placeholders for the NBFC’s own validated numbers, not a costing. They should be refined in a costing workshop.</w:t>
      </w:r>
    </w:p>
    <w:p>
      <w:pPr>
        <w:pStyle w:val="Heading2"/>
      </w:pPr>
      <w:r>
        <w:t>51.1 Value Drivers</w:t>
      </w:r>
    </w:p>
    <w:p>
      <w:pPr>
        <w:pStyle w:val="ListParagraph"/>
        <w:numPr>
          <w:ilvl w:val="0"/>
          <w:numId w:val="2"/>
        </w:numPr>
      </w:pPr>
      <w:r>
        <w:rPr>
          <w:rFonts w:ascii="Arial" w:hAnsi="Arial" w:cs="Arial"/>
          <w:sz w:val="22"/>
        </w:rPr>
        <w:t>Revenue growth: faster product launch and straight-through digital origination increase throughput.</w:t>
      </w:r>
    </w:p>
    <w:p>
      <w:pPr>
        <w:pStyle w:val="ListParagraph"/>
        <w:numPr>
          <w:ilvl w:val="0"/>
          <w:numId w:val="2"/>
        </w:numPr>
      </w:pPr>
      <w:r>
        <w:rPr>
          <w:rFonts w:ascii="Arial" w:hAnsi="Arial" w:cs="Arial"/>
          <w:sz w:val="22"/>
        </w:rPr>
        <w:t>Cost reduction: lower cost-to-originate and cost-to-serve through automation and self-service.</w:t>
      </w:r>
    </w:p>
    <w:p>
      <w:pPr>
        <w:pStyle w:val="ListParagraph"/>
        <w:numPr>
          <w:ilvl w:val="0"/>
          <w:numId w:val="2"/>
        </w:numPr>
      </w:pPr>
      <w:r>
        <w:rPr>
          <w:rFonts w:ascii="Arial" w:hAnsi="Arial" w:cs="Arial"/>
          <w:sz w:val="22"/>
        </w:rPr>
        <w:t>Credit-loss reduction: earlier warning signals, better collections, lower GNPA/PAR.</w:t>
      </w:r>
    </w:p>
    <w:p>
      <w:pPr>
        <w:pStyle w:val="ListParagraph"/>
        <w:numPr>
          <w:ilvl w:val="0"/>
          <w:numId w:val="2"/>
        </w:numPr>
      </w:pPr>
      <w:r>
        <w:rPr>
          <w:rFonts w:ascii="Arial" w:hAnsi="Arial" w:cs="Arial"/>
          <w:sz w:val="22"/>
        </w:rPr>
        <w:t>Regulatory efficiency &amp; confidence: automated, accurate returns reduce rework and penalty risk.</w:t>
      </w:r>
    </w:p>
    <w:p>
      <w:pPr>
        <w:pStyle w:val="Heading2"/>
      </w:pPr>
      <w:r>
        <w:t>51.2 Five-Year Financial Model (illustrative, ₹ crore)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460"/>
        <w:gridCol w:w="1150"/>
        <w:gridCol w:w="1150"/>
        <w:gridCol w:w="1150"/>
        <w:gridCol w:w="1150"/>
        <w:gridCol w:w="1150"/>
        <w:gridCol w:w="1150"/>
      </w:tblGrid>
      <w:tr>
        <w:tc>
          <w:tcPr>
            <w:tcW w:w="2460" w:type="dxa"/>
            <w:shd w:val="clear" w:color="auto" w:fill="1F4E78"/>
          </w:tcPr>
          <w:p>
            <w:pPr>
              <w:spacing w:after="0" w:before="0"/>
            </w:pPr>
            <w:r/>
            <w:r>
              <w:rPr>
                <w:rFonts w:ascii="Arial" w:hAnsi="Arial" w:cs="Arial"/>
                <w:b/>
                <w:color w:val="FFFFFF"/>
                <w:sz w:val="17"/>
              </w:rPr>
              <w:t>Line</w:t>
            </w:r>
          </w:p>
        </w:tc>
        <w:tc>
          <w:tcPr>
            <w:tcW w:w="1150" w:type="dxa"/>
            <w:shd w:val="clear" w:color="auto" w:fill="1F4E78"/>
          </w:tcPr>
          <w:p>
            <w:pPr>
              <w:spacing w:after="0" w:before="0"/>
            </w:pPr>
            <w:r/>
            <w:r>
              <w:rPr>
                <w:rFonts w:ascii="Arial" w:hAnsi="Arial" w:cs="Arial"/>
                <w:b/>
                <w:color w:val="FFFFFF"/>
                <w:sz w:val="17"/>
              </w:rPr>
              <w:t>Y0</w:t>
            </w:r>
          </w:p>
        </w:tc>
        <w:tc>
          <w:tcPr>
            <w:tcW w:w="1150" w:type="dxa"/>
            <w:shd w:val="clear" w:color="auto" w:fill="1F4E78"/>
          </w:tcPr>
          <w:p>
            <w:pPr>
              <w:spacing w:after="0" w:before="0"/>
            </w:pPr>
            <w:r/>
            <w:r>
              <w:rPr>
                <w:rFonts w:ascii="Arial" w:hAnsi="Arial" w:cs="Arial"/>
                <w:b/>
                <w:color w:val="FFFFFF"/>
                <w:sz w:val="17"/>
              </w:rPr>
              <w:t>Y1</w:t>
            </w:r>
          </w:p>
        </w:tc>
        <w:tc>
          <w:tcPr>
            <w:tcW w:w="1150" w:type="dxa"/>
            <w:shd w:val="clear" w:color="auto" w:fill="1F4E78"/>
          </w:tcPr>
          <w:p>
            <w:pPr>
              <w:spacing w:after="0" w:before="0"/>
            </w:pPr>
            <w:r/>
            <w:r>
              <w:rPr>
                <w:rFonts w:ascii="Arial" w:hAnsi="Arial" w:cs="Arial"/>
                <w:b/>
                <w:color w:val="FFFFFF"/>
                <w:sz w:val="17"/>
              </w:rPr>
              <w:t>Y2</w:t>
            </w:r>
          </w:p>
        </w:tc>
        <w:tc>
          <w:tcPr>
            <w:tcW w:w="1150" w:type="dxa"/>
            <w:shd w:val="clear" w:color="auto" w:fill="1F4E78"/>
          </w:tcPr>
          <w:p>
            <w:pPr>
              <w:spacing w:after="0" w:before="0"/>
            </w:pPr>
            <w:r/>
            <w:r>
              <w:rPr>
                <w:rFonts w:ascii="Arial" w:hAnsi="Arial" w:cs="Arial"/>
                <w:b/>
                <w:color w:val="FFFFFF"/>
                <w:sz w:val="17"/>
              </w:rPr>
              <w:t>Y3</w:t>
            </w:r>
          </w:p>
        </w:tc>
        <w:tc>
          <w:tcPr>
            <w:tcW w:w="1150" w:type="dxa"/>
            <w:shd w:val="clear" w:color="auto" w:fill="1F4E78"/>
          </w:tcPr>
          <w:p>
            <w:pPr>
              <w:spacing w:after="0" w:before="0"/>
            </w:pPr>
            <w:r/>
            <w:r>
              <w:rPr>
                <w:rFonts w:ascii="Arial" w:hAnsi="Arial" w:cs="Arial"/>
                <w:b/>
                <w:color w:val="FFFFFF"/>
                <w:sz w:val="17"/>
              </w:rPr>
              <w:t>Y4</w:t>
            </w:r>
          </w:p>
        </w:tc>
        <w:tc>
          <w:tcPr>
            <w:tcW w:w="1150" w:type="dxa"/>
            <w:shd w:val="clear" w:color="auto" w:fill="1F4E78"/>
          </w:tcPr>
          <w:p>
            <w:pPr>
              <w:spacing w:after="0" w:before="0"/>
            </w:pPr>
            <w:r/>
            <w:r>
              <w:rPr>
                <w:rFonts w:ascii="Arial" w:hAnsi="Arial" w:cs="Arial"/>
                <w:b/>
                <w:color w:val="FFFFFF"/>
                <w:sz w:val="17"/>
              </w:rPr>
              <w:t>Y5</w:t>
            </w:r>
          </w:p>
        </w:tc>
      </w:tr>
      <w:tr>
        <w:tc>
          <w:tcPr>
            <w:tcW w:w="2460" w:type="dxa"/>
          </w:tcPr>
          <w:p>
            <w:pPr>
              <w:spacing w:after="0" w:before="0"/>
            </w:pPr>
            <w:r/>
            <w:r>
              <w:rPr>
                <w:rFonts w:ascii="Arial" w:hAnsi="Arial" w:cs="Arial"/>
                <w:b w:val="0"/>
                <w:sz w:val="17"/>
              </w:rPr>
              <w:t>Investment (build)</w:t>
            </w:r>
          </w:p>
        </w:tc>
        <w:tc>
          <w:tcPr>
            <w:tcW w:w="1150" w:type="dxa"/>
          </w:tcPr>
          <w:p>
            <w:pPr>
              <w:spacing w:after="0" w:before="0"/>
            </w:pPr>
            <w:r/>
            <w:r>
              <w:rPr>
                <w:rFonts w:ascii="Arial" w:hAnsi="Arial" w:cs="Arial"/>
                <w:b w:val="0"/>
                <w:sz w:val="17"/>
              </w:rPr>
              <w:t>6</w:t>
            </w:r>
          </w:p>
        </w:tc>
        <w:tc>
          <w:tcPr>
            <w:tcW w:w="1150" w:type="dxa"/>
          </w:tcPr>
          <w:p>
            <w:pPr>
              <w:spacing w:after="0" w:before="0"/>
            </w:pPr>
            <w:r/>
            <w:r>
              <w:rPr>
                <w:rFonts w:ascii="Arial" w:hAnsi="Arial" w:cs="Arial"/>
                <w:b w:val="0"/>
                <w:sz w:val="17"/>
              </w:rPr>
              <w:t>6</w:t>
            </w:r>
          </w:p>
        </w:tc>
        <w:tc>
          <w:tcPr>
            <w:tcW w:w="1150" w:type="dxa"/>
          </w:tcPr>
          <w:p>
            <w:pPr>
              <w:spacing w:after="0" w:before="0"/>
            </w:pPr>
            <w:r/>
            <w:r>
              <w:rPr>
                <w:rFonts w:ascii="Arial" w:hAnsi="Arial" w:cs="Arial"/>
                <w:b w:val="0"/>
                <w:sz w:val="17"/>
              </w:rPr>
              <w:t>0</w:t>
            </w:r>
          </w:p>
        </w:tc>
        <w:tc>
          <w:tcPr>
            <w:tcW w:w="1150" w:type="dxa"/>
          </w:tcPr>
          <w:p>
            <w:pPr>
              <w:spacing w:after="0" w:before="0"/>
            </w:pPr>
            <w:r/>
            <w:r>
              <w:rPr>
                <w:rFonts w:ascii="Arial" w:hAnsi="Arial" w:cs="Arial"/>
                <w:b w:val="0"/>
                <w:sz w:val="17"/>
              </w:rPr>
              <w:t>0</w:t>
            </w:r>
          </w:p>
        </w:tc>
        <w:tc>
          <w:tcPr>
            <w:tcW w:w="1150" w:type="dxa"/>
          </w:tcPr>
          <w:p>
            <w:pPr>
              <w:spacing w:after="0" w:before="0"/>
            </w:pPr>
            <w:r/>
            <w:r>
              <w:rPr>
                <w:rFonts w:ascii="Arial" w:hAnsi="Arial" w:cs="Arial"/>
                <w:b w:val="0"/>
                <w:sz w:val="17"/>
              </w:rPr>
              <w:t>0</w:t>
            </w:r>
          </w:p>
        </w:tc>
        <w:tc>
          <w:tcPr>
            <w:tcW w:w="1150" w:type="dxa"/>
          </w:tcPr>
          <w:p>
            <w:pPr>
              <w:spacing w:after="0" w:before="0"/>
            </w:pPr>
            <w:r/>
            <w:r>
              <w:rPr>
                <w:rFonts w:ascii="Arial" w:hAnsi="Arial" w:cs="Arial"/>
                <w:b w:val="0"/>
                <w:sz w:val="17"/>
              </w:rPr>
              <w:t>0</w:t>
            </w:r>
          </w:p>
        </w:tc>
      </w:tr>
      <w:tr>
        <w:tc>
          <w:tcPr>
            <w:tcW w:w="2460" w:type="dxa"/>
          </w:tcPr>
          <w:p>
            <w:pPr>
              <w:spacing w:after="0" w:before="0"/>
            </w:pPr>
            <w:r/>
            <w:r>
              <w:rPr>
                <w:rFonts w:ascii="Arial" w:hAnsi="Arial" w:cs="Arial"/>
                <w:b w:val="0"/>
                <w:sz w:val="17"/>
              </w:rPr>
              <w:t>Run / opex</w:t>
            </w:r>
          </w:p>
        </w:tc>
        <w:tc>
          <w:tcPr>
            <w:tcW w:w="1150" w:type="dxa"/>
          </w:tcPr>
          <w:p>
            <w:pPr>
              <w:spacing w:after="0" w:before="0"/>
            </w:pPr>
            <w:r/>
            <w:r>
              <w:rPr>
                <w:rFonts w:ascii="Arial" w:hAnsi="Arial" w:cs="Arial"/>
                <w:b w:val="0"/>
                <w:sz w:val="17"/>
              </w:rPr>
              <w:t>0</w:t>
            </w:r>
          </w:p>
        </w:tc>
        <w:tc>
          <w:tcPr>
            <w:tcW w:w="1150" w:type="dxa"/>
          </w:tcPr>
          <w:p>
            <w:pPr>
              <w:spacing w:after="0" w:before="0"/>
            </w:pPr>
            <w:r/>
            <w:r>
              <w:rPr>
                <w:rFonts w:ascii="Arial" w:hAnsi="Arial" w:cs="Arial"/>
                <w:b w:val="0"/>
                <w:sz w:val="17"/>
              </w:rPr>
              <w:t>3</w:t>
            </w:r>
          </w:p>
        </w:tc>
        <w:tc>
          <w:tcPr>
            <w:tcW w:w="1150" w:type="dxa"/>
          </w:tcPr>
          <w:p>
            <w:pPr>
              <w:spacing w:after="0" w:before="0"/>
            </w:pPr>
            <w:r/>
            <w:r>
              <w:rPr>
                <w:rFonts w:ascii="Arial" w:hAnsi="Arial" w:cs="Arial"/>
                <w:b w:val="0"/>
                <w:sz w:val="17"/>
              </w:rPr>
              <w:t>3</w:t>
            </w:r>
          </w:p>
        </w:tc>
        <w:tc>
          <w:tcPr>
            <w:tcW w:w="1150" w:type="dxa"/>
          </w:tcPr>
          <w:p>
            <w:pPr>
              <w:spacing w:after="0" w:before="0"/>
            </w:pPr>
            <w:r/>
            <w:r>
              <w:rPr>
                <w:rFonts w:ascii="Arial" w:hAnsi="Arial" w:cs="Arial"/>
                <w:b w:val="0"/>
                <w:sz w:val="17"/>
              </w:rPr>
              <w:t>3</w:t>
            </w:r>
          </w:p>
        </w:tc>
        <w:tc>
          <w:tcPr>
            <w:tcW w:w="1150" w:type="dxa"/>
          </w:tcPr>
          <w:p>
            <w:pPr>
              <w:spacing w:after="0" w:before="0"/>
            </w:pPr>
            <w:r/>
            <w:r>
              <w:rPr>
                <w:rFonts w:ascii="Arial" w:hAnsi="Arial" w:cs="Arial"/>
                <w:b w:val="0"/>
                <w:sz w:val="17"/>
              </w:rPr>
              <w:t>3</w:t>
            </w:r>
          </w:p>
        </w:tc>
        <w:tc>
          <w:tcPr>
            <w:tcW w:w="1150" w:type="dxa"/>
          </w:tcPr>
          <w:p>
            <w:pPr>
              <w:spacing w:after="0" w:before="0"/>
            </w:pPr>
            <w:r/>
            <w:r>
              <w:rPr>
                <w:rFonts w:ascii="Arial" w:hAnsi="Arial" w:cs="Arial"/>
                <w:b w:val="0"/>
                <w:sz w:val="17"/>
              </w:rPr>
              <w:t>3</w:t>
            </w:r>
          </w:p>
        </w:tc>
      </w:tr>
      <w:tr>
        <w:tc>
          <w:tcPr>
            <w:tcW w:w="2460" w:type="dxa"/>
          </w:tcPr>
          <w:p>
            <w:pPr>
              <w:spacing w:after="0" w:before="0"/>
            </w:pPr>
            <w:r/>
            <w:r>
              <w:rPr>
                <w:rFonts w:ascii="Arial" w:hAnsi="Arial" w:cs="Arial"/>
                <w:b w:val="0"/>
                <w:sz w:val="17"/>
              </w:rPr>
              <w:t>Gross benefits</w:t>
            </w:r>
          </w:p>
        </w:tc>
        <w:tc>
          <w:tcPr>
            <w:tcW w:w="1150" w:type="dxa"/>
          </w:tcPr>
          <w:p>
            <w:pPr>
              <w:spacing w:after="0" w:before="0"/>
            </w:pPr>
            <w:r/>
            <w:r>
              <w:rPr>
                <w:rFonts w:ascii="Arial" w:hAnsi="Arial" w:cs="Arial"/>
                <w:b w:val="0"/>
                <w:sz w:val="17"/>
              </w:rPr>
              <w:t>0</w:t>
            </w:r>
          </w:p>
        </w:tc>
        <w:tc>
          <w:tcPr>
            <w:tcW w:w="1150" w:type="dxa"/>
          </w:tcPr>
          <w:p>
            <w:pPr>
              <w:spacing w:after="0" w:before="0"/>
            </w:pPr>
            <w:r/>
            <w:r>
              <w:rPr>
                <w:rFonts w:ascii="Arial" w:hAnsi="Arial" w:cs="Arial"/>
                <w:b w:val="0"/>
                <w:sz w:val="17"/>
              </w:rPr>
              <w:t>4</w:t>
            </w:r>
          </w:p>
        </w:tc>
        <w:tc>
          <w:tcPr>
            <w:tcW w:w="1150" w:type="dxa"/>
          </w:tcPr>
          <w:p>
            <w:pPr>
              <w:spacing w:after="0" w:before="0"/>
            </w:pPr>
            <w:r/>
            <w:r>
              <w:rPr>
                <w:rFonts w:ascii="Arial" w:hAnsi="Arial" w:cs="Arial"/>
                <w:b w:val="0"/>
                <w:sz w:val="17"/>
              </w:rPr>
              <w:t>9</w:t>
            </w:r>
          </w:p>
        </w:tc>
        <w:tc>
          <w:tcPr>
            <w:tcW w:w="1150" w:type="dxa"/>
          </w:tcPr>
          <w:p>
            <w:pPr>
              <w:spacing w:after="0" w:before="0"/>
            </w:pPr>
            <w:r/>
            <w:r>
              <w:rPr>
                <w:rFonts w:ascii="Arial" w:hAnsi="Arial" w:cs="Arial"/>
                <w:b w:val="0"/>
                <w:sz w:val="17"/>
              </w:rPr>
              <w:t>14</w:t>
            </w:r>
          </w:p>
        </w:tc>
        <w:tc>
          <w:tcPr>
            <w:tcW w:w="1150" w:type="dxa"/>
          </w:tcPr>
          <w:p>
            <w:pPr>
              <w:spacing w:after="0" w:before="0"/>
            </w:pPr>
            <w:r/>
            <w:r>
              <w:rPr>
                <w:rFonts w:ascii="Arial" w:hAnsi="Arial" w:cs="Arial"/>
                <w:b w:val="0"/>
                <w:sz w:val="17"/>
              </w:rPr>
              <w:t>16</w:t>
            </w:r>
          </w:p>
        </w:tc>
        <w:tc>
          <w:tcPr>
            <w:tcW w:w="1150" w:type="dxa"/>
          </w:tcPr>
          <w:p>
            <w:pPr>
              <w:spacing w:after="0" w:before="0"/>
            </w:pPr>
            <w:r/>
            <w:r>
              <w:rPr>
                <w:rFonts w:ascii="Arial" w:hAnsi="Arial" w:cs="Arial"/>
                <w:b w:val="0"/>
                <w:sz w:val="17"/>
              </w:rPr>
              <w:t>18</w:t>
            </w:r>
          </w:p>
        </w:tc>
      </w:tr>
      <w:tr>
        <w:tc>
          <w:tcPr>
            <w:tcW w:w="2460" w:type="dxa"/>
          </w:tcPr>
          <w:p>
            <w:pPr>
              <w:spacing w:after="0" w:before="0"/>
            </w:pPr>
            <w:r/>
            <w:r>
              <w:rPr>
                <w:rFonts w:ascii="Arial" w:hAnsi="Arial" w:cs="Arial"/>
                <w:b w:val="0"/>
                <w:sz w:val="17"/>
              </w:rPr>
              <w:t>Net cash flow</w:t>
            </w:r>
          </w:p>
        </w:tc>
        <w:tc>
          <w:tcPr>
            <w:tcW w:w="1150" w:type="dxa"/>
          </w:tcPr>
          <w:p>
            <w:pPr>
              <w:spacing w:after="0" w:before="0"/>
            </w:pPr>
            <w:r/>
            <w:r>
              <w:rPr>
                <w:rFonts w:ascii="Arial" w:hAnsi="Arial" w:cs="Arial"/>
                <w:b w:val="0"/>
                <w:sz w:val="17"/>
              </w:rPr>
              <w:t>-6</w:t>
            </w:r>
          </w:p>
        </w:tc>
        <w:tc>
          <w:tcPr>
            <w:tcW w:w="1150" w:type="dxa"/>
          </w:tcPr>
          <w:p>
            <w:pPr>
              <w:spacing w:after="0" w:before="0"/>
            </w:pPr>
            <w:r/>
            <w:r>
              <w:rPr>
                <w:rFonts w:ascii="Arial" w:hAnsi="Arial" w:cs="Arial"/>
                <w:b w:val="0"/>
                <w:sz w:val="17"/>
              </w:rPr>
              <w:t>-5</w:t>
            </w:r>
          </w:p>
        </w:tc>
        <w:tc>
          <w:tcPr>
            <w:tcW w:w="1150" w:type="dxa"/>
          </w:tcPr>
          <w:p>
            <w:pPr>
              <w:spacing w:after="0" w:before="0"/>
            </w:pPr>
            <w:r/>
            <w:r>
              <w:rPr>
                <w:rFonts w:ascii="Arial" w:hAnsi="Arial" w:cs="Arial"/>
                <w:b w:val="0"/>
                <w:sz w:val="17"/>
              </w:rPr>
              <w:t>6</w:t>
            </w:r>
          </w:p>
        </w:tc>
        <w:tc>
          <w:tcPr>
            <w:tcW w:w="1150" w:type="dxa"/>
          </w:tcPr>
          <w:p>
            <w:pPr>
              <w:spacing w:after="0" w:before="0"/>
            </w:pPr>
            <w:r/>
            <w:r>
              <w:rPr>
                <w:rFonts w:ascii="Arial" w:hAnsi="Arial" w:cs="Arial"/>
                <w:b w:val="0"/>
                <w:sz w:val="17"/>
              </w:rPr>
              <w:t>11</w:t>
            </w:r>
          </w:p>
        </w:tc>
        <w:tc>
          <w:tcPr>
            <w:tcW w:w="1150" w:type="dxa"/>
          </w:tcPr>
          <w:p>
            <w:pPr>
              <w:spacing w:after="0" w:before="0"/>
            </w:pPr>
            <w:r/>
            <w:r>
              <w:rPr>
                <w:rFonts w:ascii="Arial" w:hAnsi="Arial" w:cs="Arial"/>
                <w:b w:val="0"/>
                <w:sz w:val="17"/>
              </w:rPr>
              <w:t>13</w:t>
            </w:r>
          </w:p>
        </w:tc>
        <w:tc>
          <w:tcPr>
            <w:tcW w:w="1150" w:type="dxa"/>
          </w:tcPr>
          <w:p>
            <w:pPr>
              <w:spacing w:after="0" w:before="0"/>
            </w:pPr>
            <w:r/>
            <w:r>
              <w:rPr>
                <w:rFonts w:ascii="Arial" w:hAnsi="Arial" w:cs="Arial"/>
                <w:b w:val="0"/>
                <w:sz w:val="17"/>
              </w:rPr>
              <w:t>15</w:t>
            </w:r>
          </w:p>
        </w:tc>
      </w:tr>
    </w:tbl>
    <w:p/>
    <w:p>
      <w:r>
        <w:rPr>
          <w:rFonts w:ascii="Arial" w:hAnsi="Arial" w:cs="Arial"/>
          <w:b w:val="0"/>
          <w:i w:val="0"/>
          <w:sz w:val="22"/>
        </w:rPr>
        <w:t>At a 12% discount rate the illustrative NPV is ≈ ₹19 crore with payback around Year 3. Sensitivity: if benefits land 20% lower, NPV ≈ ₹11 cr; 20% higher, ≈ ₹27 cr. TCO comprises build, run/opex, integration/bureau/API call costs, and communication costs, attributed per tenant/product for FinOps (Section 42.3).</w:t>
      </w:r>
    </w:p>
    <w:p>
      <w:pPr>
        <w:pStyle w:val="Heading1"/>
      </w:pPr>
      <w:r>
        <w:t>52. Build vs. Buy &amp; COTS Vendor Evaluation</w:t>
      </w:r>
    </w:p>
    <w:p>
      <w:r>
        <w:rPr>
          <w:rFonts w:ascii="Arial" w:hAnsi="Arial" w:cs="Arial"/>
          <w:b w:val="0"/>
          <w:i w:val="0"/>
          <w:sz w:val="22"/>
        </w:rPr>
        <w:t>A structured build-vs-buy decision with a weighted scorecard. Scores below are an illustrative framework, to be completed with the NBFC’s own weighting and a formal RFP.</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100"/>
        <w:gridCol w:w="1100"/>
        <w:gridCol w:w="2560"/>
        <w:gridCol w:w="2600"/>
      </w:tblGrid>
      <w:tr>
        <w:tc>
          <w:tcPr>
            <w:tcW w:w="3100" w:type="dxa"/>
            <w:shd w:val="clear" w:color="auto" w:fill="1F4E78"/>
          </w:tcPr>
          <w:p>
            <w:pPr>
              <w:spacing w:after="0" w:before="0"/>
            </w:pPr>
            <w:r/>
            <w:r>
              <w:rPr>
                <w:rFonts w:ascii="Arial" w:hAnsi="Arial" w:cs="Arial"/>
                <w:b/>
                <w:color w:val="FFFFFF"/>
                <w:sz w:val="17"/>
              </w:rPr>
              <w:t>Criterion</w:t>
            </w:r>
          </w:p>
        </w:tc>
        <w:tc>
          <w:tcPr>
            <w:tcW w:w="1100" w:type="dxa"/>
            <w:shd w:val="clear" w:color="auto" w:fill="1F4E78"/>
          </w:tcPr>
          <w:p>
            <w:pPr>
              <w:spacing w:after="0" w:before="0"/>
            </w:pPr>
            <w:r/>
            <w:r>
              <w:rPr>
                <w:rFonts w:ascii="Arial" w:hAnsi="Arial" w:cs="Arial"/>
                <w:b/>
                <w:color w:val="FFFFFF"/>
                <w:sz w:val="17"/>
              </w:rPr>
              <w:t>Weight</w:t>
            </w:r>
          </w:p>
        </w:tc>
        <w:tc>
          <w:tcPr>
            <w:tcW w:w="2560" w:type="dxa"/>
            <w:shd w:val="clear" w:color="auto" w:fill="1F4E78"/>
          </w:tcPr>
          <w:p>
            <w:pPr>
              <w:spacing w:after="0" w:before="0"/>
            </w:pPr>
            <w:r/>
            <w:r>
              <w:rPr>
                <w:rFonts w:ascii="Arial" w:hAnsi="Arial" w:cs="Arial"/>
                <w:b/>
                <w:color w:val="FFFFFF"/>
                <w:sz w:val="17"/>
              </w:rPr>
              <w:t>Build (custom)</w:t>
            </w:r>
          </w:p>
        </w:tc>
        <w:tc>
          <w:tcPr>
            <w:tcW w:w="2600" w:type="dxa"/>
            <w:shd w:val="clear" w:color="auto" w:fill="1F4E78"/>
          </w:tcPr>
          <w:p>
            <w:pPr>
              <w:spacing w:after="0" w:before="0"/>
            </w:pPr>
            <w:r/>
            <w:r>
              <w:rPr>
                <w:rFonts w:ascii="Arial" w:hAnsi="Arial" w:cs="Arial"/>
                <w:b/>
                <w:color w:val="FFFFFF"/>
                <w:sz w:val="17"/>
              </w:rPr>
              <w:t>Buy (COTS LMS)</w:t>
            </w:r>
          </w:p>
        </w:tc>
      </w:tr>
      <w:tr>
        <w:tc>
          <w:tcPr>
            <w:tcW w:w="3100" w:type="dxa"/>
          </w:tcPr>
          <w:p>
            <w:pPr>
              <w:spacing w:after="0" w:before="0"/>
            </w:pPr>
            <w:r/>
            <w:r>
              <w:rPr>
                <w:rFonts w:ascii="Arial" w:hAnsi="Arial" w:cs="Arial"/>
                <w:b w:val="0"/>
                <w:sz w:val="17"/>
              </w:rPr>
              <w:t>Fit to multi-product / config engine</w:t>
            </w:r>
          </w:p>
        </w:tc>
        <w:tc>
          <w:tcPr>
            <w:tcW w:w="1100" w:type="dxa"/>
          </w:tcPr>
          <w:p>
            <w:pPr>
              <w:spacing w:after="0" w:before="0"/>
            </w:pPr>
            <w:r/>
            <w:r>
              <w:rPr>
                <w:rFonts w:ascii="Arial" w:hAnsi="Arial" w:cs="Arial"/>
                <w:b w:val="0"/>
                <w:sz w:val="17"/>
              </w:rPr>
              <w:t>20%</w:t>
            </w:r>
          </w:p>
        </w:tc>
        <w:tc>
          <w:tcPr>
            <w:tcW w:w="2560" w:type="dxa"/>
          </w:tcPr>
          <w:p>
            <w:pPr>
              <w:spacing w:after="0" w:before="0"/>
            </w:pPr>
            <w:r/>
            <w:r>
              <w:rPr>
                <w:rFonts w:ascii="Arial" w:hAnsi="Arial" w:cs="Arial"/>
                <w:b w:val="0"/>
                <w:sz w:val="17"/>
              </w:rPr>
              <w:t>High (tailored)</w:t>
            </w:r>
          </w:p>
        </w:tc>
        <w:tc>
          <w:tcPr>
            <w:tcW w:w="2600" w:type="dxa"/>
          </w:tcPr>
          <w:p>
            <w:pPr>
              <w:spacing w:after="0" w:before="0"/>
            </w:pPr>
            <w:r/>
            <w:r>
              <w:rPr>
                <w:rFonts w:ascii="Arial" w:hAnsi="Arial" w:cs="Arial"/>
                <w:b w:val="0"/>
                <w:sz w:val="17"/>
              </w:rPr>
              <w:t>Medium–High</w:t>
            </w:r>
          </w:p>
        </w:tc>
      </w:tr>
      <w:tr>
        <w:tc>
          <w:tcPr>
            <w:tcW w:w="3100" w:type="dxa"/>
          </w:tcPr>
          <w:p>
            <w:pPr>
              <w:spacing w:after="0" w:before="0"/>
            </w:pPr>
            <w:r/>
            <w:r>
              <w:rPr>
                <w:rFonts w:ascii="Arial" w:hAnsi="Arial" w:cs="Arial"/>
                <w:b w:val="0"/>
                <w:sz w:val="17"/>
              </w:rPr>
              <w:t>Time-to-market</w:t>
            </w:r>
          </w:p>
        </w:tc>
        <w:tc>
          <w:tcPr>
            <w:tcW w:w="1100" w:type="dxa"/>
          </w:tcPr>
          <w:p>
            <w:pPr>
              <w:spacing w:after="0" w:before="0"/>
            </w:pPr>
            <w:r/>
            <w:r>
              <w:rPr>
                <w:rFonts w:ascii="Arial" w:hAnsi="Arial" w:cs="Arial"/>
                <w:b w:val="0"/>
                <w:sz w:val="17"/>
              </w:rPr>
              <w:t>15%</w:t>
            </w:r>
          </w:p>
        </w:tc>
        <w:tc>
          <w:tcPr>
            <w:tcW w:w="2560" w:type="dxa"/>
          </w:tcPr>
          <w:p>
            <w:pPr>
              <w:spacing w:after="0" w:before="0"/>
            </w:pPr>
            <w:r/>
            <w:r>
              <w:rPr>
                <w:rFonts w:ascii="Arial" w:hAnsi="Arial" w:cs="Arial"/>
                <w:b w:val="0"/>
                <w:sz w:val="17"/>
              </w:rPr>
              <w:t>Slower</w:t>
            </w:r>
          </w:p>
        </w:tc>
        <w:tc>
          <w:tcPr>
            <w:tcW w:w="2600" w:type="dxa"/>
          </w:tcPr>
          <w:p>
            <w:pPr>
              <w:spacing w:after="0" w:before="0"/>
            </w:pPr>
            <w:r/>
            <w:r>
              <w:rPr>
                <w:rFonts w:ascii="Arial" w:hAnsi="Arial" w:cs="Arial"/>
                <w:b w:val="0"/>
                <w:sz w:val="17"/>
              </w:rPr>
              <w:t>Faster</w:t>
            </w:r>
          </w:p>
        </w:tc>
      </w:tr>
      <w:tr>
        <w:tc>
          <w:tcPr>
            <w:tcW w:w="3100" w:type="dxa"/>
          </w:tcPr>
          <w:p>
            <w:pPr>
              <w:spacing w:after="0" w:before="0"/>
            </w:pPr>
            <w:r/>
            <w:r>
              <w:rPr>
                <w:rFonts w:ascii="Arial" w:hAnsi="Arial" w:cs="Arial"/>
                <w:b w:val="0"/>
                <w:sz w:val="17"/>
              </w:rPr>
              <w:t>RBI/CIC reporting coverage out-of-box</w:t>
            </w:r>
          </w:p>
        </w:tc>
        <w:tc>
          <w:tcPr>
            <w:tcW w:w="1100" w:type="dxa"/>
          </w:tcPr>
          <w:p>
            <w:pPr>
              <w:spacing w:after="0" w:before="0"/>
            </w:pPr>
            <w:r/>
            <w:r>
              <w:rPr>
                <w:rFonts w:ascii="Arial" w:hAnsi="Arial" w:cs="Arial"/>
                <w:b w:val="0"/>
                <w:sz w:val="17"/>
              </w:rPr>
              <w:t>15%</w:t>
            </w:r>
          </w:p>
        </w:tc>
        <w:tc>
          <w:tcPr>
            <w:tcW w:w="2560" w:type="dxa"/>
          </w:tcPr>
          <w:p>
            <w:pPr>
              <w:spacing w:after="0" w:before="0"/>
            </w:pPr>
            <w:r/>
            <w:r>
              <w:rPr>
                <w:rFonts w:ascii="Arial" w:hAnsi="Arial" w:cs="Arial"/>
                <w:b w:val="0"/>
                <w:sz w:val="17"/>
              </w:rPr>
              <w:t>Build required</w:t>
            </w:r>
          </w:p>
        </w:tc>
        <w:tc>
          <w:tcPr>
            <w:tcW w:w="2600" w:type="dxa"/>
          </w:tcPr>
          <w:p>
            <w:pPr>
              <w:spacing w:after="0" w:before="0"/>
            </w:pPr>
            <w:r/>
            <w:r>
              <w:rPr>
                <w:rFonts w:ascii="Arial" w:hAnsi="Arial" w:cs="Arial"/>
                <w:b w:val="0"/>
                <w:sz w:val="17"/>
              </w:rPr>
              <w:t>Often included</w:t>
            </w:r>
          </w:p>
        </w:tc>
      </w:tr>
      <w:tr>
        <w:tc>
          <w:tcPr>
            <w:tcW w:w="3100" w:type="dxa"/>
          </w:tcPr>
          <w:p>
            <w:pPr>
              <w:spacing w:after="0" w:before="0"/>
            </w:pPr>
            <w:r/>
            <w:r>
              <w:rPr>
                <w:rFonts w:ascii="Arial" w:hAnsi="Arial" w:cs="Arial"/>
                <w:b w:val="0"/>
                <w:sz w:val="17"/>
              </w:rPr>
              <w:t>Total cost of ownership (5-yr)</w:t>
            </w:r>
          </w:p>
        </w:tc>
        <w:tc>
          <w:tcPr>
            <w:tcW w:w="1100" w:type="dxa"/>
          </w:tcPr>
          <w:p>
            <w:pPr>
              <w:spacing w:after="0" w:before="0"/>
            </w:pPr>
            <w:r/>
            <w:r>
              <w:rPr>
                <w:rFonts w:ascii="Arial" w:hAnsi="Arial" w:cs="Arial"/>
                <w:b w:val="0"/>
                <w:sz w:val="17"/>
              </w:rPr>
              <w:t>15%</w:t>
            </w:r>
          </w:p>
        </w:tc>
        <w:tc>
          <w:tcPr>
            <w:tcW w:w="2560" w:type="dxa"/>
          </w:tcPr>
          <w:p>
            <w:pPr>
              <w:spacing w:after="0" w:before="0"/>
            </w:pPr>
            <w:r/>
            <w:r>
              <w:rPr>
                <w:rFonts w:ascii="Arial" w:hAnsi="Arial" w:cs="Arial"/>
                <w:b w:val="0"/>
                <w:sz w:val="17"/>
              </w:rPr>
              <w:t>Higher build, lower licence</w:t>
            </w:r>
          </w:p>
        </w:tc>
        <w:tc>
          <w:tcPr>
            <w:tcW w:w="2600" w:type="dxa"/>
          </w:tcPr>
          <w:p>
            <w:pPr>
              <w:spacing w:after="0" w:before="0"/>
            </w:pPr>
            <w:r/>
            <w:r>
              <w:rPr>
                <w:rFonts w:ascii="Arial" w:hAnsi="Arial" w:cs="Arial"/>
                <w:b w:val="0"/>
                <w:sz w:val="17"/>
              </w:rPr>
              <w:t>Licence + customisation</w:t>
            </w:r>
          </w:p>
        </w:tc>
      </w:tr>
      <w:tr>
        <w:tc>
          <w:tcPr>
            <w:tcW w:w="3100" w:type="dxa"/>
          </w:tcPr>
          <w:p>
            <w:pPr>
              <w:spacing w:after="0" w:before="0"/>
            </w:pPr>
            <w:r/>
            <w:r>
              <w:rPr>
                <w:rFonts w:ascii="Arial" w:hAnsi="Arial" w:cs="Arial"/>
                <w:b w:val="0"/>
                <w:sz w:val="17"/>
              </w:rPr>
              <w:t>Flexibility / control / IP ownership</w:t>
            </w:r>
          </w:p>
        </w:tc>
        <w:tc>
          <w:tcPr>
            <w:tcW w:w="1100" w:type="dxa"/>
          </w:tcPr>
          <w:p>
            <w:pPr>
              <w:spacing w:after="0" w:before="0"/>
            </w:pPr>
            <w:r/>
            <w:r>
              <w:rPr>
                <w:rFonts w:ascii="Arial" w:hAnsi="Arial" w:cs="Arial"/>
                <w:b w:val="0"/>
                <w:sz w:val="17"/>
              </w:rPr>
              <w:t>15%</w:t>
            </w:r>
          </w:p>
        </w:tc>
        <w:tc>
          <w:tcPr>
            <w:tcW w:w="2560" w:type="dxa"/>
          </w:tcPr>
          <w:p>
            <w:pPr>
              <w:spacing w:after="0" w:before="0"/>
            </w:pPr>
            <w:r/>
            <w:r>
              <w:rPr>
                <w:rFonts w:ascii="Arial" w:hAnsi="Arial" w:cs="Arial"/>
                <w:b w:val="0"/>
                <w:sz w:val="17"/>
              </w:rPr>
              <w:t>High</w:t>
            </w:r>
          </w:p>
        </w:tc>
        <w:tc>
          <w:tcPr>
            <w:tcW w:w="2600" w:type="dxa"/>
          </w:tcPr>
          <w:p>
            <w:pPr>
              <w:spacing w:after="0" w:before="0"/>
            </w:pPr>
            <w:r/>
            <w:r>
              <w:rPr>
                <w:rFonts w:ascii="Arial" w:hAnsi="Arial" w:cs="Arial"/>
                <w:b w:val="0"/>
                <w:sz w:val="17"/>
              </w:rPr>
              <w:t>Vendor-dependent</w:t>
            </w:r>
          </w:p>
        </w:tc>
      </w:tr>
      <w:tr>
        <w:tc>
          <w:tcPr>
            <w:tcW w:w="3100" w:type="dxa"/>
          </w:tcPr>
          <w:p>
            <w:pPr>
              <w:spacing w:after="0" w:before="0"/>
            </w:pPr>
            <w:r/>
            <w:r>
              <w:rPr>
                <w:rFonts w:ascii="Arial" w:hAnsi="Arial" w:cs="Arial"/>
                <w:b w:val="0"/>
                <w:sz w:val="17"/>
              </w:rPr>
              <w:t>Vendor risk / lock-in</w:t>
            </w:r>
          </w:p>
        </w:tc>
        <w:tc>
          <w:tcPr>
            <w:tcW w:w="1100" w:type="dxa"/>
          </w:tcPr>
          <w:p>
            <w:pPr>
              <w:spacing w:after="0" w:before="0"/>
            </w:pPr>
            <w:r/>
            <w:r>
              <w:rPr>
                <w:rFonts w:ascii="Arial" w:hAnsi="Arial" w:cs="Arial"/>
                <w:b w:val="0"/>
                <w:sz w:val="17"/>
              </w:rPr>
              <w:t>10%</w:t>
            </w:r>
          </w:p>
        </w:tc>
        <w:tc>
          <w:tcPr>
            <w:tcW w:w="2560" w:type="dxa"/>
          </w:tcPr>
          <w:p>
            <w:pPr>
              <w:spacing w:after="0" w:before="0"/>
            </w:pPr>
            <w:r/>
            <w:r>
              <w:rPr>
                <w:rFonts w:ascii="Arial" w:hAnsi="Arial" w:cs="Arial"/>
                <w:b w:val="0"/>
                <w:sz w:val="17"/>
              </w:rPr>
              <w:t>None</w:t>
            </w:r>
          </w:p>
        </w:tc>
        <w:tc>
          <w:tcPr>
            <w:tcW w:w="2600" w:type="dxa"/>
          </w:tcPr>
          <w:p>
            <w:pPr>
              <w:spacing w:after="0" w:before="0"/>
            </w:pPr>
            <w:r/>
            <w:r>
              <w:rPr>
                <w:rFonts w:ascii="Arial" w:hAnsi="Arial" w:cs="Arial"/>
                <w:b w:val="0"/>
                <w:sz w:val="17"/>
              </w:rPr>
              <w:t>Present (mitigate via escrow, §61)</w:t>
            </w:r>
          </w:p>
        </w:tc>
      </w:tr>
      <w:tr>
        <w:tc>
          <w:tcPr>
            <w:tcW w:w="3100" w:type="dxa"/>
          </w:tcPr>
          <w:p>
            <w:pPr>
              <w:spacing w:after="0" w:before="0"/>
            </w:pPr>
            <w:r/>
            <w:r>
              <w:rPr>
                <w:rFonts w:ascii="Arial" w:hAnsi="Arial" w:cs="Arial"/>
                <w:b w:val="0"/>
                <w:sz w:val="17"/>
              </w:rPr>
              <w:t>Talent &amp; maintainability</w:t>
            </w:r>
          </w:p>
        </w:tc>
        <w:tc>
          <w:tcPr>
            <w:tcW w:w="1100" w:type="dxa"/>
          </w:tcPr>
          <w:p>
            <w:pPr>
              <w:spacing w:after="0" w:before="0"/>
            </w:pPr>
            <w:r/>
            <w:r>
              <w:rPr>
                <w:rFonts w:ascii="Arial" w:hAnsi="Arial" w:cs="Arial"/>
                <w:b w:val="0"/>
                <w:sz w:val="17"/>
              </w:rPr>
              <w:t>10%</w:t>
            </w:r>
          </w:p>
        </w:tc>
        <w:tc>
          <w:tcPr>
            <w:tcW w:w="2560" w:type="dxa"/>
          </w:tcPr>
          <w:p>
            <w:pPr>
              <w:spacing w:after="0" w:before="0"/>
            </w:pPr>
            <w:r/>
            <w:r>
              <w:rPr>
                <w:rFonts w:ascii="Arial" w:hAnsi="Arial" w:cs="Arial"/>
                <w:b w:val="0"/>
                <w:sz w:val="17"/>
              </w:rPr>
              <w:t>In-house skill needed</w:t>
            </w:r>
          </w:p>
        </w:tc>
        <w:tc>
          <w:tcPr>
            <w:tcW w:w="2600" w:type="dxa"/>
          </w:tcPr>
          <w:p>
            <w:pPr>
              <w:spacing w:after="0" w:before="0"/>
            </w:pPr>
            <w:r/>
            <w:r>
              <w:rPr>
                <w:rFonts w:ascii="Arial" w:hAnsi="Arial" w:cs="Arial"/>
                <w:b w:val="0"/>
                <w:sz w:val="17"/>
              </w:rPr>
              <w:t>Vendor + partner ecosystem</w:t>
            </w:r>
          </w:p>
        </w:tc>
      </w:tr>
    </w:tbl>
    <w:p/>
    <w:p>
      <w:r>
        <w:rPr>
          <w:rFonts w:ascii="Arial" w:hAnsi="Arial" w:cs="Arial"/>
          <w:b w:val="0"/>
          <w:i w:val="0"/>
          <w:sz w:val="22"/>
        </w:rPr>
        <w:t>Representative COTS options for an Indian NBFC include Nucleus FinnOne Neo, TCS BaNCS, Oracle FLEXCUBE, and newer platforms such as Lentra, Jocata and Finflux. A hybrid path — COTS core with custom digital-origination and analytics layers — is common. The recommendation should follow a scored RFP against these criteria.</w:t>
      </w:r>
    </w:p>
    <w:p>
      <w:pPr>
        <w:pStyle w:val="Heading1"/>
      </w:pPr>
      <w:r>
        <w:t>53. Target Operating Model (TOM)</w:t>
      </w:r>
    </w:p>
    <w:p>
      <w:r>
        <w:rPr>
          <w:rFonts w:ascii="Arial" w:hAnsi="Arial" w:cs="Arial"/>
          <w:b w:val="0"/>
          <w:i w:val="0"/>
          <w:sz w:val="22"/>
        </w:rPr>
        <w:t>Technology is only one dimension; the TOM defines the people and process changes needed to run the platform.</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000"/>
        <w:gridCol w:w="7360"/>
      </w:tblGrid>
      <w:tr>
        <w:tc>
          <w:tcPr>
            <w:tcW w:w="2000" w:type="dxa"/>
            <w:shd w:val="clear" w:color="auto" w:fill="1F4E78"/>
          </w:tcPr>
          <w:p>
            <w:pPr>
              <w:spacing w:after="0" w:before="0"/>
            </w:pPr>
            <w:r/>
            <w:r>
              <w:rPr>
                <w:rFonts w:ascii="Arial" w:hAnsi="Arial" w:cs="Arial"/>
                <w:b/>
                <w:color w:val="FFFFFF"/>
                <w:sz w:val="17"/>
              </w:rPr>
              <w:t>Dimension</w:t>
            </w:r>
          </w:p>
        </w:tc>
        <w:tc>
          <w:tcPr>
            <w:tcW w:w="7360" w:type="dxa"/>
            <w:shd w:val="clear" w:color="auto" w:fill="1F4E78"/>
          </w:tcPr>
          <w:p>
            <w:pPr>
              <w:spacing w:after="0" w:before="0"/>
            </w:pPr>
            <w:r/>
            <w:r>
              <w:rPr>
                <w:rFonts w:ascii="Arial" w:hAnsi="Arial" w:cs="Arial"/>
                <w:b/>
                <w:color w:val="FFFFFF"/>
                <w:sz w:val="17"/>
              </w:rPr>
              <w:t>Target state</w:t>
            </w:r>
          </w:p>
        </w:tc>
      </w:tr>
      <w:tr>
        <w:tc>
          <w:tcPr>
            <w:tcW w:w="2000" w:type="dxa"/>
          </w:tcPr>
          <w:p>
            <w:pPr>
              <w:spacing w:after="0" w:before="0"/>
            </w:pPr>
            <w:r/>
            <w:r>
              <w:rPr>
                <w:rFonts w:ascii="Arial" w:hAnsi="Arial" w:cs="Arial"/>
                <w:b w:val="0"/>
                <w:sz w:val="17"/>
              </w:rPr>
              <w:t>Process</w:t>
            </w:r>
          </w:p>
        </w:tc>
        <w:tc>
          <w:tcPr>
            <w:tcW w:w="7360" w:type="dxa"/>
          </w:tcPr>
          <w:p>
            <w:pPr>
              <w:spacing w:after="0" w:before="0"/>
            </w:pPr>
            <w:r/>
            <w:r>
              <w:rPr>
                <w:rFonts w:ascii="Arial" w:hAnsi="Arial" w:cs="Arial"/>
                <w:b w:val="0"/>
                <w:sz w:val="17"/>
              </w:rPr>
              <w:t>L0–L3 process taxonomy for origination, servicing, collections, close, reporting; documented SOPs and RACI</w:t>
            </w:r>
          </w:p>
        </w:tc>
      </w:tr>
      <w:tr>
        <w:tc>
          <w:tcPr>
            <w:tcW w:w="2000" w:type="dxa"/>
          </w:tcPr>
          <w:p>
            <w:pPr>
              <w:spacing w:after="0" w:before="0"/>
            </w:pPr>
            <w:r/>
            <w:r>
              <w:rPr>
                <w:rFonts w:ascii="Arial" w:hAnsi="Arial" w:cs="Arial"/>
                <w:b w:val="0"/>
                <w:sz w:val="17"/>
              </w:rPr>
              <w:t>Organisation</w:t>
            </w:r>
          </w:p>
        </w:tc>
        <w:tc>
          <w:tcPr>
            <w:tcW w:w="7360" w:type="dxa"/>
          </w:tcPr>
          <w:p>
            <w:pPr>
              <w:spacing w:after="0" w:before="0"/>
            </w:pPr>
            <w:r/>
            <w:r>
              <w:rPr>
                <w:rFonts w:ascii="Arial" w:hAnsi="Arial" w:cs="Arial"/>
                <w:b w:val="0"/>
                <w:sz w:val="17"/>
              </w:rPr>
              <w:t>Clear ownership: Product Config (Ops), Credit, Servicing, Collections, Finance/GL, Compliance, IT/CISO, Data</w:t>
            </w:r>
          </w:p>
        </w:tc>
      </w:tr>
      <w:tr>
        <w:tc>
          <w:tcPr>
            <w:tcW w:w="2000" w:type="dxa"/>
          </w:tcPr>
          <w:p>
            <w:pPr>
              <w:spacing w:after="0" w:before="0"/>
            </w:pPr>
            <w:r/>
            <w:r>
              <w:rPr>
                <w:rFonts w:ascii="Arial" w:hAnsi="Arial" w:cs="Arial"/>
                <w:b w:val="0"/>
                <w:sz w:val="17"/>
              </w:rPr>
              <w:t>Governance</w:t>
            </w:r>
          </w:p>
        </w:tc>
        <w:tc>
          <w:tcPr>
            <w:tcW w:w="7360" w:type="dxa"/>
          </w:tcPr>
          <w:p>
            <w:pPr>
              <w:spacing w:after="0" w:before="0"/>
            </w:pPr>
            <w:r/>
            <w:r>
              <w:rPr>
                <w:rFonts w:ascii="Arial" w:hAnsi="Arial" w:cs="Arial"/>
                <w:b w:val="0"/>
                <w:sz w:val="17"/>
              </w:rPr>
              <w:t>Three lines of defence; model governance (§66); change advisory board (§42)</w:t>
            </w:r>
          </w:p>
        </w:tc>
      </w:tr>
      <w:tr>
        <w:tc>
          <w:tcPr>
            <w:tcW w:w="2000" w:type="dxa"/>
          </w:tcPr>
          <w:p>
            <w:pPr>
              <w:spacing w:after="0" w:before="0"/>
            </w:pPr>
            <w:r/>
            <w:r>
              <w:rPr>
                <w:rFonts w:ascii="Arial" w:hAnsi="Arial" w:cs="Arial"/>
                <w:b w:val="0"/>
                <w:sz w:val="17"/>
              </w:rPr>
              <w:t>Technology</w:t>
            </w:r>
          </w:p>
        </w:tc>
        <w:tc>
          <w:tcPr>
            <w:tcW w:w="7360" w:type="dxa"/>
          </w:tcPr>
          <w:p>
            <w:pPr>
              <w:spacing w:after="0" w:before="0"/>
            </w:pPr>
            <w:r/>
            <w:r>
              <w:rPr>
                <w:rFonts w:ascii="Arial" w:hAnsi="Arial" w:cs="Arial"/>
                <w:b w:val="0"/>
                <w:sz w:val="17"/>
              </w:rPr>
              <w:t>Platform per Sections 1, 15, 27</w:t>
            </w:r>
          </w:p>
        </w:tc>
      </w:tr>
      <w:tr>
        <w:tc>
          <w:tcPr>
            <w:tcW w:w="2000" w:type="dxa"/>
          </w:tcPr>
          <w:p>
            <w:pPr>
              <w:spacing w:after="0" w:before="0"/>
            </w:pPr>
            <w:r/>
            <w:r>
              <w:rPr>
                <w:rFonts w:ascii="Arial" w:hAnsi="Arial" w:cs="Arial"/>
                <w:b w:val="0"/>
                <w:sz w:val="17"/>
              </w:rPr>
              <w:t>Data</w:t>
            </w:r>
          </w:p>
        </w:tc>
        <w:tc>
          <w:tcPr>
            <w:tcW w:w="7360" w:type="dxa"/>
          </w:tcPr>
          <w:p>
            <w:pPr>
              <w:spacing w:after="0" w:before="0"/>
            </w:pPr>
            <w:r/>
            <w:r>
              <w:rPr>
                <w:rFonts w:ascii="Arial" w:hAnsi="Arial" w:cs="Arial"/>
                <w:b w:val="0"/>
                <w:sz w:val="17"/>
              </w:rPr>
              <w:t>Data ownership/stewardship, golden customer record, DQ framework (§67)</w:t>
            </w:r>
          </w:p>
        </w:tc>
      </w:tr>
      <w:tr>
        <w:tc>
          <w:tcPr>
            <w:tcW w:w="2000" w:type="dxa"/>
          </w:tcPr>
          <w:p>
            <w:pPr>
              <w:spacing w:after="0" w:before="0"/>
            </w:pPr>
            <w:r/>
            <w:r>
              <w:rPr>
                <w:rFonts w:ascii="Arial" w:hAnsi="Arial" w:cs="Arial"/>
                <w:b w:val="0"/>
                <w:sz w:val="17"/>
              </w:rPr>
              <w:t>Sourcing</w:t>
            </w:r>
          </w:p>
        </w:tc>
        <w:tc>
          <w:tcPr>
            <w:tcW w:w="7360" w:type="dxa"/>
          </w:tcPr>
          <w:p>
            <w:pPr>
              <w:spacing w:after="0" w:before="0"/>
            </w:pPr>
            <w:r/>
            <w:r>
              <w:rPr>
                <w:rFonts w:ascii="Arial" w:hAnsi="Arial" w:cs="Arial"/>
                <w:b w:val="0"/>
                <w:sz w:val="17"/>
              </w:rPr>
              <w:t>LSP/DSA, recovery agencies, valuers/advocates governed via Vendor Master (§21, §61)</w:t>
            </w:r>
          </w:p>
        </w:tc>
      </w:tr>
    </w:tbl>
    <w:p/>
    <w:p>
      <w:pPr>
        <w:pStyle w:val="Heading1"/>
      </w:pPr>
      <w:r>
        <w:t>54. Implementation Roadmap, WBS &amp; Programme Governance</w:t>
      </w:r>
    </w:p>
    <w:p>
      <w:pPr>
        <w:jc w:val="center"/>
      </w:pPr>
      <w:r>
        <w:drawing>
          <wp:inline xmlns:a="http://schemas.openxmlformats.org/drawingml/2006/main" xmlns:pic="http://schemas.openxmlformats.org/drawingml/2006/picture">
            <wp:extent cx="6309360" cy="3192486"/>
            <wp:docPr id="13" name="Picture 13"/>
            <wp:cNvGraphicFramePr>
              <a:graphicFrameLocks noChangeAspect="1"/>
            </wp:cNvGraphicFramePr>
            <a:graphic>
              <a:graphicData uri="http://schemas.openxmlformats.org/drawingml/2006/picture">
                <pic:pic>
                  <pic:nvPicPr>
                    <pic:cNvPr id="0" name="d11_roadmap.png"/>
                    <pic:cNvPicPr/>
                  </pic:nvPicPr>
                  <pic:blipFill>
                    <a:blip r:embed="rId25"/>
                    <a:stretch>
                      <a:fillRect/>
                    </a:stretch>
                  </pic:blipFill>
                  <pic:spPr>
                    <a:xfrm>
                      <a:off x="0" y="0"/>
                      <a:ext cx="6309360" cy="3192486"/>
                    </a:xfrm>
                    <a:prstGeom prst="rect"/>
                  </pic:spPr>
                </pic:pic>
              </a:graphicData>
            </a:graphic>
          </wp:inline>
        </w:drawing>
      </w:r>
    </w:p>
    <w:p>
      <w:pPr>
        <w:jc w:val="center"/>
      </w:pPr>
      <w:r>
        <w:rPr>
          <w:rFonts w:ascii="Arial" w:hAnsi="Arial" w:cs="Arial"/>
          <w:i/>
          <w:color w:val="404040"/>
          <w:sz w:val="18"/>
        </w:rPr>
        <w:t>Figure 54.1 — Indicative phased roadmap (illustrative ~24-month programme; confirm in planning).</w:t>
      </w:r>
    </w:p>
    <w:p>
      <w:pPr>
        <w:pStyle w:val="Heading2"/>
      </w:pPr>
      <w:r>
        <w:t>54.1 Work Breakdown (phase level)</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800"/>
        <w:gridCol w:w="4400"/>
        <w:gridCol w:w="3160"/>
      </w:tblGrid>
      <w:tr>
        <w:tc>
          <w:tcPr>
            <w:tcW w:w="1800" w:type="dxa"/>
            <w:shd w:val="clear" w:color="auto" w:fill="1F4E78"/>
          </w:tcPr>
          <w:p>
            <w:pPr>
              <w:spacing w:after="0" w:before="0"/>
            </w:pPr>
            <w:r/>
            <w:r>
              <w:rPr>
                <w:rFonts w:ascii="Arial" w:hAnsi="Arial" w:cs="Arial"/>
                <w:b/>
                <w:color w:val="FFFFFF"/>
                <w:sz w:val="17"/>
              </w:rPr>
              <w:t>Phase</w:t>
            </w:r>
          </w:p>
        </w:tc>
        <w:tc>
          <w:tcPr>
            <w:tcW w:w="4400" w:type="dxa"/>
            <w:shd w:val="clear" w:color="auto" w:fill="1F4E78"/>
          </w:tcPr>
          <w:p>
            <w:pPr>
              <w:spacing w:after="0" w:before="0"/>
            </w:pPr>
            <w:r/>
            <w:r>
              <w:rPr>
                <w:rFonts w:ascii="Arial" w:hAnsi="Arial" w:cs="Arial"/>
                <w:b/>
                <w:color w:val="FFFFFF"/>
                <w:sz w:val="17"/>
              </w:rPr>
              <w:t>Key work packages</w:t>
            </w:r>
          </w:p>
        </w:tc>
        <w:tc>
          <w:tcPr>
            <w:tcW w:w="3160" w:type="dxa"/>
            <w:shd w:val="clear" w:color="auto" w:fill="1F4E78"/>
          </w:tcPr>
          <w:p>
            <w:pPr>
              <w:spacing w:after="0" w:before="0"/>
            </w:pPr>
            <w:r/>
            <w:r>
              <w:rPr>
                <w:rFonts w:ascii="Arial" w:hAnsi="Arial" w:cs="Arial"/>
                <w:b/>
                <w:color w:val="FFFFFF"/>
                <w:sz w:val="17"/>
              </w:rPr>
              <w:t>Exit criteria</w:t>
            </w:r>
          </w:p>
        </w:tc>
      </w:tr>
      <w:tr>
        <w:tc>
          <w:tcPr>
            <w:tcW w:w="1800" w:type="dxa"/>
          </w:tcPr>
          <w:p>
            <w:pPr>
              <w:spacing w:after="0" w:before="0"/>
            </w:pPr>
            <w:r/>
            <w:r>
              <w:rPr>
                <w:rFonts w:ascii="Arial" w:hAnsi="Arial" w:cs="Arial"/>
                <w:b w:val="0"/>
                <w:sz w:val="17"/>
              </w:rPr>
              <w:t>Mobilise &amp; design</w:t>
            </w:r>
          </w:p>
        </w:tc>
        <w:tc>
          <w:tcPr>
            <w:tcW w:w="4400" w:type="dxa"/>
          </w:tcPr>
          <w:p>
            <w:pPr>
              <w:spacing w:after="0" w:before="0"/>
            </w:pPr>
            <w:r/>
            <w:r>
              <w:rPr>
                <w:rFonts w:ascii="Arial" w:hAnsi="Arial" w:cs="Arial"/>
                <w:b w:val="0"/>
                <w:sz w:val="17"/>
              </w:rPr>
              <w:t>Detailed design, environments, IaC, data-model sign-off</w:t>
            </w:r>
          </w:p>
        </w:tc>
        <w:tc>
          <w:tcPr>
            <w:tcW w:w="3160" w:type="dxa"/>
          </w:tcPr>
          <w:p>
            <w:pPr>
              <w:spacing w:after="0" w:before="0"/>
            </w:pPr>
            <w:r/>
            <w:r>
              <w:rPr>
                <w:rFonts w:ascii="Arial" w:hAnsi="Arial" w:cs="Arial"/>
                <w:b w:val="0"/>
                <w:sz w:val="17"/>
              </w:rPr>
              <w:t>Design baselined</w:t>
            </w:r>
          </w:p>
        </w:tc>
      </w:tr>
      <w:tr>
        <w:tc>
          <w:tcPr>
            <w:tcW w:w="1800" w:type="dxa"/>
          </w:tcPr>
          <w:p>
            <w:pPr>
              <w:spacing w:after="0" w:before="0"/>
            </w:pPr>
            <w:r/>
            <w:r>
              <w:rPr>
                <w:rFonts w:ascii="Arial" w:hAnsi="Arial" w:cs="Arial"/>
                <w:b w:val="0"/>
                <w:sz w:val="17"/>
              </w:rPr>
              <w:t>Foundation</w:t>
            </w:r>
          </w:p>
        </w:tc>
        <w:tc>
          <w:tcPr>
            <w:tcW w:w="4400" w:type="dxa"/>
          </w:tcPr>
          <w:p>
            <w:pPr>
              <w:spacing w:after="0" w:before="0"/>
            </w:pPr>
            <w:r/>
            <w:r>
              <w:rPr>
                <w:rFonts w:ascii="Arial" w:hAnsi="Arial" w:cs="Arial"/>
                <w:b w:val="0"/>
                <w:sz w:val="17"/>
              </w:rPr>
              <w:t>Core, Party/KYC, Product Config, GL</w:t>
            </w:r>
          </w:p>
        </w:tc>
        <w:tc>
          <w:tcPr>
            <w:tcW w:w="3160" w:type="dxa"/>
          </w:tcPr>
          <w:p>
            <w:pPr>
              <w:spacing w:after="0" w:before="0"/>
            </w:pPr>
            <w:r/>
            <w:r>
              <w:rPr>
                <w:rFonts w:ascii="Arial" w:hAnsi="Arial" w:cs="Arial"/>
                <w:b w:val="0"/>
                <w:sz w:val="17"/>
              </w:rPr>
              <w:t>Backbone in QA</w:t>
            </w:r>
          </w:p>
        </w:tc>
      </w:tr>
      <w:tr>
        <w:tc>
          <w:tcPr>
            <w:tcW w:w="1800" w:type="dxa"/>
          </w:tcPr>
          <w:p>
            <w:pPr>
              <w:spacing w:after="0" w:before="0"/>
            </w:pPr>
            <w:r/>
            <w:r>
              <w:rPr>
                <w:rFonts w:ascii="Arial" w:hAnsi="Arial" w:cs="Arial"/>
                <w:b w:val="0"/>
                <w:sz w:val="17"/>
              </w:rPr>
              <w:t>Origination</w:t>
            </w:r>
          </w:p>
        </w:tc>
        <w:tc>
          <w:tcPr>
            <w:tcW w:w="4400" w:type="dxa"/>
          </w:tcPr>
          <w:p>
            <w:pPr>
              <w:spacing w:after="0" w:before="0"/>
            </w:pPr>
            <w:r/>
            <w:r>
              <w:rPr>
                <w:rFonts w:ascii="Arial" w:hAnsi="Arial" w:cs="Arial"/>
                <w:b w:val="0"/>
                <w:sz w:val="17"/>
              </w:rPr>
              <w:t>LOS, underwriting, bureau, KFS, e-sign</w:t>
            </w:r>
          </w:p>
        </w:tc>
        <w:tc>
          <w:tcPr>
            <w:tcW w:w="3160" w:type="dxa"/>
          </w:tcPr>
          <w:p>
            <w:pPr>
              <w:spacing w:after="0" w:before="0"/>
            </w:pPr>
            <w:r/>
            <w:r>
              <w:rPr>
                <w:rFonts w:ascii="Arial" w:hAnsi="Arial" w:cs="Arial"/>
                <w:b w:val="0"/>
                <w:sz w:val="17"/>
              </w:rPr>
              <w:t>Flagship products live in UAT</w:t>
            </w:r>
          </w:p>
        </w:tc>
      </w:tr>
      <w:tr>
        <w:tc>
          <w:tcPr>
            <w:tcW w:w="1800" w:type="dxa"/>
          </w:tcPr>
          <w:p>
            <w:pPr>
              <w:spacing w:after="0" w:before="0"/>
            </w:pPr>
            <w:r/>
            <w:r>
              <w:rPr>
                <w:rFonts w:ascii="Arial" w:hAnsi="Arial" w:cs="Arial"/>
                <w:b w:val="0"/>
                <w:sz w:val="17"/>
              </w:rPr>
              <w:t>Servicing &amp; accounting</w:t>
            </w:r>
          </w:p>
        </w:tc>
        <w:tc>
          <w:tcPr>
            <w:tcW w:w="4400" w:type="dxa"/>
          </w:tcPr>
          <w:p>
            <w:pPr>
              <w:spacing w:after="0" w:before="0"/>
            </w:pPr>
            <w:r/>
            <w:r>
              <w:rPr>
                <w:rFonts w:ascii="Arial" w:hAnsi="Arial" w:cs="Arial"/>
                <w:b w:val="0"/>
                <w:sz w:val="17"/>
              </w:rPr>
              <w:t>Calc engine, servicing, GL, provisioning</w:t>
            </w:r>
          </w:p>
        </w:tc>
        <w:tc>
          <w:tcPr>
            <w:tcW w:w="3160" w:type="dxa"/>
          </w:tcPr>
          <w:p>
            <w:pPr>
              <w:spacing w:after="0" w:before="0"/>
            </w:pPr>
            <w:r/>
            <w:r>
              <w:rPr>
                <w:rFonts w:ascii="Arial" w:hAnsi="Arial" w:cs="Arial"/>
                <w:b w:val="0"/>
                <w:sz w:val="17"/>
              </w:rPr>
              <w:t>Golden vectors pass; GL ties</w:t>
            </w:r>
          </w:p>
        </w:tc>
      </w:tr>
      <w:tr>
        <w:tc>
          <w:tcPr>
            <w:tcW w:w="1800" w:type="dxa"/>
          </w:tcPr>
          <w:p>
            <w:pPr>
              <w:spacing w:after="0" w:before="0"/>
            </w:pPr>
            <w:r/>
            <w:r>
              <w:rPr>
                <w:rFonts w:ascii="Arial" w:hAnsi="Arial" w:cs="Arial"/>
                <w:b w:val="0"/>
                <w:sz w:val="17"/>
              </w:rPr>
              <w:t>Collections &amp; reporting</w:t>
            </w:r>
          </w:p>
        </w:tc>
        <w:tc>
          <w:tcPr>
            <w:tcW w:w="4400" w:type="dxa"/>
          </w:tcPr>
          <w:p>
            <w:pPr>
              <w:spacing w:after="0" w:before="0"/>
            </w:pPr>
            <w:r/>
            <w:r>
              <w:rPr>
                <w:rFonts w:ascii="Arial" w:hAnsi="Arial" w:cs="Arial"/>
                <w:b w:val="0"/>
                <w:sz w:val="17"/>
              </w:rPr>
              <w:t>Collections, RBI returns, CIC</w:t>
            </w:r>
          </w:p>
        </w:tc>
        <w:tc>
          <w:tcPr>
            <w:tcW w:w="3160" w:type="dxa"/>
          </w:tcPr>
          <w:p>
            <w:pPr>
              <w:spacing w:after="0" w:before="0"/>
            </w:pPr>
            <w:r/>
            <w:r>
              <w:rPr>
                <w:rFonts w:ascii="Arial" w:hAnsi="Arial" w:cs="Arial"/>
                <w:b w:val="0"/>
                <w:sz w:val="17"/>
              </w:rPr>
              <w:t>Regulatory UAT pass</w:t>
            </w:r>
          </w:p>
        </w:tc>
      </w:tr>
      <w:tr>
        <w:tc>
          <w:tcPr>
            <w:tcW w:w="1800" w:type="dxa"/>
          </w:tcPr>
          <w:p>
            <w:pPr>
              <w:spacing w:after="0" w:before="0"/>
            </w:pPr>
            <w:r/>
            <w:r>
              <w:rPr>
                <w:rFonts w:ascii="Arial" w:hAnsi="Arial" w:cs="Arial"/>
                <w:b w:val="0"/>
                <w:sz w:val="17"/>
              </w:rPr>
              <w:t>Advanced &amp; go-live</w:t>
            </w:r>
          </w:p>
        </w:tc>
        <w:tc>
          <w:tcPr>
            <w:tcW w:w="4400" w:type="dxa"/>
          </w:tcPr>
          <w:p>
            <w:pPr>
              <w:spacing w:after="0" w:before="0"/>
            </w:pPr>
            <w:r/>
            <w:r>
              <w:rPr>
                <w:rFonts w:ascii="Arial" w:hAnsi="Arial" w:cs="Arial"/>
                <w:b w:val="0"/>
                <w:sz w:val="17"/>
              </w:rPr>
              <w:t>Co-lending, digital, migration, cutover</w:t>
            </w:r>
          </w:p>
        </w:tc>
        <w:tc>
          <w:tcPr>
            <w:tcW w:w="3160" w:type="dxa"/>
          </w:tcPr>
          <w:p>
            <w:pPr>
              <w:spacing w:after="0" w:before="0"/>
            </w:pPr>
            <w:r/>
            <w:r>
              <w:rPr>
                <w:rFonts w:ascii="Arial" w:hAnsi="Arial" w:cs="Arial"/>
                <w:b w:val="0"/>
                <w:sz w:val="17"/>
              </w:rPr>
              <w:t>Go-live readiness met (§58)</w:t>
            </w:r>
          </w:p>
        </w:tc>
      </w:tr>
    </w:tbl>
    <w:p/>
    <w:p>
      <w:pPr>
        <w:pStyle w:val="Heading2"/>
      </w:pPr>
      <w:r>
        <w:t>54.2 Programme Governance</w:t>
      </w:r>
    </w:p>
    <w:p>
      <w:pPr>
        <w:pStyle w:val="ListParagraph"/>
        <w:numPr>
          <w:ilvl w:val="0"/>
          <w:numId w:val="2"/>
        </w:numPr>
      </w:pPr>
      <w:r>
        <w:rPr>
          <w:rFonts w:ascii="Arial" w:hAnsi="Arial" w:cs="Arial"/>
          <w:sz w:val="22"/>
        </w:rPr>
        <w:t>Steering Committee (Board/CXO sponsor) for decisions and funding; monthly.</w:t>
      </w:r>
    </w:p>
    <w:p>
      <w:pPr>
        <w:pStyle w:val="ListParagraph"/>
        <w:numPr>
          <w:ilvl w:val="0"/>
          <w:numId w:val="2"/>
        </w:numPr>
      </w:pPr>
      <w:r>
        <w:rPr>
          <w:rFonts w:ascii="Arial" w:hAnsi="Arial" w:cs="Arial"/>
          <w:sz w:val="22"/>
        </w:rPr>
        <w:t>Programme Management Office (PMO) for plan, RAID (§55), status (programme status reporting), and change control.</w:t>
      </w:r>
    </w:p>
    <w:p>
      <w:pPr>
        <w:pStyle w:val="ListParagraph"/>
        <w:numPr>
          <w:ilvl w:val="0"/>
          <w:numId w:val="2"/>
        </w:numPr>
      </w:pPr>
      <w:r>
        <w:rPr>
          <w:rFonts w:ascii="Arial" w:hAnsi="Arial" w:cs="Arial"/>
          <w:sz w:val="22"/>
        </w:rPr>
        <w:t>Workstream leads (Product/Credit, Servicing/Finance, Collections/Compliance, Platform/IT, Data/Reporting, Change).</w:t>
      </w:r>
    </w:p>
    <w:p>
      <w:pPr>
        <w:pStyle w:val="ListParagraph"/>
        <w:numPr>
          <w:ilvl w:val="0"/>
          <w:numId w:val="2"/>
        </w:numPr>
      </w:pPr>
      <w:r>
        <w:rPr>
          <w:rFonts w:ascii="Arial" w:hAnsi="Arial" w:cs="Arial"/>
          <w:sz w:val="22"/>
        </w:rPr>
        <w:t>Design Authority / Architecture Review Board owning ADRs (§47.5) and non-functional compliance.</w:t>
      </w:r>
    </w:p>
    <w:p>
      <w:pPr>
        <w:pStyle w:val="Heading1"/>
      </w:pPr>
      <w:r>
        <w:t>55. RAID Log — Risks, Assumptions, Issues, Dependencies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200"/>
        <w:gridCol w:w="3100"/>
        <w:gridCol w:w="2100"/>
        <w:gridCol w:w="2960"/>
      </w:tblGrid>
      <w:tr>
        <w:tc>
          <w:tcPr>
            <w:tcW w:w="1200" w:type="dxa"/>
            <w:shd w:val="clear" w:color="auto" w:fill="1F4E78"/>
          </w:tcPr>
          <w:p>
            <w:pPr>
              <w:spacing w:after="0" w:before="0"/>
            </w:pPr>
            <w:r/>
            <w:r>
              <w:rPr>
                <w:rFonts w:ascii="Arial" w:hAnsi="Arial" w:cs="Arial"/>
                <w:b/>
                <w:color w:val="FFFFFF"/>
                <w:sz w:val="17"/>
              </w:rPr>
              <w:t>Type</w:t>
            </w:r>
          </w:p>
        </w:tc>
        <w:tc>
          <w:tcPr>
            <w:tcW w:w="3100" w:type="dxa"/>
            <w:shd w:val="clear" w:color="auto" w:fill="1F4E78"/>
          </w:tcPr>
          <w:p>
            <w:pPr>
              <w:spacing w:after="0" w:before="0"/>
            </w:pPr>
            <w:r/>
            <w:r>
              <w:rPr>
                <w:rFonts w:ascii="Arial" w:hAnsi="Arial" w:cs="Arial"/>
                <w:b/>
                <w:color w:val="FFFFFF"/>
                <w:sz w:val="17"/>
              </w:rPr>
              <w:t>Item</w:t>
            </w:r>
          </w:p>
        </w:tc>
        <w:tc>
          <w:tcPr>
            <w:tcW w:w="2100" w:type="dxa"/>
            <w:shd w:val="clear" w:color="auto" w:fill="1F4E78"/>
          </w:tcPr>
          <w:p>
            <w:pPr>
              <w:spacing w:after="0" w:before="0"/>
            </w:pPr>
            <w:r/>
            <w:r>
              <w:rPr>
                <w:rFonts w:ascii="Arial" w:hAnsi="Arial" w:cs="Arial"/>
                <w:b/>
                <w:color w:val="FFFFFF"/>
                <w:sz w:val="17"/>
              </w:rPr>
              <w:t>Impact</w:t>
            </w:r>
          </w:p>
        </w:tc>
        <w:tc>
          <w:tcPr>
            <w:tcW w:w="2960" w:type="dxa"/>
            <w:shd w:val="clear" w:color="auto" w:fill="1F4E78"/>
          </w:tcPr>
          <w:p>
            <w:pPr>
              <w:spacing w:after="0" w:before="0"/>
            </w:pPr>
            <w:r/>
            <w:r>
              <w:rPr>
                <w:rFonts w:ascii="Arial" w:hAnsi="Arial" w:cs="Arial"/>
                <w:b/>
                <w:color w:val="FFFFFF"/>
                <w:sz w:val="17"/>
              </w:rPr>
              <w:t>Response / owner</w:t>
            </w:r>
          </w:p>
        </w:tc>
      </w:tr>
      <w:tr>
        <w:tc>
          <w:tcPr>
            <w:tcW w:w="1200" w:type="dxa"/>
          </w:tcPr>
          <w:p>
            <w:pPr>
              <w:spacing w:after="0" w:before="0"/>
            </w:pPr>
            <w:r/>
            <w:r>
              <w:rPr>
                <w:rFonts w:ascii="Arial" w:hAnsi="Arial" w:cs="Arial"/>
                <w:b w:val="0"/>
                <w:sz w:val="17"/>
              </w:rPr>
              <w:t>Risk</w:t>
            </w:r>
          </w:p>
        </w:tc>
        <w:tc>
          <w:tcPr>
            <w:tcW w:w="3100" w:type="dxa"/>
          </w:tcPr>
          <w:p>
            <w:pPr>
              <w:spacing w:after="0" w:before="0"/>
            </w:pPr>
            <w:r/>
            <w:r>
              <w:rPr>
                <w:rFonts w:ascii="Arial" w:hAnsi="Arial" w:cs="Arial"/>
                <w:b w:val="0"/>
                <w:sz w:val="17"/>
              </w:rPr>
              <w:t>Regulatory formats change mid-build</w:t>
            </w:r>
          </w:p>
        </w:tc>
        <w:tc>
          <w:tcPr>
            <w:tcW w:w="2100" w:type="dxa"/>
          </w:tcPr>
          <w:p>
            <w:pPr>
              <w:spacing w:after="0" w:before="0"/>
            </w:pPr>
            <w:r/>
            <w:r>
              <w:rPr>
                <w:rFonts w:ascii="Arial" w:hAnsi="Arial" w:cs="Arial"/>
                <w:b w:val="0"/>
                <w:sz w:val="17"/>
              </w:rPr>
              <w:t>Rework of returns</w:t>
            </w:r>
          </w:p>
        </w:tc>
        <w:tc>
          <w:tcPr>
            <w:tcW w:w="2960" w:type="dxa"/>
          </w:tcPr>
          <w:p>
            <w:pPr>
              <w:spacing w:after="0" w:before="0"/>
            </w:pPr>
            <w:r/>
            <w:r>
              <w:rPr>
                <w:rFonts w:ascii="Arial" w:hAnsi="Arial" w:cs="Arial"/>
                <w:b w:val="0"/>
                <w:sz w:val="17"/>
              </w:rPr>
              <w:t>Configurable engine (§9); Compliance watch</w:t>
            </w:r>
          </w:p>
        </w:tc>
      </w:tr>
      <w:tr>
        <w:tc>
          <w:tcPr>
            <w:tcW w:w="1200" w:type="dxa"/>
          </w:tcPr>
          <w:p>
            <w:pPr>
              <w:spacing w:after="0" w:before="0"/>
            </w:pPr>
            <w:r/>
            <w:r>
              <w:rPr>
                <w:rFonts w:ascii="Arial" w:hAnsi="Arial" w:cs="Arial"/>
                <w:b w:val="0"/>
                <w:sz w:val="17"/>
              </w:rPr>
              <w:t>Risk</w:t>
            </w:r>
          </w:p>
        </w:tc>
        <w:tc>
          <w:tcPr>
            <w:tcW w:w="3100" w:type="dxa"/>
          </w:tcPr>
          <w:p>
            <w:pPr>
              <w:spacing w:after="0" w:before="0"/>
            </w:pPr>
            <w:r/>
            <w:r>
              <w:rPr>
                <w:rFonts w:ascii="Arial" w:hAnsi="Arial" w:cs="Arial"/>
                <w:b w:val="0"/>
                <w:sz w:val="17"/>
              </w:rPr>
              <w:t>Data-migration quality from legacy</w:t>
            </w:r>
          </w:p>
        </w:tc>
        <w:tc>
          <w:tcPr>
            <w:tcW w:w="2100" w:type="dxa"/>
          </w:tcPr>
          <w:p>
            <w:pPr>
              <w:spacing w:after="0" w:before="0"/>
            </w:pPr>
            <w:r/>
            <w:r>
              <w:rPr>
                <w:rFonts w:ascii="Arial" w:hAnsi="Arial" w:cs="Arial"/>
                <w:b w:val="0"/>
                <w:sz w:val="17"/>
              </w:rPr>
              <w:t>Wrong balances at cutover</w:t>
            </w:r>
          </w:p>
        </w:tc>
        <w:tc>
          <w:tcPr>
            <w:tcW w:w="2960" w:type="dxa"/>
          </w:tcPr>
          <w:p>
            <w:pPr>
              <w:spacing w:after="0" w:before="0"/>
            </w:pPr>
            <w:r/>
            <w:r>
              <w:rPr>
                <w:rFonts w:ascii="Arial" w:hAnsi="Arial" w:cs="Arial"/>
                <w:b w:val="0"/>
                <w:sz w:val="17"/>
              </w:rPr>
              <w:t>Two trial runs + reconciliation (§23.1); parallel run</w:t>
            </w:r>
          </w:p>
        </w:tc>
      </w:tr>
      <w:tr>
        <w:tc>
          <w:tcPr>
            <w:tcW w:w="1200" w:type="dxa"/>
          </w:tcPr>
          <w:p>
            <w:pPr>
              <w:spacing w:after="0" w:before="0"/>
            </w:pPr>
            <w:r/>
            <w:r>
              <w:rPr>
                <w:rFonts w:ascii="Arial" w:hAnsi="Arial" w:cs="Arial"/>
                <w:b w:val="0"/>
                <w:sz w:val="17"/>
              </w:rPr>
              <w:t>Risk</w:t>
            </w:r>
          </w:p>
        </w:tc>
        <w:tc>
          <w:tcPr>
            <w:tcW w:w="3100" w:type="dxa"/>
          </w:tcPr>
          <w:p>
            <w:pPr>
              <w:spacing w:after="0" w:before="0"/>
            </w:pPr>
            <w:r/>
            <w:r>
              <w:rPr>
                <w:rFonts w:ascii="Arial" w:hAnsi="Arial" w:cs="Arial"/>
                <w:b w:val="0"/>
                <w:sz w:val="17"/>
              </w:rPr>
              <w:t>Integration dependency downtime (UIDAI/bureau)</w:t>
            </w:r>
          </w:p>
        </w:tc>
        <w:tc>
          <w:tcPr>
            <w:tcW w:w="2100" w:type="dxa"/>
          </w:tcPr>
          <w:p>
            <w:pPr>
              <w:spacing w:after="0" w:before="0"/>
            </w:pPr>
            <w:r/>
            <w:r>
              <w:rPr>
                <w:rFonts w:ascii="Arial" w:hAnsi="Arial" w:cs="Arial"/>
                <w:b w:val="0"/>
                <w:sz w:val="17"/>
              </w:rPr>
              <w:t>Origination stalls</w:t>
            </w:r>
          </w:p>
        </w:tc>
        <w:tc>
          <w:tcPr>
            <w:tcW w:w="2960" w:type="dxa"/>
          </w:tcPr>
          <w:p>
            <w:pPr>
              <w:spacing w:after="0" w:before="0"/>
            </w:pPr>
            <w:r/>
            <w:r>
              <w:rPr>
                <w:rFonts w:ascii="Arial" w:hAnsi="Arial" w:cs="Arial"/>
                <w:b w:val="0"/>
                <w:sz w:val="17"/>
              </w:rPr>
              <w:t>Resilience patterns + fallback (§38)</w:t>
            </w:r>
          </w:p>
        </w:tc>
      </w:tr>
      <w:tr>
        <w:tc>
          <w:tcPr>
            <w:tcW w:w="1200" w:type="dxa"/>
          </w:tcPr>
          <w:p>
            <w:pPr>
              <w:spacing w:after="0" w:before="0"/>
            </w:pPr>
            <w:r/>
            <w:r>
              <w:rPr>
                <w:rFonts w:ascii="Arial" w:hAnsi="Arial" w:cs="Arial"/>
                <w:b w:val="0"/>
                <w:sz w:val="17"/>
              </w:rPr>
              <w:t>Risk</w:t>
            </w:r>
          </w:p>
        </w:tc>
        <w:tc>
          <w:tcPr>
            <w:tcW w:w="3100" w:type="dxa"/>
          </w:tcPr>
          <w:p>
            <w:pPr>
              <w:spacing w:after="0" w:before="0"/>
            </w:pPr>
            <w:r/>
            <w:r>
              <w:rPr>
                <w:rFonts w:ascii="Arial" w:hAnsi="Arial" w:cs="Arial"/>
                <w:b w:val="0"/>
                <w:sz w:val="17"/>
              </w:rPr>
              <w:t>Scope creep across 30+ products</w:t>
            </w:r>
          </w:p>
        </w:tc>
        <w:tc>
          <w:tcPr>
            <w:tcW w:w="2100" w:type="dxa"/>
          </w:tcPr>
          <w:p>
            <w:pPr>
              <w:spacing w:after="0" w:before="0"/>
            </w:pPr>
            <w:r/>
            <w:r>
              <w:rPr>
                <w:rFonts w:ascii="Arial" w:hAnsi="Arial" w:cs="Arial"/>
                <w:b w:val="0"/>
                <w:sz w:val="17"/>
              </w:rPr>
              <w:t>Timeline slip</w:t>
            </w:r>
          </w:p>
        </w:tc>
        <w:tc>
          <w:tcPr>
            <w:tcW w:w="2960" w:type="dxa"/>
          </w:tcPr>
          <w:p>
            <w:pPr>
              <w:spacing w:after="0" w:before="0"/>
            </w:pPr>
            <w:r/>
            <w:r>
              <w:rPr>
                <w:rFonts w:ascii="Arial" w:hAnsi="Arial" w:cs="Arial"/>
                <w:b w:val="0"/>
                <w:sz w:val="17"/>
              </w:rPr>
              <w:t>Phased waves (§47.4); change control</w:t>
            </w:r>
          </w:p>
        </w:tc>
      </w:tr>
      <w:tr>
        <w:tc>
          <w:tcPr>
            <w:tcW w:w="1200" w:type="dxa"/>
          </w:tcPr>
          <w:p>
            <w:pPr>
              <w:spacing w:after="0" w:before="0"/>
            </w:pPr>
            <w:r/>
            <w:r>
              <w:rPr>
                <w:rFonts w:ascii="Arial" w:hAnsi="Arial" w:cs="Arial"/>
                <w:b w:val="0"/>
                <w:sz w:val="17"/>
              </w:rPr>
              <w:t>Assumption</w:t>
            </w:r>
          </w:p>
        </w:tc>
        <w:tc>
          <w:tcPr>
            <w:tcW w:w="3100" w:type="dxa"/>
          </w:tcPr>
          <w:p>
            <w:pPr>
              <w:spacing w:after="0" w:before="0"/>
            </w:pPr>
            <w:r/>
            <w:r>
              <w:rPr>
                <w:rFonts w:ascii="Arial" w:hAnsi="Arial" w:cs="Arial"/>
                <w:b w:val="0"/>
                <w:sz w:val="17"/>
              </w:rPr>
              <w:t>India-region cloud &amp; data localisation available</w:t>
            </w:r>
          </w:p>
        </w:tc>
        <w:tc>
          <w:tcPr>
            <w:tcW w:w="2100" w:type="dxa"/>
          </w:tcPr>
          <w:p>
            <w:pPr>
              <w:spacing w:after="0" w:before="0"/>
            </w:pPr>
            <w:r/>
            <w:r>
              <w:rPr>
                <w:rFonts w:ascii="Arial" w:hAnsi="Arial" w:cs="Arial"/>
                <w:b w:val="0"/>
                <w:sz w:val="17"/>
              </w:rPr>
              <w:t>Enables §15</w:t>
            </w:r>
          </w:p>
        </w:tc>
        <w:tc>
          <w:tcPr>
            <w:tcW w:w="2960" w:type="dxa"/>
          </w:tcPr>
          <w:p>
            <w:pPr>
              <w:spacing w:after="0" w:before="0"/>
            </w:pPr>
            <w:r/>
            <w:r>
              <w:rPr>
                <w:rFonts w:ascii="Arial" w:hAnsi="Arial" w:cs="Arial"/>
                <w:b w:val="0"/>
                <w:sz w:val="17"/>
              </w:rPr>
              <w:t>Validate with hosting</w:t>
            </w:r>
          </w:p>
        </w:tc>
      </w:tr>
      <w:tr>
        <w:tc>
          <w:tcPr>
            <w:tcW w:w="1200" w:type="dxa"/>
          </w:tcPr>
          <w:p>
            <w:pPr>
              <w:spacing w:after="0" w:before="0"/>
            </w:pPr>
            <w:r/>
            <w:r>
              <w:rPr>
                <w:rFonts w:ascii="Arial" w:hAnsi="Arial" w:cs="Arial"/>
                <w:b w:val="0"/>
                <w:sz w:val="17"/>
              </w:rPr>
              <w:t>Assumption</w:t>
            </w:r>
          </w:p>
        </w:tc>
        <w:tc>
          <w:tcPr>
            <w:tcW w:w="3100" w:type="dxa"/>
          </w:tcPr>
          <w:p>
            <w:pPr>
              <w:spacing w:after="0" w:before="0"/>
            </w:pPr>
            <w:r/>
            <w:r>
              <w:rPr>
                <w:rFonts w:ascii="Arial" w:hAnsi="Arial" w:cs="Arial"/>
                <w:b w:val="0"/>
                <w:sz w:val="17"/>
              </w:rPr>
              <w:t>Bureau/AA/GSTN API access granted</w:t>
            </w:r>
          </w:p>
        </w:tc>
        <w:tc>
          <w:tcPr>
            <w:tcW w:w="2100" w:type="dxa"/>
          </w:tcPr>
          <w:p>
            <w:pPr>
              <w:spacing w:after="0" w:before="0"/>
            </w:pPr>
            <w:r/>
            <w:r>
              <w:rPr>
                <w:rFonts w:ascii="Arial" w:hAnsi="Arial" w:cs="Arial"/>
                <w:b w:val="0"/>
                <w:sz w:val="17"/>
              </w:rPr>
              <w:t>Enables underwriting</w:t>
            </w:r>
          </w:p>
        </w:tc>
        <w:tc>
          <w:tcPr>
            <w:tcW w:w="2960" w:type="dxa"/>
          </w:tcPr>
          <w:p>
            <w:pPr>
              <w:spacing w:after="0" w:before="0"/>
            </w:pPr>
            <w:r/>
            <w:r>
              <w:rPr>
                <w:rFonts w:ascii="Arial" w:hAnsi="Arial" w:cs="Arial"/>
                <w:b w:val="0"/>
                <w:sz w:val="17"/>
              </w:rPr>
              <w:t>Confirm memberships</w:t>
            </w:r>
          </w:p>
        </w:tc>
      </w:tr>
      <w:tr>
        <w:tc>
          <w:tcPr>
            <w:tcW w:w="1200" w:type="dxa"/>
          </w:tcPr>
          <w:p>
            <w:pPr>
              <w:spacing w:after="0" w:before="0"/>
            </w:pPr>
            <w:r/>
            <w:r>
              <w:rPr>
                <w:rFonts w:ascii="Arial" w:hAnsi="Arial" w:cs="Arial"/>
                <w:b w:val="0"/>
                <w:sz w:val="17"/>
              </w:rPr>
              <w:t>Issue</w:t>
            </w:r>
          </w:p>
        </w:tc>
        <w:tc>
          <w:tcPr>
            <w:tcW w:w="3100" w:type="dxa"/>
          </w:tcPr>
          <w:p>
            <w:pPr>
              <w:spacing w:after="0" w:before="0"/>
            </w:pPr>
            <w:r/>
            <w:r>
              <w:rPr>
                <w:rFonts w:ascii="Arial" w:hAnsi="Arial" w:cs="Arial"/>
                <w:b w:val="0"/>
                <w:sz w:val="17"/>
              </w:rPr>
              <w:t>Legacy data gaps (missing PAN/UBO)</w:t>
            </w:r>
          </w:p>
        </w:tc>
        <w:tc>
          <w:tcPr>
            <w:tcW w:w="2100" w:type="dxa"/>
          </w:tcPr>
          <w:p>
            <w:pPr>
              <w:spacing w:after="0" w:before="0"/>
            </w:pPr>
            <w:r/>
            <w:r>
              <w:rPr>
                <w:rFonts w:ascii="Arial" w:hAnsi="Arial" w:cs="Arial"/>
                <w:b w:val="0"/>
                <w:sz w:val="17"/>
              </w:rPr>
              <w:t>Bureau rejections</w:t>
            </w:r>
          </w:p>
        </w:tc>
        <w:tc>
          <w:tcPr>
            <w:tcW w:w="2960" w:type="dxa"/>
          </w:tcPr>
          <w:p>
            <w:pPr>
              <w:spacing w:after="0" w:before="0"/>
            </w:pPr>
            <w:r/>
            <w:r>
              <w:rPr>
                <w:rFonts w:ascii="Arial" w:hAnsi="Arial" w:cs="Arial"/>
                <w:b w:val="0"/>
                <w:sz w:val="17"/>
              </w:rPr>
              <w:t>DQ remediation (§67)</w:t>
            </w:r>
          </w:p>
        </w:tc>
      </w:tr>
      <w:tr>
        <w:tc>
          <w:tcPr>
            <w:tcW w:w="1200" w:type="dxa"/>
          </w:tcPr>
          <w:p>
            <w:pPr>
              <w:spacing w:after="0" w:before="0"/>
            </w:pPr>
            <w:r/>
            <w:r>
              <w:rPr>
                <w:rFonts w:ascii="Arial" w:hAnsi="Arial" w:cs="Arial"/>
                <w:b w:val="0"/>
                <w:sz w:val="17"/>
              </w:rPr>
              <w:t>Dependency</w:t>
            </w:r>
          </w:p>
        </w:tc>
        <w:tc>
          <w:tcPr>
            <w:tcW w:w="3100" w:type="dxa"/>
          </w:tcPr>
          <w:p>
            <w:pPr>
              <w:spacing w:after="0" w:before="0"/>
            </w:pPr>
            <w:r/>
            <w:r>
              <w:rPr>
                <w:rFonts w:ascii="Arial" w:hAnsi="Arial" w:cs="Arial"/>
                <w:b w:val="0"/>
                <w:sz w:val="17"/>
              </w:rPr>
              <w:t>Board-approved pricing &amp; DOA policy</w:t>
            </w:r>
          </w:p>
        </w:tc>
        <w:tc>
          <w:tcPr>
            <w:tcW w:w="2100" w:type="dxa"/>
          </w:tcPr>
          <w:p>
            <w:pPr>
              <w:spacing w:after="0" w:before="0"/>
            </w:pPr>
            <w:r/>
            <w:r>
              <w:rPr>
                <w:rFonts w:ascii="Arial" w:hAnsi="Arial" w:cs="Arial"/>
                <w:b w:val="0"/>
                <w:sz w:val="17"/>
              </w:rPr>
              <w:t>Blocks sanction config</w:t>
            </w:r>
          </w:p>
        </w:tc>
        <w:tc>
          <w:tcPr>
            <w:tcW w:w="2960" w:type="dxa"/>
          </w:tcPr>
          <w:p>
            <w:pPr>
              <w:spacing w:after="0" w:before="0"/>
            </w:pPr>
            <w:r/>
            <w:r>
              <w:rPr>
                <w:rFonts w:ascii="Arial" w:hAnsi="Arial" w:cs="Arial"/>
                <w:b w:val="0"/>
                <w:sz w:val="17"/>
              </w:rPr>
              <w:t>Obtain before Wave 1 (§5.4)</w:t>
            </w:r>
          </w:p>
        </w:tc>
      </w:tr>
      <w:tr>
        <w:tc>
          <w:tcPr>
            <w:tcW w:w="1200" w:type="dxa"/>
          </w:tcPr>
          <w:p>
            <w:pPr>
              <w:spacing w:after="0" w:before="0"/>
            </w:pPr>
            <w:r/>
            <w:r>
              <w:rPr>
                <w:rFonts w:ascii="Arial" w:hAnsi="Arial" w:cs="Arial"/>
                <w:b w:val="0"/>
                <w:sz w:val="17"/>
              </w:rPr>
              <w:t>Dependency</w:t>
            </w:r>
          </w:p>
        </w:tc>
        <w:tc>
          <w:tcPr>
            <w:tcW w:w="3100" w:type="dxa"/>
          </w:tcPr>
          <w:p>
            <w:pPr>
              <w:spacing w:after="0" w:before="0"/>
            </w:pPr>
            <w:r/>
            <w:r>
              <w:rPr>
                <w:rFonts w:ascii="Arial" w:hAnsi="Arial" w:cs="Arial"/>
                <w:b w:val="0"/>
                <w:sz w:val="17"/>
              </w:rPr>
              <w:t>LEI for large-exposure borrowers</w:t>
            </w:r>
          </w:p>
        </w:tc>
        <w:tc>
          <w:tcPr>
            <w:tcW w:w="2100" w:type="dxa"/>
          </w:tcPr>
          <w:p>
            <w:pPr>
              <w:spacing w:after="0" w:before="0"/>
            </w:pPr>
            <w:r/>
            <w:r>
              <w:rPr>
                <w:rFonts w:ascii="Arial" w:hAnsi="Arial" w:cs="Arial"/>
                <w:b w:val="0"/>
                <w:sz w:val="17"/>
              </w:rPr>
              <w:t>Blocks disbursal</w:t>
            </w:r>
          </w:p>
        </w:tc>
        <w:tc>
          <w:tcPr>
            <w:tcW w:w="2960" w:type="dxa"/>
          </w:tcPr>
          <w:p>
            <w:pPr>
              <w:spacing w:after="0" w:before="0"/>
            </w:pPr>
            <w:r/>
            <w:r>
              <w:rPr>
                <w:rFonts w:ascii="Arial" w:hAnsi="Arial" w:cs="Arial"/>
                <w:b w:val="0"/>
                <w:sz w:val="17"/>
              </w:rPr>
              <w:t>Capture at onboarding (§43.2)</w:t>
            </w:r>
          </w:p>
        </w:tc>
      </w:tr>
    </w:tbl>
    <w:p/>
    <w:p>
      <w:r>
        <w:br w:type="page"/>
      </w:r>
    </w:p>
    <w:p>
      <w:pPr>
        <w:pStyle w:val="Heading1"/>
      </w:pPr>
      <w:r>
        <w:t>56. Organizational Change Management &amp; Adoption</w:t>
      </w:r>
    </w:p>
    <w:p>
      <w:r>
        <w:rPr>
          <w:rFonts w:ascii="Arial" w:hAnsi="Arial" w:cs="Arial"/>
          <w:b w:val="0"/>
          <w:i w:val="0"/>
          <w:sz w:val="22"/>
        </w:rPr>
        <w:t>A platform of this scope changes how Credit, Ops, Collections, Finance and Compliance work daily. Adoption is a managed workstream, not an afterthought.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000"/>
        <w:gridCol w:w="7360"/>
      </w:tblGrid>
      <w:tr>
        <w:tc>
          <w:tcPr>
            <w:tcW w:w="2000" w:type="dxa"/>
            <w:shd w:val="clear" w:color="auto" w:fill="1F4E78"/>
          </w:tcPr>
          <w:p>
            <w:pPr>
              <w:spacing w:after="0" w:before="0"/>
            </w:pPr>
            <w:r/>
            <w:r>
              <w:rPr>
                <w:rFonts w:ascii="Arial" w:hAnsi="Arial" w:cs="Arial"/>
                <w:b/>
                <w:color w:val="FFFFFF"/>
                <w:sz w:val="17"/>
              </w:rPr>
              <w:t>Lever</w:t>
            </w:r>
          </w:p>
        </w:tc>
        <w:tc>
          <w:tcPr>
            <w:tcW w:w="7360" w:type="dxa"/>
            <w:shd w:val="clear" w:color="auto" w:fill="1F4E78"/>
          </w:tcPr>
          <w:p>
            <w:pPr>
              <w:spacing w:after="0" w:before="0"/>
            </w:pPr>
            <w:r/>
            <w:r>
              <w:rPr>
                <w:rFonts w:ascii="Arial" w:hAnsi="Arial" w:cs="Arial"/>
                <w:b/>
                <w:color w:val="FFFFFF"/>
                <w:sz w:val="17"/>
              </w:rPr>
              <w:t>Approach</w:t>
            </w:r>
          </w:p>
        </w:tc>
      </w:tr>
      <w:tr>
        <w:tc>
          <w:tcPr>
            <w:tcW w:w="2000" w:type="dxa"/>
          </w:tcPr>
          <w:p>
            <w:pPr>
              <w:spacing w:after="0" w:before="0"/>
            </w:pPr>
            <w:r/>
            <w:r>
              <w:rPr>
                <w:rFonts w:ascii="Arial" w:hAnsi="Arial" w:cs="Arial"/>
                <w:b w:val="0"/>
                <w:sz w:val="17"/>
              </w:rPr>
              <w:t>Stakeholder analysis</w:t>
            </w:r>
          </w:p>
        </w:tc>
        <w:tc>
          <w:tcPr>
            <w:tcW w:w="7360" w:type="dxa"/>
          </w:tcPr>
          <w:p>
            <w:pPr>
              <w:spacing w:after="0" w:before="0"/>
            </w:pPr>
            <w:r/>
            <w:r>
              <w:rPr>
                <w:rFonts w:ascii="Arial" w:hAnsi="Arial" w:cs="Arial"/>
                <w:b w:val="0"/>
                <w:sz w:val="17"/>
              </w:rPr>
              <w:t>Map impact and influence across roles (Section 1.4); tailored engagement plans</w:t>
            </w:r>
          </w:p>
        </w:tc>
      </w:tr>
      <w:tr>
        <w:tc>
          <w:tcPr>
            <w:tcW w:w="2000" w:type="dxa"/>
          </w:tcPr>
          <w:p>
            <w:pPr>
              <w:spacing w:after="0" w:before="0"/>
            </w:pPr>
            <w:r/>
            <w:r>
              <w:rPr>
                <w:rFonts w:ascii="Arial" w:hAnsi="Arial" w:cs="Arial"/>
                <w:b w:val="0"/>
                <w:sz w:val="17"/>
              </w:rPr>
              <w:t>Impact assessment</w:t>
            </w:r>
          </w:p>
        </w:tc>
        <w:tc>
          <w:tcPr>
            <w:tcW w:w="7360" w:type="dxa"/>
          </w:tcPr>
          <w:p>
            <w:pPr>
              <w:spacing w:after="0" w:before="0"/>
            </w:pPr>
            <w:r/>
            <w:r>
              <w:rPr>
                <w:rFonts w:ascii="Arial" w:hAnsi="Arial" w:cs="Arial"/>
                <w:b w:val="0"/>
                <w:sz w:val="17"/>
              </w:rPr>
              <w:t>Role-by-role “day in the life” before/after; identify process and skill changes</w:t>
            </w:r>
          </w:p>
        </w:tc>
      </w:tr>
      <w:tr>
        <w:tc>
          <w:tcPr>
            <w:tcW w:w="2000" w:type="dxa"/>
          </w:tcPr>
          <w:p>
            <w:pPr>
              <w:spacing w:after="0" w:before="0"/>
            </w:pPr>
            <w:r/>
            <w:r>
              <w:rPr>
                <w:rFonts w:ascii="Arial" w:hAnsi="Arial" w:cs="Arial"/>
                <w:b w:val="0"/>
                <w:sz w:val="17"/>
              </w:rPr>
              <w:t>Training</w:t>
            </w:r>
          </w:p>
        </w:tc>
        <w:tc>
          <w:tcPr>
            <w:tcW w:w="7360" w:type="dxa"/>
          </w:tcPr>
          <w:p>
            <w:pPr>
              <w:spacing w:after="0" w:before="0"/>
            </w:pPr>
            <w:r/>
            <w:r>
              <w:rPr>
                <w:rFonts w:ascii="Arial" w:hAnsi="Arial" w:cs="Arial"/>
                <w:b w:val="0"/>
                <w:sz w:val="17"/>
              </w:rPr>
              <w:t>Role-based training, sandbox practice, quick-reference guides, train-the-trainer</w:t>
            </w:r>
          </w:p>
        </w:tc>
      </w:tr>
      <w:tr>
        <w:tc>
          <w:tcPr>
            <w:tcW w:w="2000" w:type="dxa"/>
          </w:tcPr>
          <w:p>
            <w:pPr>
              <w:spacing w:after="0" w:before="0"/>
            </w:pPr>
            <w:r/>
            <w:r>
              <w:rPr>
                <w:rFonts w:ascii="Arial" w:hAnsi="Arial" w:cs="Arial"/>
                <w:b w:val="0"/>
                <w:sz w:val="17"/>
              </w:rPr>
              <w:t>Communications</w:t>
            </w:r>
          </w:p>
        </w:tc>
        <w:tc>
          <w:tcPr>
            <w:tcW w:w="7360" w:type="dxa"/>
          </w:tcPr>
          <w:p>
            <w:pPr>
              <w:spacing w:after="0" w:before="0"/>
            </w:pPr>
            <w:r/>
            <w:r>
              <w:rPr>
                <w:rFonts w:ascii="Arial" w:hAnsi="Arial" w:cs="Arial"/>
                <w:b w:val="0"/>
                <w:sz w:val="17"/>
              </w:rPr>
              <w:t>Cadence of updates, FAQs, floor-walkers at go-live</w:t>
            </w:r>
          </w:p>
        </w:tc>
      </w:tr>
      <w:tr>
        <w:tc>
          <w:tcPr>
            <w:tcW w:w="2000" w:type="dxa"/>
          </w:tcPr>
          <w:p>
            <w:pPr>
              <w:spacing w:after="0" w:before="0"/>
            </w:pPr>
            <w:r/>
            <w:r>
              <w:rPr>
                <w:rFonts w:ascii="Arial" w:hAnsi="Arial" w:cs="Arial"/>
                <w:b w:val="0"/>
                <w:sz w:val="17"/>
              </w:rPr>
              <w:t>Adoption tracking</w:t>
            </w:r>
          </w:p>
        </w:tc>
        <w:tc>
          <w:tcPr>
            <w:tcW w:w="7360" w:type="dxa"/>
          </w:tcPr>
          <w:p>
            <w:pPr>
              <w:spacing w:after="0" w:before="0"/>
            </w:pPr>
            <w:r/>
            <w:r>
              <w:rPr>
                <w:rFonts w:ascii="Arial" w:hAnsi="Arial" w:cs="Arial"/>
                <w:b w:val="0"/>
                <w:sz w:val="17"/>
              </w:rPr>
              <w:t>Usage metrics, help-desk themes, feedback loops; reinforcement post go-live</w:t>
            </w:r>
          </w:p>
        </w:tc>
      </w:tr>
      <w:tr>
        <w:tc>
          <w:tcPr>
            <w:tcW w:w="2000" w:type="dxa"/>
          </w:tcPr>
          <w:p>
            <w:pPr>
              <w:spacing w:after="0" w:before="0"/>
            </w:pPr>
            <w:r/>
            <w:r>
              <w:rPr>
                <w:rFonts w:ascii="Arial" w:hAnsi="Arial" w:cs="Arial"/>
                <w:b w:val="0"/>
                <w:sz w:val="17"/>
              </w:rPr>
              <w:t>Resistance management</w:t>
            </w:r>
          </w:p>
        </w:tc>
        <w:tc>
          <w:tcPr>
            <w:tcW w:w="7360" w:type="dxa"/>
          </w:tcPr>
          <w:p>
            <w:pPr>
              <w:spacing w:after="0" w:before="0"/>
            </w:pPr>
            <w:r/>
            <w:r>
              <w:rPr>
                <w:rFonts w:ascii="Arial" w:hAnsi="Arial" w:cs="Arial"/>
                <w:b w:val="0"/>
                <w:sz w:val="17"/>
              </w:rPr>
              <w:t>Early involvement of super-users; visible sponsor support</w:t>
            </w:r>
          </w:p>
        </w:tc>
      </w:tr>
    </w:tbl>
    <w:p/>
    <w:p>
      <w:pPr>
        <w:pStyle w:val="Heading1"/>
      </w:pPr>
      <w:r>
        <w:t>57. Operational Resilience</w:t>
      </w:r>
    </w:p>
    <w:p>
      <w:r>
        <w:rPr>
          <w:rFonts w:ascii="Arial" w:hAnsi="Arial" w:cs="Arial"/>
          <w:b w:val="0"/>
          <w:i w:val="0"/>
          <w:sz w:val="22"/>
        </w:rPr>
        <w:t>Beyond disaster recovery (Section 29.1), operational resilience — increasingly an RBI supervisory expectation — asks the NBFC to keep critical services within tolerable disruption limits under severe-but-plausible scenarios.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7160"/>
      </w:tblGrid>
      <w:tr>
        <w:tc>
          <w:tcPr>
            <w:tcW w:w="2200" w:type="dxa"/>
            <w:shd w:val="clear" w:color="auto" w:fill="1F4E78"/>
          </w:tcPr>
          <w:p>
            <w:pPr>
              <w:spacing w:after="0" w:before="0"/>
            </w:pPr>
            <w:r/>
            <w:r>
              <w:rPr>
                <w:rFonts w:ascii="Arial" w:hAnsi="Arial" w:cs="Arial"/>
                <w:b/>
                <w:color w:val="FFFFFF"/>
                <w:sz w:val="17"/>
              </w:rPr>
              <w:t>Element</w:t>
            </w:r>
          </w:p>
        </w:tc>
        <w:tc>
          <w:tcPr>
            <w:tcW w:w="7160" w:type="dxa"/>
            <w:shd w:val="clear" w:color="auto" w:fill="1F4E78"/>
          </w:tcPr>
          <w:p>
            <w:pPr>
              <w:spacing w:after="0" w:before="0"/>
            </w:pPr>
            <w:r/>
            <w:r>
              <w:rPr>
                <w:rFonts w:ascii="Arial" w:hAnsi="Arial" w:cs="Arial"/>
                <w:b/>
                <w:color w:val="FFFFFF"/>
                <w:sz w:val="17"/>
              </w:rPr>
              <w:t>Detail</w:t>
            </w:r>
          </w:p>
        </w:tc>
      </w:tr>
      <w:tr>
        <w:tc>
          <w:tcPr>
            <w:tcW w:w="2200" w:type="dxa"/>
          </w:tcPr>
          <w:p>
            <w:pPr>
              <w:spacing w:after="0" w:before="0"/>
            </w:pPr>
            <w:r/>
            <w:r>
              <w:rPr>
                <w:rFonts w:ascii="Arial" w:hAnsi="Arial" w:cs="Arial"/>
                <w:b w:val="0"/>
                <w:sz w:val="17"/>
              </w:rPr>
              <w:t>Critical business services</w:t>
            </w:r>
          </w:p>
        </w:tc>
        <w:tc>
          <w:tcPr>
            <w:tcW w:w="7160" w:type="dxa"/>
          </w:tcPr>
          <w:p>
            <w:pPr>
              <w:spacing w:after="0" w:before="0"/>
            </w:pPr>
            <w:r/>
            <w:r>
              <w:rPr>
                <w:rFonts w:ascii="Arial" w:hAnsi="Arial" w:cs="Arial"/>
                <w:b w:val="0"/>
                <w:sz w:val="17"/>
              </w:rPr>
              <w:t>Disbursement, EMI collection, regulatory reporting, borrower servicing, bureau reporting</w:t>
            </w:r>
          </w:p>
        </w:tc>
      </w:tr>
      <w:tr>
        <w:tc>
          <w:tcPr>
            <w:tcW w:w="2200" w:type="dxa"/>
          </w:tcPr>
          <w:p>
            <w:pPr>
              <w:spacing w:after="0" w:before="0"/>
            </w:pPr>
            <w:r/>
            <w:r>
              <w:rPr>
                <w:rFonts w:ascii="Arial" w:hAnsi="Arial" w:cs="Arial"/>
                <w:b w:val="0"/>
                <w:sz w:val="17"/>
              </w:rPr>
              <w:t>Impact tolerances</w:t>
            </w:r>
          </w:p>
        </w:tc>
        <w:tc>
          <w:tcPr>
            <w:tcW w:w="7160" w:type="dxa"/>
          </w:tcPr>
          <w:p>
            <w:pPr>
              <w:spacing w:after="0" w:before="0"/>
            </w:pPr>
            <w:r/>
            <w:r>
              <w:rPr>
                <w:rFonts w:ascii="Arial" w:hAnsi="Arial" w:cs="Arial"/>
                <w:b w:val="0"/>
                <w:sz w:val="17"/>
              </w:rPr>
              <w:t>Maximum tolerable disruption per service (e.g., collections outage ≤ 4 h; reporting ≤ due-date − 1 day)</w:t>
            </w:r>
          </w:p>
        </w:tc>
      </w:tr>
      <w:tr>
        <w:tc>
          <w:tcPr>
            <w:tcW w:w="2200" w:type="dxa"/>
          </w:tcPr>
          <w:p>
            <w:pPr>
              <w:spacing w:after="0" w:before="0"/>
            </w:pPr>
            <w:r/>
            <w:r>
              <w:rPr>
                <w:rFonts w:ascii="Arial" w:hAnsi="Arial" w:cs="Arial"/>
                <w:b w:val="0"/>
                <w:sz w:val="17"/>
              </w:rPr>
              <w:t>Scenario testing</w:t>
            </w:r>
          </w:p>
        </w:tc>
        <w:tc>
          <w:tcPr>
            <w:tcW w:w="7160" w:type="dxa"/>
          </w:tcPr>
          <w:p>
            <w:pPr>
              <w:spacing w:after="0" w:before="0"/>
            </w:pPr>
            <w:r/>
            <w:r>
              <w:rPr>
                <w:rFonts w:ascii="Arial" w:hAnsi="Arial" w:cs="Arial"/>
                <w:b w:val="0"/>
                <w:sz w:val="17"/>
              </w:rPr>
              <w:t>Cyber attack, cloud-region loss, key-vendor (bureau/rail) outage, data-corruption — tabletop + technical</w:t>
            </w:r>
          </w:p>
        </w:tc>
      </w:tr>
      <w:tr>
        <w:tc>
          <w:tcPr>
            <w:tcW w:w="2200" w:type="dxa"/>
          </w:tcPr>
          <w:p>
            <w:pPr>
              <w:spacing w:after="0" w:before="0"/>
            </w:pPr>
            <w:r/>
            <w:r>
              <w:rPr>
                <w:rFonts w:ascii="Arial" w:hAnsi="Arial" w:cs="Arial"/>
                <w:b w:val="0"/>
                <w:sz w:val="17"/>
              </w:rPr>
              <w:t>Dependency mapping</w:t>
            </w:r>
          </w:p>
        </w:tc>
        <w:tc>
          <w:tcPr>
            <w:tcW w:w="7160" w:type="dxa"/>
          </w:tcPr>
          <w:p>
            <w:pPr>
              <w:spacing w:after="0" w:before="0"/>
            </w:pPr>
            <w:r/>
            <w:r>
              <w:rPr>
                <w:rFonts w:ascii="Arial" w:hAnsi="Arial" w:cs="Arial"/>
                <w:b w:val="0"/>
                <w:sz w:val="17"/>
              </w:rPr>
              <w:t>People, process, technology and third-party dependencies per critical service (§38)</w:t>
            </w:r>
          </w:p>
        </w:tc>
      </w:tr>
      <w:tr>
        <w:tc>
          <w:tcPr>
            <w:tcW w:w="2200" w:type="dxa"/>
          </w:tcPr>
          <w:p>
            <w:pPr>
              <w:spacing w:after="0" w:before="0"/>
            </w:pPr>
            <w:r/>
            <w:r>
              <w:rPr>
                <w:rFonts w:ascii="Arial" w:hAnsi="Arial" w:cs="Arial"/>
                <w:b w:val="0"/>
                <w:sz w:val="17"/>
              </w:rPr>
              <w:t>Response &amp; recovery</w:t>
            </w:r>
          </w:p>
        </w:tc>
        <w:tc>
          <w:tcPr>
            <w:tcW w:w="7160" w:type="dxa"/>
          </w:tcPr>
          <w:p>
            <w:pPr>
              <w:spacing w:after="0" w:before="0"/>
            </w:pPr>
            <w:r/>
            <w:r>
              <w:rPr>
                <w:rFonts w:ascii="Arial" w:hAnsi="Arial" w:cs="Arial"/>
                <w:b w:val="0"/>
                <w:sz w:val="17"/>
              </w:rPr>
              <w:t>Runbooks (operational runbooks), CCMP (§34), and DR (§29.1) with defined RPO/RTO</w:t>
            </w:r>
          </w:p>
        </w:tc>
      </w:tr>
      <w:tr>
        <w:tc>
          <w:tcPr>
            <w:tcW w:w="2200" w:type="dxa"/>
          </w:tcPr>
          <w:p>
            <w:pPr>
              <w:spacing w:after="0" w:before="0"/>
            </w:pPr>
            <w:r/>
            <w:r>
              <w:rPr>
                <w:rFonts w:ascii="Arial" w:hAnsi="Arial" w:cs="Arial"/>
                <w:b w:val="0"/>
                <w:sz w:val="17"/>
              </w:rPr>
              <w:t>Board reporting</w:t>
            </w:r>
          </w:p>
        </w:tc>
        <w:tc>
          <w:tcPr>
            <w:tcW w:w="7160" w:type="dxa"/>
          </w:tcPr>
          <w:p>
            <w:pPr>
              <w:spacing w:after="0" w:before="0"/>
            </w:pPr>
            <w:r/>
            <w:r>
              <w:rPr>
                <w:rFonts w:ascii="Arial" w:hAnsi="Arial" w:cs="Arial"/>
                <w:b w:val="0"/>
                <w:sz w:val="17"/>
              </w:rPr>
              <w:t>Resilience posture, incidents, and test outcomes reported to the Board</w:t>
            </w:r>
          </w:p>
        </w:tc>
      </w:tr>
    </w:tbl>
    <w:p/>
    <w:p>
      <w:pPr>
        <w:pStyle w:val="Heading1"/>
      </w:pPr>
      <w:r>
        <w:t>58. Go-Live Readiness, Cutover &amp; Hypercare</w:t>
      </w:r>
    </w:p>
    <w:p>
      <w:pPr>
        <w:pStyle w:val="Heading2"/>
      </w:pPr>
      <w:r>
        <w:t>58.1 Go-Live Readiness Assessment (GLRA)</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000"/>
        <w:gridCol w:w="7360"/>
      </w:tblGrid>
      <w:tr>
        <w:tc>
          <w:tcPr>
            <w:tcW w:w="2000" w:type="dxa"/>
            <w:shd w:val="clear" w:color="auto" w:fill="1F4E78"/>
          </w:tcPr>
          <w:p>
            <w:pPr>
              <w:spacing w:after="0" w:before="0"/>
            </w:pPr>
            <w:r/>
            <w:r>
              <w:rPr>
                <w:rFonts w:ascii="Arial" w:hAnsi="Arial" w:cs="Arial"/>
                <w:b/>
                <w:color w:val="FFFFFF"/>
                <w:sz w:val="17"/>
              </w:rPr>
              <w:t>Gate</w:t>
            </w:r>
          </w:p>
        </w:tc>
        <w:tc>
          <w:tcPr>
            <w:tcW w:w="7360" w:type="dxa"/>
            <w:shd w:val="clear" w:color="auto" w:fill="1F4E78"/>
          </w:tcPr>
          <w:p>
            <w:pPr>
              <w:spacing w:after="0" w:before="0"/>
            </w:pPr>
            <w:r/>
            <w:r>
              <w:rPr>
                <w:rFonts w:ascii="Arial" w:hAnsi="Arial" w:cs="Arial"/>
                <w:b/>
                <w:color w:val="FFFFFF"/>
                <w:sz w:val="17"/>
              </w:rPr>
              <w:t>Go / no-go criterion</w:t>
            </w:r>
          </w:p>
        </w:tc>
      </w:tr>
      <w:tr>
        <w:tc>
          <w:tcPr>
            <w:tcW w:w="2000" w:type="dxa"/>
          </w:tcPr>
          <w:p>
            <w:pPr>
              <w:spacing w:after="0" w:before="0"/>
            </w:pPr>
            <w:r/>
            <w:r>
              <w:rPr>
                <w:rFonts w:ascii="Arial" w:hAnsi="Arial" w:cs="Arial"/>
                <w:b w:val="0"/>
                <w:sz w:val="17"/>
              </w:rPr>
              <w:t>Functional</w:t>
            </w:r>
          </w:p>
        </w:tc>
        <w:tc>
          <w:tcPr>
            <w:tcW w:w="7360" w:type="dxa"/>
          </w:tcPr>
          <w:p>
            <w:pPr>
              <w:spacing w:after="0" w:before="0"/>
            </w:pPr>
            <w:r/>
            <w:r>
              <w:rPr>
                <w:rFonts w:ascii="Arial" w:hAnsi="Arial" w:cs="Arial"/>
                <w:b w:val="0"/>
                <w:sz w:val="17"/>
              </w:rPr>
              <w:t>All P1/P2 UAT defects closed; golden vectors pass (§45.10)</w:t>
            </w:r>
          </w:p>
        </w:tc>
      </w:tr>
      <w:tr>
        <w:tc>
          <w:tcPr>
            <w:tcW w:w="2000" w:type="dxa"/>
          </w:tcPr>
          <w:p>
            <w:pPr>
              <w:spacing w:after="0" w:before="0"/>
            </w:pPr>
            <w:r/>
            <w:r>
              <w:rPr>
                <w:rFonts w:ascii="Arial" w:hAnsi="Arial" w:cs="Arial"/>
                <w:b w:val="0"/>
                <w:sz w:val="17"/>
              </w:rPr>
              <w:t>Regulatory</w:t>
            </w:r>
          </w:p>
        </w:tc>
        <w:tc>
          <w:tcPr>
            <w:tcW w:w="7360" w:type="dxa"/>
          </w:tcPr>
          <w:p>
            <w:pPr>
              <w:spacing w:after="0" w:before="0"/>
            </w:pPr>
            <w:r/>
            <w:r>
              <w:rPr>
                <w:rFonts w:ascii="Arial" w:hAnsi="Arial" w:cs="Arial"/>
                <w:b w:val="0"/>
                <w:sz w:val="17"/>
              </w:rPr>
              <w:t>One full cycle of RBI returns &amp; CIC files generated and validated (§9, §10)</w:t>
            </w:r>
          </w:p>
        </w:tc>
      </w:tr>
      <w:tr>
        <w:tc>
          <w:tcPr>
            <w:tcW w:w="2000" w:type="dxa"/>
          </w:tcPr>
          <w:p>
            <w:pPr>
              <w:spacing w:after="0" w:before="0"/>
            </w:pPr>
            <w:r/>
            <w:r>
              <w:rPr>
                <w:rFonts w:ascii="Arial" w:hAnsi="Arial" w:cs="Arial"/>
                <w:b w:val="0"/>
                <w:sz w:val="17"/>
              </w:rPr>
              <w:t>Data</w:t>
            </w:r>
          </w:p>
        </w:tc>
        <w:tc>
          <w:tcPr>
            <w:tcW w:w="7360" w:type="dxa"/>
          </w:tcPr>
          <w:p>
            <w:pPr>
              <w:spacing w:after="0" w:before="0"/>
            </w:pPr>
            <w:r/>
            <w:r>
              <w:rPr>
                <w:rFonts w:ascii="Arial" w:hAnsi="Arial" w:cs="Arial"/>
                <w:b w:val="0"/>
                <w:sz w:val="17"/>
              </w:rPr>
              <w:t>Migration reconciled: loan count, outstanding, GL balances tie to legacy (§23.1)</w:t>
            </w:r>
          </w:p>
        </w:tc>
      </w:tr>
      <w:tr>
        <w:tc>
          <w:tcPr>
            <w:tcW w:w="2000" w:type="dxa"/>
          </w:tcPr>
          <w:p>
            <w:pPr>
              <w:spacing w:after="0" w:before="0"/>
            </w:pPr>
            <w:r/>
            <w:r>
              <w:rPr>
                <w:rFonts w:ascii="Arial" w:hAnsi="Arial" w:cs="Arial"/>
                <w:b w:val="0"/>
                <w:sz w:val="17"/>
              </w:rPr>
              <w:t>Non-functional</w:t>
            </w:r>
          </w:p>
        </w:tc>
        <w:tc>
          <w:tcPr>
            <w:tcW w:w="7360" w:type="dxa"/>
          </w:tcPr>
          <w:p>
            <w:pPr>
              <w:spacing w:after="0" w:before="0"/>
            </w:pPr>
            <w:r/>
            <w:r>
              <w:rPr>
                <w:rFonts w:ascii="Arial" w:hAnsi="Arial" w:cs="Arial"/>
                <w:b w:val="0"/>
                <w:sz w:val="17"/>
              </w:rPr>
              <w:t>Load/DR tests meet §29 targets; VAPT closed (§34)</w:t>
            </w:r>
          </w:p>
        </w:tc>
      </w:tr>
      <w:tr>
        <w:tc>
          <w:tcPr>
            <w:tcW w:w="2000" w:type="dxa"/>
          </w:tcPr>
          <w:p>
            <w:pPr>
              <w:spacing w:after="0" w:before="0"/>
            </w:pPr>
            <w:r/>
            <w:r>
              <w:rPr>
                <w:rFonts w:ascii="Arial" w:hAnsi="Arial" w:cs="Arial"/>
                <w:b w:val="0"/>
                <w:sz w:val="17"/>
              </w:rPr>
              <w:t>Operational</w:t>
            </w:r>
          </w:p>
        </w:tc>
        <w:tc>
          <w:tcPr>
            <w:tcW w:w="7360" w:type="dxa"/>
          </w:tcPr>
          <w:p>
            <w:pPr>
              <w:spacing w:after="0" w:before="0"/>
            </w:pPr>
            <w:r/>
            <w:r>
              <w:rPr>
                <w:rFonts w:ascii="Arial" w:hAnsi="Arial" w:cs="Arial"/>
                <w:b w:val="0"/>
                <w:sz w:val="17"/>
              </w:rPr>
              <w:t>Runbooks, support model, command centre, rollback plan ready</w:t>
            </w:r>
          </w:p>
        </w:tc>
      </w:tr>
      <w:tr>
        <w:tc>
          <w:tcPr>
            <w:tcW w:w="2000" w:type="dxa"/>
          </w:tcPr>
          <w:p>
            <w:pPr>
              <w:spacing w:after="0" w:before="0"/>
            </w:pPr>
            <w:r/>
            <w:r>
              <w:rPr>
                <w:rFonts w:ascii="Arial" w:hAnsi="Arial" w:cs="Arial"/>
                <w:b w:val="0"/>
                <w:sz w:val="17"/>
              </w:rPr>
              <w:t>Business sign-off</w:t>
            </w:r>
          </w:p>
        </w:tc>
        <w:tc>
          <w:tcPr>
            <w:tcW w:w="7360" w:type="dxa"/>
          </w:tcPr>
          <w:p>
            <w:pPr>
              <w:spacing w:after="0" w:before="0"/>
            </w:pPr>
            <w:r/>
            <w:r>
              <w:rPr>
                <w:rFonts w:ascii="Arial" w:hAnsi="Arial" w:cs="Arial"/>
                <w:b w:val="0"/>
                <w:sz w:val="17"/>
              </w:rPr>
              <w:t>Sponsor and Compliance approval recorded</w:t>
            </w:r>
          </w:p>
        </w:tc>
      </w:tr>
    </w:tbl>
    <w:p/>
    <w:p>
      <w:pPr>
        <w:pStyle w:val="Heading2"/>
      </w:pPr>
      <w:r>
        <w:t>58.2 Cutover &amp; Hypercare</w:t>
      </w:r>
    </w:p>
    <w:p>
      <w:pPr>
        <w:pStyle w:val="ListParagraph"/>
        <w:numPr>
          <w:ilvl w:val="0"/>
          <w:numId w:val="2"/>
        </w:numPr>
      </w:pPr>
      <w:r>
        <w:rPr>
          <w:rFonts w:ascii="Arial" w:hAnsi="Arial" w:cs="Arial"/>
          <w:sz w:val="22"/>
        </w:rPr>
        <w:t>Cutover runbook with sequenced steps, freeze window, and explicit rollback triggers.</w:t>
      </w:r>
    </w:p>
    <w:p>
      <w:pPr>
        <w:pStyle w:val="ListParagraph"/>
        <w:numPr>
          <w:ilvl w:val="0"/>
          <w:numId w:val="2"/>
        </w:numPr>
      </w:pPr>
      <w:r>
        <w:rPr>
          <w:rFonts w:ascii="Arial" w:hAnsi="Arial" w:cs="Arial"/>
          <w:sz w:val="22"/>
        </w:rPr>
        <w:t>Phased rollout by branch/product (not big-bang) per the transition waves (§47.4).</w:t>
      </w:r>
    </w:p>
    <w:p>
      <w:pPr>
        <w:pStyle w:val="ListParagraph"/>
        <w:numPr>
          <w:ilvl w:val="0"/>
          <w:numId w:val="2"/>
        </w:numPr>
      </w:pPr>
      <w:r>
        <w:rPr>
          <w:rFonts w:ascii="Arial" w:hAnsi="Arial" w:cs="Arial"/>
          <w:sz w:val="22"/>
        </w:rPr>
        <w:t>Command centre during cutover; daily reconciliation checks for the first month.</w:t>
      </w:r>
    </w:p>
    <w:p>
      <w:pPr>
        <w:pStyle w:val="ListParagraph"/>
        <w:numPr>
          <w:ilvl w:val="0"/>
          <w:numId w:val="2"/>
        </w:numPr>
      </w:pPr>
      <w:r>
        <w:rPr>
          <w:rFonts w:ascii="Arial" w:hAnsi="Arial" w:cs="Arial"/>
          <w:sz w:val="22"/>
        </w:rPr>
        <w:t>Hypercare period with elevated support and a defect-triage SLA before transition to BAU.</w:t>
      </w:r>
    </w:p>
    <w:p>
      <w:pPr>
        <w:pStyle w:val="Heading1"/>
      </w:pPr>
      <w:r>
        <w:t>59. Benefits Realization &amp; KPIs</w:t>
      </w:r>
    </w:p>
    <w:p>
      <w:pPr>
        <w:jc w:val="center"/>
      </w:pPr>
      <w:r>
        <w:drawing>
          <wp:inline xmlns:a="http://schemas.openxmlformats.org/drawingml/2006/main" xmlns:pic="http://schemas.openxmlformats.org/drawingml/2006/picture">
            <wp:extent cx="6309360" cy="2095070"/>
            <wp:docPr id="14" name="Picture 14"/>
            <wp:cNvGraphicFramePr>
              <a:graphicFrameLocks noChangeAspect="1"/>
            </wp:cNvGraphicFramePr>
            <a:graphic>
              <a:graphicData uri="http://schemas.openxmlformats.org/drawingml/2006/picture">
                <pic:pic>
                  <pic:nvPicPr>
                    <pic:cNvPr id="0" name="d14_benefits.png"/>
                    <pic:cNvPicPr/>
                  </pic:nvPicPr>
                  <pic:blipFill>
                    <a:blip r:embed="rId26"/>
                    <a:stretch>
                      <a:fillRect/>
                    </a:stretch>
                  </pic:blipFill>
                  <pic:spPr>
                    <a:xfrm>
                      <a:off x="0" y="0"/>
                      <a:ext cx="6309360" cy="2095070"/>
                    </a:xfrm>
                    <a:prstGeom prst="rect"/>
                  </pic:spPr>
                </pic:pic>
              </a:graphicData>
            </a:graphic>
          </wp:inline>
        </w:drawing>
      </w:r>
    </w:p>
    <w:p>
      <w:pPr>
        <w:jc w:val="center"/>
      </w:pPr>
      <w:r>
        <w:rPr>
          <w:rFonts w:ascii="Arial" w:hAnsi="Arial" w:cs="Arial"/>
          <w:i/>
          <w:color w:val="404040"/>
          <w:sz w:val="18"/>
        </w:rPr>
        <w:t>Figure 59.1 — Benefits dependency network: enablers → capabilities → benefits → KPIs.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3400"/>
        <w:gridCol w:w="3360"/>
      </w:tblGrid>
      <w:tr>
        <w:tc>
          <w:tcPr>
            <w:tcW w:w="2600" w:type="dxa"/>
            <w:shd w:val="clear" w:color="auto" w:fill="1F4E78"/>
          </w:tcPr>
          <w:p>
            <w:pPr>
              <w:spacing w:after="0" w:before="0"/>
            </w:pPr>
            <w:r/>
            <w:r>
              <w:rPr>
                <w:rFonts w:ascii="Arial" w:hAnsi="Arial" w:cs="Arial"/>
                <w:b/>
                <w:color w:val="FFFFFF"/>
                <w:sz w:val="17"/>
              </w:rPr>
              <w:t>Benefit</w:t>
            </w:r>
          </w:p>
        </w:tc>
        <w:tc>
          <w:tcPr>
            <w:tcW w:w="3400" w:type="dxa"/>
            <w:shd w:val="clear" w:color="auto" w:fill="1F4E78"/>
          </w:tcPr>
          <w:p>
            <w:pPr>
              <w:spacing w:after="0" w:before="0"/>
            </w:pPr>
            <w:r/>
            <w:r>
              <w:rPr>
                <w:rFonts w:ascii="Arial" w:hAnsi="Arial" w:cs="Arial"/>
                <w:b/>
                <w:color w:val="FFFFFF"/>
                <w:sz w:val="17"/>
              </w:rPr>
              <w:t>KPI</w:t>
            </w:r>
          </w:p>
        </w:tc>
        <w:tc>
          <w:tcPr>
            <w:tcW w:w="3360" w:type="dxa"/>
            <w:shd w:val="clear" w:color="auto" w:fill="1F4E78"/>
          </w:tcPr>
          <w:p>
            <w:pPr>
              <w:spacing w:after="0" w:before="0"/>
            </w:pPr>
            <w:r/>
            <w:r>
              <w:rPr>
                <w:rFonts w:ascii="Arial" w:hAnsi="Arial" w:cs="Arial"/>
                <w:b/>
                <w:color w:val="FFFFFF"/>
                <w:sz w:val="17"/>
              </w:rPr>
              <w:t>Illustrative target</w:t>
            </w:r>
          </w:p>
        </w:tc>
      </w:tr>
      <w:tr>
        <w:tc>
          <w:tcPr>
            <w:tcW w:w="2600" w:type="dxa"/>
          </w:tcPr>
          <w:p>
            <w:pPr>
              <w:spacing w:after="0" w:before="0"/>
            </w:pPr>
            <w:r/>
            <w:r>
              <w:rPr>
                <w:rFonts w:ascii="Arial" w:hAnsi="Arial" w:cs="Arial"/>
                <w:b w:val="0"/>
                <w:sz w:val="17"/>
              </w:rPr>
              <w:t>Faster product launch</w:t>
            </w:r>
          </w:p>
        </w:tc>
        <w:tc>
          <w:tcPr>
            <w:tcW w:w="3400" w:type="dxa"/>
          </w:tcPr>
          <w:p>
            <w:pPr>
              <w:spacing w:after="0" w:before="0"/>
            </w:pPr>
            <w:r/>
            <w:r>
              <w:rPr>
                <w:rFonts w:ascii="Arial" w:hAnsi="Arial" w:cs="Arial"/>
                <w:b w:val="0"/>
                <w:sz w:val="17"/>
              </w:rPr>
              <w:t>New products / variants per year</w:t>
            </w:r>
          </w:p>
        </w:tc>
        <w:tc>
          <w:tcPr>
            <w:tcW w:w="3360" w:type="dxa"/>
          </w:tcPr>
          <w:p>
            <w:pPr>
              <w:spacing w:after="0" w:before="0"/>
            </w:pPr>
            <w:r/>
            <w:r>
              <w:rPr>
                <w:rFonts w:ascii="Arial" w:hAnsi="Arial" w:cs="Arial"/>
                <w:b w:val="0"/>
                <w:sz w:val="17"/>
              </w:rPr>
              <w:t>From weeks to days per product</w:t>
            </w:r>
          </w:p>
        </w:tc>
      </w:tr>
      <w:tr>
        <w:tc>
          <w:tcPr>
            <w:tcW w:w="2600" w:type="dxa"/>
          </w:tcPr>
          <w:p>
            <w:pPr>
              <w:spacing w:after="0" w:before="0"/>
            </w:pPr>
            <w:r/>
            <w:r>
              <w:rPr>
                <w:rFonts w:ascii="Arial" w:hAnsi="Arial" w:cs="Arial"/>
                <w:b w:val="0"/>
                <w:sz w:val="17"/>
              </w:rPr>
              <w:t>Lower cost-to-originate</w:t>
            </w:r>
          </w:p>
        </w:tc>
        <w:tc>
          <w:tcPr>
            <w:tcW w:w="3400" w:type="dxa"/>
          </w:tcPr>
          <w:p>
            <w:pPr>
              <w:spacing w:after="0" w:before="0"/>
            </w:pPr>
            <w:r/>
            <w:r>
              <w:rPr>
                <w:rFonts w:ascii="Arial" w:hAnsi="Arial" w:cs="Arial"/>
                <w:b w:val="0"/>
                <w:sz w:val="17"/>
              </w:rPr>
              <w:t>Opex per loan originated</w:t>
            </w:r>
          </w:p>
        </w:tc>
        <w:tc>
          <w:tcPr>
            <w:tcW w:w="3360" w:type="dxa"/>
          </w:tcPr>
          <w:p>
            <w:pPr>
              <w:spacing w:after="0" w:before="0"/>
            </w:pPr>
            <w:r/>
            <w:r>
              <w:rPr>
                <w:rFonts w:ascii="Arial" w:hAnsi="Arial" w:cs="Arial"/>
                <w:b w:val="0"/>
                <w:sz w:val="17"/>
              </w:rPr>
              <w:t>Reduce by target %</w:t>
            </w:r>
          </w:p>
        </w:tc>
      </w:tr>
      <w:tr>
        <w:tc>
          <w:tcPr>
            <w:tcW w:w="2600" w:type="dxa"/>
          </w:tcPr>
          <w:p>
            <w:pPr>
              <w:spacing w:after="0" w:before="0"/>
            </w:pPr>
            <w:r/>
            <w:r>
              <w:rPr>
                <w:rFonts w:ascii="Arial" w:hAnsi="Arial" w:cs="Arial"/>
                <w:b w:val="0"/>
                <w:sz w:val="17"/>
              </w:rPr>
              <w:t>Straight-through origination</w:t>
            </w:r>
          </w:p>
        </w:tc>
        <w:tc>
          <w:tcPr>
            <w:tcW w:w="3400" w:type="dxa"/>
          </w:tcPr>
          <w:p>
            <w:pPr>
              <w:spacing w:after="0" w:before="0"/>
            </w:pPr>
            <w:r/>
            <w:r>
              <w:rPr>
                <w:rFonts w:ascii="Arial" w:hAnsi="Arial" w:cs="Arial"/>
                <w:b w:val="0"/>
                <w:sz w:val="17"/>
              </w:rPr>
              <w:t>% digital / STP applications</w:t>
            </w:r>
          </w:p>
        </w:tc>
        <w:tc>
          <w:tcPr>
            <w:tcW w:w="3360" w:type="dxa"/>
          </w:tcPr>
          <w:p>
            <w:pPr>
              <w:spacing w:after="0" w:before="0"/>
            </w:pPr>
            <w:r/>
            <w:r>
              <w:rPr>
                <w:rFonts w:ascii="Arial" w:hAnsi="Arial" w:cs="Arial"/>
                <w:b w:val="0"/>
                <w:sz w:val="17"/>
              </w:rPr>
              <w:t>Increase STP share</w:t>
            </w:r>
          </w:p>
        </w:tc>
      </w:tr>
      <w:tr>
        <w:tc>
          <w:tcPr>
            <w:tcW w:w="2600" w:type="dxa"/>
          </w:tcPr>
          <w:p>
            <w:pPr>
              <w:spacing w:after="0" w:before="0"/>
            </w:pPr>
            <w:r/>
            <w:r>
              <w:rPr>
                <w:rFonts w:ascii="Arial" w:hAnsi="Arial" w:cs="Arial"/>
                <w:b w:val="0"/>
                <w:sz w:val="17"/>
              </w:rPr>
              <w:t>Accurate books</w:t>
            </w:r>
          </w:p>
        </w:tc>
        <w:tc>
          <w:tcPr>
            <w:tcW w:w="3400" w:type="dxa"/>
          </w:tcPr>
          <w:p>
            <w:pPr>
              <w:spacing w:after="0" w:before="0"/>
            </w:pPr>
            <w:r/>
            <w:r>
              <w:rPr>
                <w:rFonts w:ascii="Arial" w:hAnsi="Arial" w:cs="Arial"/>
                <w:b w:val="0"/>
                <w:sz w:val="17"/>
              </w:rPr>
              <w:t>GL auto-reconciliation break rate</w:t>
            </w:r>
          </w:p>
        </w:tc>
        <w:tc>
          <w:tcPr>
            <w:tcW w:w="3360" w:type="dxa"/>
          </w:tcPr>
          <w:p>
            <w:pPr>
              <w:spacing w:after="0" w:before="0"/>
            </w:pPr>
            <w:r/>
            <w:r>
              <w:rPr>
                <w:rFonts w:ascii="Arial" w:hAnsi="Arial" w:cs="Arial"/>
                <w:b w:val="0"/>
                <w:sz w:val="17"/>
              </w:rPr>
              <w:t>Near-zero unexplained breaks</w:t>
            </w:r>
          </w:p>
        </w:tc>
      </w:tr>
      <w:tr>
        <w:tc>
          <w:tcPr>
            <w:tcW w:w="2600" w:type="dxa"/>
          </w:tcPr>
          <w:p>
            <w:pPr>
              <w:spacing w:after="0" w:before="0"/>
            </w:pPr>
            <w:r/>
            <w:r>
              <w:rPr>
                <w:rFonts w:ascii="Arial" w:hAnsi="Arial" w:cs="Arial"/>
                <w:b w:val="0"/>
                <w:sz w:val="17"/>
              </w:rPr>
              <w:t>Regulatory confidence</w:t>
            </w:r>
          </w:p>
        </w:tc>
        <w:tc>
          <w:tcPr>
            <w:tcW w:w="3400" w:type="dxa"/>
          </w:tcPr>
          <w:p>
            <w:pPr>
              <w:spacing w:after="0" w:before="0"/>
            </w:pPr>
            <w:r/>
            <w:r>
              <w:rPr>
                <w:rFonts w:ascii="Arial" w:hAnsi="Arial" w:cs="Arial"/>
                <w:b w:val="0"/>
                <w:sz w:val="17"/>
              </w:rPr>
              <w:t>On-time, accurate returns</w:t>
            </w:r>
          </w:p>
        </w:tc>
        <w:tc>
          <w:tcPr>
            <w:tcW w:w="3360" w:type="dxa"/>
          </w:tcPr>
          <w:p>
            <w:pPr>
              <w:spacing w:after="0" w:before="0"/>
            </w:pPr>
            <w:r/>
            <w:r>
              <w:rPr>
                <w:rFonts w:ascii="Arial" w:hAnsi="Arial" w:cs="Arial"/>
                <w:b w:val="0"/>
                <w:sz w:val="17"/>
              </w:rPr>
              <w:t>Nil late/rejected submissions</w:t>
            </w:r>
          </w:p>
        </w:tc>
      </w:tr>
      <w:tr>
        <w:tc>
          <w:tcPr>
            <w:tcW w:w="2600" w:type="dxa"/>
          </w:tcPr>
          <w:p>
            <w:pPr>
              <w:spacing w:after="0" w:before="0"/>
            </w:pPr>
            <w:r/>
            <w:r>
              <w:rPr>
                <w:rFonts w:ascii="Arial" w:hAnsi="Arial" w:cs="Arial"/>
                <w:b w:val="0"/>
                <w:sz w:val="17"/>
              </w:rPr>
              <w:t>Lower credit loss</w:t>
            </w:r>
          </w:p>
        </w:tc>
        <w:tc>
          <w:tcPr>
            <w:tcW w:w="3400" w:type="dxa"/>
          </w:tcPr>
          <w:p>
            <w:pPr>
              <w:spacing w:after="0" w:before="0"/>
            </w:pPr>
            <w:r/>
            <w:r>
              <w:rPr>
                <w:rFonts w:ascii="Arial" w:hAnsi="Arial" w:cs="Arial"/>
                <w:b w:val="0"/>
                <w:sz w:val="17"/>
              </w:rPr>
              <w:t>GNPA % and PAR&gt;90</w:t>
            </w:r>
          </w:p>
        </w:tc>
        <w:tc>
          <w:tcPr>
            <w:tcW w:w="3360" w:type="dxa"/>
          </w:tcPr>
          <w:p>
            <w:pPr>
              <w:spacing w:after="0" w:before="0"/>
            </w:pPr>
            <w:r/>
            <w:r>
              <w:rPr>
                <w:rFonts w:ascii="Arial" w:hAnsi="Arial" w:cs="Arial"/>
                <w:b w:val="0"/>
                <w:sz w:val="17"/>
              </w:rPr>
              <w:t>Downward trend vs baseline</w:t>
            </w:r>
          </w:p>
        </w:tc>
      </w:tr>
      <w:tr>
        <w:tc>
          <w:tcPr>
            <w:tcW w:w="2600" w:type="dxa"/>
          </w:tcPr>
          <w:p>
            <w:pPr>
              <w:spacing w:after="0" w:before="0"/>
            </w:pPr>
            <w:r/>
            <w:r>
              <w:rPr>
                <w:rFonts w:ascii="Arial" w:hAnsi="Arial" w:cs="Arial"/>
                <w:b w:val="0"/>
                <w:sz w:val="17"/>
              </w:rPr>
              <w:t>Better collections</w:t>
            </w:r>
          </w:p>
        </w:tc>
        <w:tc>
          <w:tcPr>
            <w:tcW w:w="3400" w:type="dxa"/>
          </w:tcPr>
          <w:p>
            <w:pPr>
              <w:spacing w:after="0" w:before="0"/>
            </w:pPr>
            <w:r/>
            <w:r>
              <w:rPr>
                <w:rFonts w:ascii="Arial" w:hAnsi="Arial" w:cs="Arial"/>
                <w:b w:val="0"/>
                <w:sz w:val="17"/>
              </w:rPr>
              <w:t>Collection efficiency</w:t>
            </w:r>
          </w:p>
        </w:tc>
        <w:tc>
          <w:tcPr>
            <w:tcW w:w="3360" w:type="dxa"/>
          </w:tcPr>
          <w:p>
            <w:pPr>
              <w:spacing w:after="0" w:before="0"/>
            </w:pPr>
            <w:r/>
            <w:r>
              <w:rPr>
                <w:rFonts w:ascii="Arial" w:hAnsi="Arial" w:cs="Arial"/>
                <w:b w:val="0"/>
                <w:sz w:val="17"/>
              </w:rPr>
              <w:t>Sustained improvement</w:t>
            </w:r>
          </w:p>
        </w:tc>
      </w:tr>
    </w:tbl>
    <w:p/>
    <w:p>
      <w:r>
        <w:rPr>
          <w:rFonts w:ascii="Arial" w:hAnsi="Arial" w:cs="Arial"/>
          <w:b w:val="0"/>
          <w:i w:val="0"/>
          <w:sz w:val="22"/>
        </w:rPr>
        <w:t>Each benefit is owned, baselined before go-live, and tracked post-implementation in a benefits-realisation review.</w:t>
      </w:r>
    </w:p>
    <w:p>
      <w:pPr>
        <w:pStyle w:val="Heading1"/>
      </w:pPr>
      <w:r>
        <w:t>60. Accessibility &amp; Localization</w:t>
      </w:r>
    </w:p>
    <w:p>
      <w:pPr>
        <w:pStyle w:val="ListParagraph"/>
        <w:numPr>
          <w:ilvl w:val="0"/>
          <w:numId w:val="2"/>
        </w:numPr>
      </w:pPr>
      <w:r>
        <w:rPr>
          <w:rFonts w:ascii="Arial" w:hAnsi="Arial" w:cs="Arial"/>
          <w:sz w:val="22"/>
        </w:rPr>
        <w:t>Borrower-facing web/app targets WCAG 2.1 AA (perceivable, operable, understandable, robust); accessibility is tested, not assumed.</w:t>
      </w:r>
    </w:p>
    <w:p>
      <w:pPr>
        <w:pStyle w:val="ListParagraph"/>
        <w:numPr>
          <w:ilvl w:val="0"/>
          <w:numId w:val="2"/>
        </w:numPr>
      </w:pPr>
      <w:r>
        <w:rPr>
          <w:rFonts w:ascii="Arial" w:hAnsi="Arial" w:cs="Arial"/>
          <w:sz w:val="22"/>
        </w:rPr>
        <w:t>Multilingual support: the Key Fact Statement, sanction letter and key notices are available in the borrower’s chosen language, satisfying the RBI requirement that terms be in a language the borrower understands (§17.1, §35).</w:t>
      </w:r>
    </w:p>
    <w:p>
      <w:pPr>
        <w:pStyle w:val="ListParagraph"/>
        <w:numPr>
          <w:ilvl w:val="0"/>
          <w:numId w:val="2"/>
        </w:numPr>
      </w:pPr>
      <w:r>
        <w:rPr>
          <w:rFonts w:ascii="Arial" w:hAnsi="Arial" w:cs="Arial"/>
          <w:sz w:val="22"/>
        </w:rPr>
        <w:t>Vernacular content is data-driven (template + language pack), so new languages are added by configuration, not code.</w:t>
      </w:r>
    </w:p>
    <w:p>
      <w:pPr>
        <w:pStyle w:val="ListParagraph"/>
        <w:numPr>
          <w:ilvl w:val="0"/>
          <w:numId w:val="2"/>
        </w:numPr>
      </w:pPr>
      <w:r>
        <w:rPr>
          <w:rFonts w:ascii="Arial" w:hAnsi="Arial" w:cs="Arial"/>
          <w:sz w:val="22"/>
        </w:rPr>
        <w:t>Inclusive design for low-literacy and assisted (branch/field) journeys, including the field PWA (§1.1).</w:t>
      </w:r>
    </w:p>
    <w:p>
      <w:pPr>
        <w:pStyle w:val="Heading1"/>
      </w:pPr>
      <w:r>
        <w:t>61. Legal, Procurement &amp; Vendor Governance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7160"/>
      </w:tblGrid>
      <w:tr>
        <w:tc>
          <w:tcPr>
            <w:tcW w:w="2200" w:type="dxa"/>
            <w:shd w:val="clear" w:color="auto" w:fill="1F4E78"/>
          </w:tcPr>
          <w:p>
            <w:pPr>
              <w:spacing w:after="0" w:before="0"/>
            </w:pPr>
            <w:r/>
            <w:r>
              <w:rPr>
                <w:rFonts w:ascii="Arial" w:hAnsi="Arial" w:cs="Arial"/>
                <w:b/>
                <w:color w:val="FFFFFF"/>
                <w:sz w:val="17"/>
              </w:rPr>
              <w:t>Area</w:t>
            </w:r>
          </w:p>
        </w:tc>
        <w:tc>
          <w:tcPr>
            <w:tcW w:w="7160" w:type="dxa"/>
            <w:shd w:val="clear" w:color="auto" w:fill="1F4E78"/>
          </w:tcPr>
          <w:p>
            <w:pPr>
              <w:spacing w:after="0" w:before="0"/>
            </w:pPr>
            <w:r/>
            <w:r>
              <w:rPr>
                <w:rFonts w:ascii="Arial" w:hAnsi="Arial" w:cs="Arial"/>
                <w:b/>
                <w:color w:val="FFFFFF"/>
                <w:sz w:val="17"/>
              </w:rPr>
              <w:t>Requirement</w:t>
            </w:r>
          </w:p>
        </w:tc>
      </w:tr>
      <w:tr>
        <w:tc>
          <w:tcPr>
            <w:tcW w:w="2200" w:type="dxa"/>
          </w:tcPr>
          <w:p>
            <w:pPr>
              <w:spacing w:after="0" w:before="0"/>
            </w:pPr>
            <w:r/>
            <w:r>
              <w:rPr>
                <w:rFonts w:ascii="Arial" w:hAnsi="Arial" w:cs="Arial"/>
                <w:b w:val="0"/>
                <w:sz w:val="17"/>
              </w:rPr>
              <w:t>SaaS / licensing terms</w:t>
            </w:r>
          </w:p>
        </w:tc>
        <w:tc>
          <w:tcPr>
            <w:tcW w:w="7160" w:type="dxa"/>
          </w:tcPr>
          <w:p>
            <w:pPr>
              <w:spacing w:after="0" w:before="0"/>
            </w:pPr>
            <w:r/>
            <w:r>
              <w:rPr>
                <w:rFonts w:ascii="Arial" w:hAnsi="Arial" w:cs="Arial"/>
                <w:b w:val="0"/>
                <w:sz w:val="17"/>
              </w:rPr>
              <w:t>Clear scope, SLAs, data-ownership, liability and IP terms (if COTS, §52)</w:t>
            </w:r>
          </w:p>
        </w:tc>
      </w:tr>
      <w:tr>
        <w:tc>
          <w:tcPr>
            <w:tcW w:w="2200" w:type="dxa"/>
          </w:tcPr>
          <w:p>
            <w:pPr>
              <w:spacing w:after="0" w:before="0"/>
            </w:pPr>
            <w:r/>
            <w:r>
              <w:rPr>
                <w:rFonts w:ascii="Arial" w:hAnsi="Arial" w:cs="Arial"/>
                <w:b w:val="0"/>
                <w:sz w:val="17"/>
              </w:rPr>
              <w:t>Data Processing Agreement (DPA)</w:t>
            </w:r>
          </w:p>
        </w:tc>
        <w:tc>
          <w:tcPr>
            <w:tcW w:w="7160" w:type="dxa"/>
          </w:tcPr>
          <w:p>
            <w:pPr>
              <w:spacing w:after="0" w:before="0"/>
            </w:pPr>
            <w:r/>
            <w:r>
              <w:rPr>
                <w:rFonts w:ascii="Arial" w:hAnsi="Arial" w:cs="Arial"/>
                <w:b w:val="0"/>
                <w:sz w:val="17"/>
              </w:rPr>
              <w:t>DPDP-compliant processor terms, purpose limitation, sub-processor control (§35)</w:t>
            </w:r>
          </w:p>
        </w:tc>
      </w:tr>
      <w:tr>
        <w:tc>
          <w:tcPr>
            <w:tcW w:w="2200" w:type="dxa"/>
          </w:tcPr>
          <w:p>
            <w:pPr>
              <w:spacing w:after="0" w:before="0"/>
            </w:pPr>
            <w:r/>
            <w:r>
              <w:rPr>
                <w:rFonts w:ascii="Arial" w:hAnsi="Arial" w:cs="Arial"/>
                <w:b w:val="0"/>
                <w:sz w:val="17"/>
              </w:rPr>
              <w:t>Source-code / data escrow</w:t>
            </w:r>
          </w:p>
        </w:tc>
        <w:tc>
          <w:tcPr>
            <w:tcW w:w="7160" w:type="dxa"/>
          </w:tcPr>
          <w:p>
            <w:pPr>
              <w:spacing w:after="0" w:before="0"/>
            </w:pPr>
            <w:r/>
            <w:r>
              <w:rPr>
                <w:rFonts w:ascii="Arial" w:hAnsi="Arial" w:cs="Arial"/>
                <w:b w:val="0"/>
                <w:sz w:val="17"/>
              </w:rPr>
              <w:t>Escrow for a COTS/hosted solution to mitigate vendor-continuity risk</w:t>
            </w:r>
          </w:p>
        </w:tc>
      </w:tr>
      <w:tr>
        <w:tc>
          <w:tcPr>
            <w:tcW w:w="2200" w:type="dxa"/>
          </w:tcPr>
          <w:p>
            <w:pPr>
              <w:spacing w:after="0" w:before="0"/>
            </w:pPr>
            <w:r/>
            <w:r>
              <w:rPr>
                <w:rFonts w:ascii="Arial" w:hAnsi="Arial" w:cs="Arial"/>
                <w:b w:val="0"/>
                <w:sz w:val="17"/>
              </w:rPr>
              <w:t>Exit management</w:t>
            </w:r>
          </w:p>
        </w:tc>
        <w:tc>
          <w:tcPr>
            <w:tcW w:w="7160" w:type="dxa"/>
          </w:tcPr>
          <w:p>
            <w:pPr>
              <w:spacing w:after="0" w:before="0"/>
            </w:pPr>
            <w:r/>
            <w:r>
              <w:rPr>
                <w:rFonts w:ascii="Arial" w:hAnsi="Arial" w:cs="Arial"/>
                <w:b w:val="0"/>
                <w:sz w:val="17"/>
              </w:rPr>
              <w:t>Documented exit plan, data return/deletion, transition assistance</w:t>
            </w:r>
          </w:p>
        </w:tc>
      </w:tr>
      <w:tr>
        <w:tc>
          <w:tcPr>
            <w:tcW w:w="2200" w:type="dxa"/>
          </w:tcPr>
          <w:p>
            <w:pPr>
              <w:spacing w:after="0" w:before="0"/>
            </w:pPr>
            <w:r/>
            <w:r>
              <w:rPr>
                <w:rFonts w:ascii="Arial" w:hAnsi="Arial" w:cs="Arial"/>
                <w:b w:val="0"/>
                <w:sz w:val="17"/>
              </w:rPr>
              <w:t>Right to audit</w:t>
            </w:r>
          </w:p>
        </w:tc>
        <w:tc>
          <w:tcPr>
            <w:tcW w:w="7160" w:type="dxa"/>
          </w:tcPr>
          <w:p>
            <w:pPr>
              <w:spacing w:after="0" w:before="0"/>
            </w:pPr>
            <w:r/>
            <w:r>
              <w:rPr>
                <w:rFonts w:ascii="Arial" w:hAnsi="Arial" w:cs="Arial"/>
                <w:b w:val="0"/>
                <w:sz w:val="17"/>
              </w:rPr>
              <w:t>Retained over vendors, LSPs and recovery agencies (§21, §36)</w:t>
            </w:r>
          </w:p>
        </w:tc>
      </w:tr>
      <w:tr>
        <w:tc>
          <w:tcPr>
            <w:tcW w:w="2200" w:type="dxa"/>
          </w:tcPr>
          <w:p>
            <w:pPr>
              <w:spacing w:after="0" w:before="0"/>
            </w:pPr>
            <w:r/>
            <w:r>
              <w:rPr>
                <w:rFonts w:ascii="Arial" w:hAnsi="Arial" w:cs="Arial"/>
                <w:b w:val="0"/>
                <w:sz w:val="17"/>
              </w:rPr>
              <w:t>Cyber insurance</w:t>
            </w:r>
          </w:p>
        </w:tc>
        <w:tc>
          <w:tcPr>
            <w:tcW w:w="7160" w:type="dxa"/>
          </w:tcPr>
          <w:p>
            <w:pPr>
              <w:spacing w:after="0" w:before="0"/>
            </w:pPr>
            <w:r/>
            <w:r>
              <w:rPr>
                <w:rFonts w:ascii="Arial" w:hAnsi="Arial" w:cs="Arial"/>
                <w:b w:val="0"/>
                <w:sz w:val="17"/>
              </w:rPr>
              <w:t>Coverage aligned to breach-liability exposure (§34)</w:t>
            </w:r>
          </w:p>
        </w:tc>
      </w:tr>
      <w:tr>
        <w:tc>
          <w:tcPr>
            <w:tcW w:w="2200" w:type="dxa"/>
          </w:tcPr>
          <w:p>
            <w:pPr>
              <w:spacing w:after="0" w:before="0"/>
            </w:pPr>
            <w:r/>
            <w:r>
              <w:rPr>
                <w:rFonts w:ascii="Arial" w:hAnsi="Arial" w:cs="Arial"/>
                <w:b w:val="0"/>
                <w:sz w:val="17"/>
              </w:rPr>
              <w:t>Regulatory outsourcing</w:t>
            </w:r>
          </w:p>
        </w:tc>
        <w:tc>
          <w:tcPr>
            <w:tcW w:w="7160" w:type="dxa"/>
          </w:tcPr>
          <w:p>
            <w:pPr>
              <w:spacing w:after="0" w:before="0"/>
            </w:pPr>
            <w:r/>
            <w:r>
              <w:rPr>
                <w:rFonts w:ascii="Arial" w:hAnsi="Arial" w:cs="Arial"/>
                <w:b w:val="0"/>
                <w:sz w:val="17"/>
              </w:rPr>
              <w:t>RBI outsourcing-directions compliance; the NBFC remains responsible</w:t>
            </w:r>
          </w:p>
        </w:tc>
      </w:tr>
    </w:tbl>
    <w:p/>
    <w:p>
      <w:pPr>
        <w:pStyle w:val="Heading1"/>
      </w:pPr>
      <w:r>
        <w:t>62. Quality Assurance, Methodology &amp; Basis of Preparation</w:t>
      </w:r>
    </w:p>
    <w:p>
      <w:pPr>
        <w:pStyle w:val="ListParagraph"/>
        <w:numPr>
          <w:ilvl w:val="0"/>
          <w:numId w:val="2"/>
        </w:numPr>
      </w:pPr>
      <w:r>
        <w:rPr>
          <w:rFonts w:ascii="Arial" w:hAnsi="Arial" w:cs="Arial"/>
          <w:sz w:val="22"/>
        </w:rPr>
        <w:t>Methodology: this specification was developed by consolidating the functional/regulatory requirements of an Indian NBFC multi-product lending operation and mapping them to a target architecture, with worked, numerically-verified calculations and industry-standard framework alignment (§46).</w:t>
      </w:r>
    </w:p>
    <w:p>
      <w:pPr>
        <w:pStyle w:val="ListParagraph"/>
        <w:numPr>
          <w:ilvl w:val="0"/>
          <w:numId w:val="2"/>
        </w:numPr>
      </w:pPr>
      <w:r>
        <w:rPr>
          <w:rFonts w:ascii="Arial" w:hAnsi="Arial" w:cs="Arial"/>
          <w:sz w:val="22"/>
        </w:rPr>
        <w:t>Quality assurance: content was internally reviewed for internal consistency and cross-reference integrity; the calculation engine (§24, §32, §45) is backed by golden test vectors (§45.10) that a build team can execute directly.</w:t>
      </w:r>
    </w:p>
    <w:p>
      <w:pPr>
        <w:pStyle w:val="ListParagraph"/>
        <w:numPr>
          <w:ilvl w:val="0"/>
          <w:numId w:val="2"/>
        </w:numPr>
      </w:pPr>
      <w:r>
        <w:rPr>
          <w:rFonts w:ascii="Arial" w:hAnsi="Arial" w:cs="Arial"/>
          <w:sz w:val="22"/>
        </w:rPr>
        <w:t>Independence &amp; limitations: regulatory names, thresholds, formats and rates cited are per the extant RBI Master Directions and statutes as of this revision and are subject to periodic change; they must be re-validated by the NBFC’s Compliance and Legal functions before go-live. Illustrative financials and scores (§51, §52) are planning placeholders, not a costing or recommendation of any named vendor.</w:t>
      </w:r>
    </w:p>
    <w:p>
      <w:pPr>
        <w:pStyle w:val="ListParagraph"/>
        <w:numPr>
          <w:ilvl w:val="0"/>
          <w:numId w:val="2"/>
        </w:numPr>
      </w:pPr>
      <w:r>
        <w:rPr>
          <w:rFonts w:ascii="Arial" w:hAnsi="Arial" w:cs="Arial"/>
          <w:sz w:val="22"/>
        </w:rPr>
        <w:t>This document is a functional and architectural specification, not legal, tax, accounting or investment advice; the NBFC remains responsible for regulatory compliance.</w:t>
      </w:r>
    </w:p>
    <w:p>
      <w:r>
        <w:br w:type="page"/>
      </w:r>
    </w:p>
    <w:p>
      <w:pPr>
        <w:pStyle w:val="Heading1"/>
      </w:pPr>
      <w:r>
        <w:t>63. Appendix A — API Specification (OpenAPI 3.1 extract)</w:t>
      </w:r>
    </w:p>
    <w:p>
      <w:r>
        <w:rPr>
          <w:rFonts w:ascii="Arial" w:hAnsi="Arial" w:cs="Arial"/>
          <w:b w:val="0"/>
          <w:i w:val="0"/>
          <w:sz w:val="22"/>
        </w:rPr>
        <w:t>A machine-readable contract anchors the API-first design (Sections 15, 22, 40). Extract for a core endpoint; the full spec is version-controlled and generates client SDKs and mock servers.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openapi: 3.1.0</w:t>
            </w:r>
            <w:r>
              <w:rPr>
                <w:rFonts w:ascii="Consolas" w:hAnsi="Consolas" w:cs="Consolas"/>
                <w:b w:val="0"/>
                <w:sz w:val="19"/>
              </w:rPr>
              <w:br/>
              <w:t>info: { title: LMS API, version: "1.0.0" }</w:t>
            </w:r>
            <w:r>
              <w:rPr>
                <w:rFonts w:ascii="Consolas" w:hAnsi="Consolas" w:cs="Consolas"/>
                <w:b w:val="0"/>
                <w:sz w:val="19"/>
              </w:rPr>
              <w:br/>
              <w:t>servers: [{ url: https://api.lms.example.in/v1 }]</w:t>
            </w:r>
            <w:r>
              <w:rPr>
                <w:rFonts w:ascii="Consolas" w:hAnsi="Consolas" w:cs="Consolas"/>
                <w:b w:val="0"/>
                <w:sz w:val="19"/>
              </w:rPr>
              <w:br/>
              <w:t>paths:</w:t>
            </w:r>
            <w:r>
              <w:rPr>
                <w:rFonts w:ascii="Consolas" w:hAnsi="Consolas" w:cs="Consolas"/>
                <w:b w:val="0"/>
                <w:sz w:val="19"/>
              </w:rPr>
              <w:br/>
              <w:t xml:space="preserve">  /loan-accounts/{id}/disburse:</w:t>
            </w:r>
            <w:r>
              <w:rPr>
                <w:rFonts w:ascii="Consolas" w:hAnsi="Consolas" w:cs="Consolas"/>
                <w:b w:val="0"/>
                <w:sz w:val="19"/>
              </w:rPr>
              <w:br/>
              <w:t xml:space="preserve">    post:</w:t>
            </w:r>
            <w:r>
              <w:rPr>
                <w:rFonts w:ascii="Consolas" w:hAnsi="Consolas" w:cs="Consolas"/>
                <w:b w:val="0"/>
                <w:sz w:val="19"/>
              </w:rPr>
              <w:br/>
              <w:t xml:space="preserve">      summary: Disburse a sanctioned loan (idempotent)</w:t>
            </w:r>
            <w:r>
              <w:rPr>
                <w:rFonts w:ascii="Consolas" w:hAnsi="Consolas" w:cs="Consolas"/>
                <w:b w:val="0"/>
                <w:sz w:val="19"/>
              </w:rPr>
              <w:br/>
              <w:t xml:space="preserve">      parameters:</w:t>
            </w:r>
            <w:r>
              <w:rPr>
                <w:rFonts w:ascii="Consolas" w:hAnsi="Consolas" w:cs="Consolas"/>
                <w:b w:val="0"/>
                <w:sz w:val="19"/>
              </w:rPr>
              <w:br/>
              <w:t xml:space="preserve">        - { name: id, in: path, required: true, schema: { type: string } }</w:t>
            </w:r>
            <w:r>
              <w:rPr>
                <w:rFonts w:ascii="Consolas" w:hAnsi="Consolas" w:cs="Consolas"/>
                <w:b w:val="0"/>
                <w:sz w:val="19"/>
              </w:rPr>
              <w:br/>
              <w:t xml:space="preserve">        - { name: Idempotency-Key, in: header, required: true, schema: { type: string } }</w:t>
            </w:r>
            <w:r>
              <w:rPr>
                <w:rFonts w:ascii="Consolas" w:hAnsi="Consolas" w:cs="Consolas"/>
                <w:b w:val="0"/>
                <w:sz w:val="19"/>
              </w:rPr>
              <w:br/>
              <w:t xml:space="preserve">      requestBody:</w:t>
            </w:r>
            <w:r>
              <w:rPr>
                <w:rFonts w:ascii="Consolas" w:hAnsi="Consolas" w:cs="Consolas"/>
                <w:b w:val="0"/>
                <w:sz w:val="19"/>
              </w:rPr>
              <w:br/>
              <w:t xml:space="preserve">        required: true</w:t>
            </w:r>
            <w:r>
              <w:rPr>
                <w:rFonts w:ascii="Consolas" w:hAnsi="Consolas" w:cs="Consolas"/>
                <w:b w:val="0"/>
                <w:sz w:val="19"/>
              </w:rPr>
              <w:br/>
              <w:t xml:space="preserve">        content:</w:t>
            </w:r>
            <w:r>
              <w:rPr>
                <w:rFonts w:ascii="Consolas" w:hAnsi="Consolas" w:cs="Consolas"/>
                <w:b w:val="0"/>
                <w:sz w:val="19"/>
              </w:rPr>
              <w:br/>
              <w:t xml:space="preserve">          application/json:</w:t>
            </w:r>
            <w:r>
              <w:rPr>
                <w:rFonts w:ascii="Consolas" w:hAnsi="Consolas" w:cs="Consolas"/>
                <w:b w:val="0"/>
                <w:sz w:val="19"/>
              </w:rPr>
              <w:br/>
              <w:t xml:space="preserve">            schema: { $ref: "#/components/schemas/DisburseRequest" }</w:t>
            </w:r>
            <w:r>
              <w:rPr>
                <w:rFonts w:ascii="Consolas" w:hAnsi="Consolas" w:cs="Consolas"/>
                <w:b w:val="0"/>
                <w:sz w:val="19"/>
              </w:rPr>
              <w:br/>
              <w:t xml:space="preserve">      responses:</w:t>
            </w:r>
            <w:r>
              <w:rPr>
                <w:rFonts w:ascii="Consolas" w:hAnsi="Consolas" w:cs="Consolas"/>
                <w:b w:val="0"/>
                <w:sz w:val="19"/>
              </w:rPr>
              <w:br/>
              <w:t xml:space="preserve">        "200": { description: Disbursed, content: { application/json:</w:t>
            </w:r>
            <w:r>
              <w:rPr>
                <w:rFonts w:ascii="Consolas" w:hAnsi="Consolas" w:cs="Consolas"/>
                <w:b w:val="0"/>
                <w:sz w:val="19"/>
              </w:rPr>
              <w:br/>
              <w:t xml:space="preserve">                 { schema: { $ref: "#/components/schemas/DisburseResponse" } } } }</w:t>
            </w:r>
            <w:r>
              <w:rPr>
                <w:rFonts w:ascii="Consolas" w:hAnsi="Consolas" w:cs="Consolas"/>
                <w:b w:val="0"/>
                <w:sz w:val="19"/>
              </w:rPr>
              <w:br/>
              <w:t xml:space="preserve">        "409": { description: Idempotency conflict }</w:t>
            </w:r>
            <w:r>
              <w:rPr>
                <w:rFonts w:ascii="Consolas" w:hAnsi="Consolas" w:cs="Consolas"/>
                <w:b w:val="0"/>
                <w:sz w:val="19"/>
              </w:rPr>
              <w:br/>
              <w:t xml:space="preserve">        "422": { description: Business rule violation, content: { application/json:</w:t>
            </w:r>
            <w:r>
              <w:rPr>
                <w:rFonts w:ascii="Consolas" w:hAnsi="Consolas" w:cs="Consolas"/>
                <w:b w:val="0"/>
                <w:sz w:val="19"/>
              </w:rPr>
              <w:br/>
              <w:t xml:space="preserve">                 { schema: { $ref: "#/components/schemas/Error" } } } }</w:t>
            </w:r>
            <w:r>
              <w:rPr>
                <w:rFonts w:ascii="Consolas" w:hAnsi="Consolas" w:cs="Consolas"/>
                <w:b w:val="0"/>
                <w:sz w:val="19"/>
              </w:rPr>
              <w:br/>
              <w:t xml:space="preserve">      security: [ { oauth2: [disburse] } ]</w:t>
            </w:r>
            <w:r>
              <w:rPr>
                <w:rFonts w:ascii="Consolas" w:hAnsi="Consolas" w:cs="Consolas"/>
                <w:b w:val="0"/>
                <w:sz w:val="19"/>
              </w:rPr>
              <w:br/>
              <w:t>components:</w:t>
            </w:r>
            <w:r>
              <w:rPr>
                <w:rFonts w:ascii="Consolas" w:hAnsi="Consolas" w:cs="Consolas"/>
                <w:b w:val="0"/>
                <w:sz w:val="19"/>
              </w:rPr>
              <w:br/>
              <w:t xml:space="preserve">  schemas:</w:t>
            </w:r>
            <w:r>
              <w:rPr>
                <w:rFonts w:ascii="Consolas" w:hAnsi="Consolas" w:cs="Consolas"/>
                <w:b w:val="0"/>
                <w:sz w:val="19"/>
              </w:rPr>
              <w:br/>
              <w:t xml:space="preserve">    DisburseRequest:</w:t>
            </w:r>
            <w:r>
              <w:rPr>
                <w:rFonts w:ascii="Consolas" w:hAnsi="Consolas" w:cs="Consolas"/>
                <w:b w:val="0"/>
                <w:sz w:val="19"/>
              </w:rPr>
              <w:br/>
              <w:t xml:space="preserve">      type: object</w:t>
            </w:r>
            <w:r>
              <w:rPr>
                <w:rFonts w:ascii="Consolas" w:hAnsi="Consolas" w:cs="Consolas"/>
                <w:b w:val="0"/>
                <w:sz w:val="19"/>
              </w:rPr>
              <w:br/>
              <w:t xml:space="preserve">      required: [disbursementAmount, disbursementMode, beneficiaryAccount, valueDate]</w:t>
            </w:r>
            <w:r>
              <w:rPr>
                <w:rFonts w:ascii="Consolas" w:hAnsi="Consolas" w:cs="Consolas"/>
                <w:b w:val="0"/>
                <w:sz w:val="19"/>
              </w:rPr>
              <w:br/>
              <w:t xml:space="preserve">      properties:</w:t>
            </w:r>
            <w:r>
              <w:rPr>
                <w:rFonts w:ascii="Consolas" w:hAnsi="Consolas" w:cs="Consolas"/>
                <w:b w:val="0"/>
                <w:sz w:val="19"/>
              </w:rPr>
              <w:br/>
              <w:t xml:space="preserve">        disbursementAmount: { type: string, description: "DECIMAL minor-units as string" }</w:t>
            </w:r>
            <w:r>
              <w:rPr>
                <w:rFonts w:ascii="Consolas" w:hAnsi="Consolas" w:cs="Consolas"/>
                <w:b w:val="0"/>
                <w:sz w:val="19"/>
              </w:rPr>
              <w:br/>
              <w:t xml:space="preserve">        disbursementMode:   { type: string, enum: [FULL, STAGED] }</w:t>
            </w:r>
            <w:r>
              <w:rPr>
                <w:rFonts w:ascii="Consolas" w:hAnsi="Consolas" w:cs="Consolas"/>
                <w:b w:val="0"/>
                <w:sz w:val="19"/>
              </w:rPr>
              <w:br/>
              <w:t xml:space="preserve">        beneficiaryAccount:</w:t>
            </w:r>
            <w:r>
              <w:rPr>
                <w:rFonts w:ascii="Consolas" w:hAnsi="Consolas" w:cs="Consolas"/>
                <w:b w:val="0"/>
                <w:sz w:val="19"/>
              </w:rPr>
              <w:br/>
              <w:t xml:space="preserve">          type: object</w:t>
            </w:r>
            <w:r>
              <w:rPr>
                <w:rFonts w:ascii="Consolas" w:hAnsi="Consolas" w:cs="Consolas"/>
                <w:b w:val="0"/>
                <w:sz w:val="19"/>
              </w:rPr>
              <w:br/>
              <w:t xml:space="preserve">          properties: { accountNumber: {type: string}, ifsc: {type: string} }</w:t>
            </w:r>
            <w:r>
              <w:rPr>
                <w:rFonts w:ascii="Consolas" w:hAnsi="Consolas" w:cs="Consolas"/>
                <w:b w:val="0"/>
                <w:sz w:val="19"/>
              </w:rPr>
              <w:br/>
              <w:t xml:space="preserve">        valueDate: { type: string, format: date }</w:t>
            </w:r>
            <w:r>
              <w:rPr>
                <w:rFonts w:ascii="Consolas" w:hAnsi="Consolas" w:cs="Consolas"/>
                <w:b w:val="0"/>
                <w:sz w:val="19"/>
              </w:rPr>
              <w:br/>
              <w:t xml:space="preserve">    Error:</w:t>
            </w:r>
            <w:r>
              <w:rPr>
                <w:rFonts w:ascii="Consolas" w:hAnsi="Consolas" w:cs="Consolas"/>
                <w:b w:val="0"/>
                <w:sz w:val="19"/>
              </w:rPr>
              <w:br/>
              <w:t xml:space="preserve">      type: object</w:t>
            </w:r>
            <w:r>
              <w:rPr>
                <w:rFonts w:ascii="Consolas" w:hAnsi="Consolas" w:cs="Consolas"/>
                <w:b w:val="0"/>
                <w:sz w:val="19"/>
              </w:rPr>
              <w:br/>
              <w:t xml:space="preserve">      properties:</w:t>
            </w:r>
            <w:r>
              <w:rPr>
                <w:rFonts w:ascii="Consolas" w:hAnsi="Consolas" w:cs="Consolas"/>
                <w:b w:val="0"/>
                <w:sz w:val="19"/>
              </w:rPr>
              <w:br/>
              <w:t xml:space="preserve">        code: {type: string}; message: {type: string}; traceId: {type: string}</w:t>
            </w:r>
            <w:r>
              <w:rPr>
                <w:rFonts w:ascii="Consolas" w:hAnsi="Consolas" w:cs="Consolas"/>
                <w:b w:val="0"/>
                <w:sz w:val="19"/>
              </w:rPr>
              <w:br/>
              <w:t xml:space="preserve">  securitySchemes:</w:t>
            </w:r>
            <w:r>
              <w:rPr>
                <w:rFonts w:ascii="Consolas" w:hAnsi="Consolas" w:cs="Consolas"/>
                <w:b w:val="0"/>
                <w:sz w:val="19"/>
              </w:rPr>
              <w:br/>
              <w:t xml:space="preserve">    oauth2: { type: oauth2, flows: { clientCredentials: { tokenUrl: /oauth/token, scopes: {} } } }</w:t>
            </w:r>
          </w:p>
        </w:tc>
      </w:tr>
    </w:tbl>
    <w:p/>
    <w:p>
      <w:pPr>
        <w:pStyle w:val="Heading1"/>
      </w:pPr>
      <w:r>
        <w:t>64. Appendix B — Core Data Model DDL (extract)</w:t>
      </w:r>
    </w:p>
    <w:p>
      <w:r>
        <w:rPr>
          <w:rFonts w:ascii="Arial" w:hAnsi="Arial" w:cs="Arial"/>
          <w:b w:val="0"/>
          <w:i w:val="0"/>
          <w:sz w:val="22"/>
        </w:rPr>
        <w:t>Illustrative PostgreSQL DDL for two core tables, realising the conventions in Section 39 (DECIMAL money, tenant partitioning, audit columns, idempotency).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CREATE TABLE loan_account (</w:t>
            </w:r>
            <w:r>
              <w:rPr>
                <w:rFonts w:ascii="Consolas" w:hAnsi="Consolas" w:cs="Consolas"/>
                <w:b w:val="0"/>
                <w:sz w:val="19"/>
              </w:rPr>
              <w:br/>
              <w:t xml:space="preserve">  loan_account_id  UUID PRIMARY KEY,</w:t>
            </w:r>
            <w:r>
              <w:rPr>
                <w:rFonts w:ascii="Consolas" w:hAnsi="Consolas" w:cs="Consolas"/>
                <w:b w:val="0"/>
                <w:sz w:val="19"/>
              </w:rPr>
              <w:br/>
              <w:t xml:space="preserve">  tenant_id        UUID NOT NULL,</w:t>
            </w:r>
            <w:r>
              <w:rPr>
                <w:rFonts w:ascii="Consolas" w:hAnsi="Consolas" w:cs="Consolas"/>
                <w:b w:val="0"/>
                <w:sz w:val="19"/>
              </w:rPr>
              <w:br/>
              <w:t xml:space="preserve">  party_id         UUID NOT NULL REFERENCES party(party_id),</w:t>
            </w:r>
            <w:r>
              <w:rPr>
                <w:rFonts w:ascii="Consolas" w:hAnsi="Consolas" w:cs="Consolas"/>
                <w:b w:val="0"/>
                <w:sz w:val="19"/>
              </w:rPr>
              <w:br/>
              <w:t xml:space="preserve">  product_code     TEXT NOT NULL REFERENCES product_master(product_code),</w:t>
            </w:r>
            <w:r>
              <w:rPr>
                <w:rFonts w:ascii="Consolas" w:hAnsi="Consolas" w:cs="Consolas"/>
                <w:b w:val="0"/>
                <w:sz w:val="19"/>
              </w:rPr>
              <w:br/>
              <w:t xml:space="preserve">  application_id   UUID REFERENCES application(application_id),</w:t>
            </w:r>
            <w:r>
              <w:rPr>
                <w:rFonts w:ascii="Consolas" w:hAnsi="Consolas" w:cs="Consolas"/>
                <w:b w:val="0"/>
                <w:sz w:val="19"/>
              </w:rPr>
              <w:br/>
              <w:t xml:space="preserve">  config_version   INT  NOT NULL,                    -- booked-under product config (bi-temporal)</w:t>
            </w:r>
            <w:r>
              <w:rPr>
                <w:rFonts w:ascii="Consolas" w:hAnsi="Consolas" w:cs="Consolas"/>
                <w:b w:val="0"/>
                <w:sz w:val="19"/>
              </w:rPr>
              <w:br/>
              <w:t xml:space="preserve">  sanctioned_amt   DECIMAL(18,4) NOT NULL,</w:t>
            </w:r>
            <w:r>
              <w:rPr>
                <w:rFonts w:ascii="Consolas" w:hAnsi="Consolas" w:cs="Consolas"/>
                <w:b w:val="0"/>
                <w:sz w:val="19"/>
              </w:rPr>
              <w:br/>
              <w:t xml:space="preserve">  roi              DECIMAL(9,6)  NOT NULL,</w:t>
            </w:r>
            <w:r>
              <w:rPr>
                <w:rFonts w:ascii="Consolas" w:hAnsi="Consolas" w:cs="Consolas"/>
                <w:b w:val="0"/>
                <w:sz w:val="19"/>
              </w:rPr>
              <w:br/>
              <w:t xml:space="preserve">  status           TEXT NOT NULL,                    -- see Section 25.2 enum</w:t>
            </w:r>
            <w:r>
              <w:rPr>
                <w:rFonts w:ascii="Consolas" w:hAnsi="Consolas" w:cs="Consolas"/>
                <w:b w:val="0"/>
                <w:sz w:val="19"/>
              </w:rPr>
              <w:br/>
              <w:t xml:space="preserve">  dpd_bucket       SMALLINT DEFAULT 0,</w:t>
            </w:r>
            <w:r>
              <w:rPr>
                <w:rFonts w:ascii="Consolas" w:hAnsi="Consolas" w:cs="Consolas"/>
                <w:b w:val="0"/>
                <w:sz w:val="19"/>
              </w:rPr>
              <w:br/>
              <w:t xml:space="preserve">  valid_from       TIMESTAMPTZ NOT NULL DEFAULT now(),</w:t>
            </w:r>
            <w:r>
              <w:rPr>
                <w:rFonts w:ascii="Consolas" w:hAnsi="Consolas" w:cs="Consolas"/>
                <w:b w:val="0"/>
                <w:sz w:val="19"/>
              </w:rPr>
              <w:br/>
              <w:t xml:space="preserve">  created_at       TIMESTAMPTZ NOT NULL DEFAULT now(),</w:t>
            </w:r>
            <w:r>
              <w:rPr>
                <w:rFonts w:ascii="Consolas" w:hAnsi="Consolas" w:cs="Consolas"/>
                <w:b w:val="0"/>
                <w:sz w:val="19"/>
              </w:rPr>
              <w:br/>
              <w:t xml:space="preserve">  created_by       TEXT NOT NULL,</w:t>
            </w:r>
            <w:r>
              <w:rPr>
                <w:rFonts w:ascii="Consolas" w:hAnsi="Consolas" w:cs="Consolas"/>
                <w:b w:val="0"/>
                <w:sz w:val="19"/>
              </w:rPr>
              <w:br/>
              <w:t xml:space="preserve">  row_version      INT  NOT NULL DEFAULT 1</w:t>
            </w:r>
            <w:r>
              <w:rPr>
                <w:rFonts w:ascii="Consolas" w:hAnsi="Consolas" w:cs="Consolas"/>
                <w:b w:val="0"/>
                <w:sz w:val="19"/>
              </w:rPr>
              <w:br/>
              <w:t>) PARTITION BY LIST (tenant_id);</w:t>
            </w:r>
            <w:r>
              <w:rPr>
                <w:rFonts w:ascii="Consolas" w:hAnsi="Consolas" w:cs="Consolas"/>
                <w:b w:val="0"/>
                <w:sz w:val="19"/>
              </w:rPr>
              <w:br/>
              <w:t>CREATE INDEX ix_loan_status ON loan_account (status, dpd_bucket);</w:t>
            </w:r>
            <w:r>
              <w:rPr>
                <w:rFonts w:ascii="Consolas" w:hAnsi="Consolas" w:cs="Consolas"/>
                <w:b w:val="0"/>
                <w:sz w:val="19"/>
              </w:rPr>
              <w:br/>
              <w:t/>
            </w:r>
            <w:r>
              <w:rPr>
                <w:rFonts w:ascii="Consolas" w:hAnsi="Consolas" w:cs="Consolas"/>
                <w:b w:val="0"/>
                <w:sz w:val="19"/>
              </w:rPr>
              <w:br/>
              <w:t>CREATE TABLE txn_ledger (</w:t>
            </w:r>
            <w:r>
              <w:rPr>
                <w:rFonts w:ascii="Consolas" w:hAnsi="Consolas" w:cs="Consolas"/>
                <w:b w:val="0"/>
                <w:sz w:val="19"/>
              </w:rPr>
              <w:br/>
              <w:t xml:space="preserve">  txn_id         UUID PRIMARY KEY,</w:t>
            </w:r>
            <w:r>
              <w:rPr>
                <w:rFonts w:ascii="Consolas" w:hAnsi="Consolas" w:cs="Consolas"/>
                <w:b w:val="0"/>
                <w:sz w:val="19"/>
              </w:rPr>
              <w:br/>
              <w:t xml:space="preserve">  tenant_id      UUID NOT NULL,</w:t>
            </w:r>
            <w:r>
              <w:rPr>
                <w:rFonts w:ascii="Consolas" w:hAnsi="Consolas" w:cs="Consolas"/>
                <w:b w:val="0"/>
                <w:sz w:val="19"/>
              </w:rPr>
              <w:br/>
              <w:t xml:space="preserve">  loan_account_id UUID REFERENCES loan_account(loan_account_id),</w:t>
            </w:r>
            <w:r>
              <w:rPr>
                <w:rFonts w:ascii="Consolas" w:hAnsi="Consolas" w:cs="Consolas"/>
                <w:b w:val="0"/>
                <w:sz w:val="19"/>
              </w:rPr>
              <w:br/>
              <w:t xml:space="preserve">  debit_gl       UUID NOT NULL REFERENCES gl_account(gl_account_id),</w:t>
            </w:r>
            <w:r>
              <w:rPr>
                <w:rFonts w:ascii="Consolas" w:hAnsi="Consolas" w:cs="Consolas"/>
                <w:b w:val="0"/>
                <w:sz w:val="19"/>
              </w:rPr>
              <w:br/>
              <w:t xml:space="preserve">  credit_gl      UUID NOT NULL REFERENCES gl_account(gl_account_id),</w:t>
            </w:r>
            <w:r>
              <w:rPr>
                <w:rFonts w:ascii="Consolas" w:hAnsi="Consolas" w:cs="Consolas"/>
                <w:b w:val="0"/>
                <w:sz w:val="19"/>
              </w:rPr>
              <w:br/>
              <w:t xml:space="preserve">  amount         DECIMAL(18,4) NOT NULL CHECK (amount &gt; 0),</w:t>
            </w:r>
            <w:r>
              <w:rPr>
                <w:rFonts w:ascii="Consolas" w:hAnsi="Consolas" w:cs="Consolas"/>
                <w:b w:val="0"/>
                <w:sz w:val="19"/>
              </w:rPr>
              <w:br/>
              <w:t xml:space="preserve">  value_date     DATE NOT NULL,</w:t>
            </w:r>
            <w:r>
              <w:rPr>
                <w:rFonts w:ascii="Consolas" w:hAnsi="Consolas" w:cs="Consolas"/>
                <w:b w:val="0"/>
                <w:sz w:val="19"/>
              </w:rPr>
              <w:br/>
              <w:t xml:space="preserve">  posting_date   TIMESTAMPTZ NOT NULL DEFAULT now(),</w:t>
            </w:r>
            <w:r>
              <w:rPr>
                <w:rFonts w:ascii="Consolas" w:hAnsi="Consolas" w:cs="Consolas"/>
                <w:b w:val="0"/>
                <w:sz w:val="19"/>
              </w:rPr>
              <w:br/>
              <w:t xml:space="preserve">  event_id       TEXT NOT NULL,</w:t>
            </w:r>
            <w:r>
              <w:rPr>
                <w:rFonts w:ascii="Consolas" w:hAnsi="Consolas" w:cs="Consolas"/>
                <w:b w:val="0"/>
                <w:sz w:val="19"/>
              </w:rPr>
              <w:br/>
              <w:t xml:space="preserve">  CONSTRAINT uq_event UNIQUE (event_id)              -- idempotent posting (Section 28.4)</w:t>
            </w:r>
            <w:r>
              <w:rPr>
                <w:rFonts w:ascii="Consolas" w:hAnsi="Consolas" w:cs="Consolas"/>
                <w:b w:val="0"/>
                <w:sz w:val="19"/>
              </w:rPr>
              <w:br/>
              <w:t>) PARTITION BY RANGE (posting_date);</w:t>
            </w:r>
          </w:p>
        </w:tc>
      </w:tr>
    </w:tbl>
    <w:p/>
    <w:p>
      <w:pPr>
        <w:pStyle w:val="Heading1"/>
      </w:pPr>
      <w:r>
        <w:t>65. Appendix C — STRIDE Threat Model (extract)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000"/>
        <w:gridCol w:w="3800"/>
        <w:gridCol w:w="3560"/>
      </w:tblGrid>
      <w:tr>
        <w:tc>
          <w:tcPr>
            <w:tcW w:w="2000" w:type="dxa"/>
            <w:shd w:val="clear" w:color="auto" w:fill="1F4E78"/>
          </w:tcPr>
          <w:p>
            <w:pPr>
              <w:spacing w:after="0" w:before="0"/>
            </w:pPr>
            <w:r/>
            <w:r>
              <w:rPr>
                <w:rFonts w:ascii="Arial" w:hAnsi="Arial" w:cs="Arial"/>
                <w:b/>
                <w:color w:val="FFFFFF"/>
                <w:sz w:val="17"/>
              </w:rPr>
              <w:t>Threat (STRIDE)</w:t>
            </w:r>
          </w:p>
        </w:tc>
        <w:tc>
          <w:tcPr>
            <w:tcW w:w="3800" w:type="dxa"/>
            <w:shd w:val="clear" w:color="auto" w:fill="1F4E78"/>
          </w:tcPr>
          <w:p>
            <w:pPr>
              <w:spacing w:after="0" w:before="0"/>
            </w:pPr>
            <w:r/>
            <w:r>
              <w:rPr>
                <w:rFonts w:ascii="Arial" w:hAnsi="Arial" w:cs="Arial"/>
                <w:b/>
                <w:color w:val="FFFFFF"/>
                <w:sz w:val="17"/>
              </w:rPr>
              <w:t>Example against the LMS</w:t>
            </w:r>
          </w:p>
        </w:tc>
        <w:tc>
          <w:tcPr>
            <w:tcW w:w="3560" w:type="dxa"/>
            <w:shd w:val="clear" w:color="auto" w:fill="1F4E78"/>
          </w:tcPr>
          <w:p>
            <w:pPr>
              <w:spacing w:after="0" w:before="0"/>
            </w:pPr>
            <w:r/>
            <w:r>
              <w:rPr>
                <w:rFonts w:ascii="Arial" w:hAnsi="Arial" w:cs="Arial"/>
                <w:b/>
                <w:color w:val="FFFFFF"/>
                <w:sz w:val="17"/>
              </w:rPr>
              <w:t>Mitigation</w:t>
            </w:r>
          </w:p>
        </w:tc>
      </w:tr>
      <w:tr>
        <w:tc>
          <w:tcPr>
            <w:tcW w:w="2000" w:type="dxa"/>
          </w:tcPr>
          <w:p>
            <w:pPr>
              <w:spacing w:after="0" w:before="0"/>
            </w:pPr>
            <w:r/>
            <w:r>
              <w:rPr>
                <w:rFonts w:ascii="Arial" w:hAnsi="Arial" w:cs="Arial"/>
                <w:b w:val="0"/>
                <w:sz w:val="17"/>
              </w:rPr>
              <w:t>Spoofing</w:t>
            </w:r>
          </w:p>
        </w:tc>
        <w:tc>
          <w:tcPr>
            <w:tcW w:w="3800" w:type="dxa"/>
          </w:tcPr>
          <w:p>
            <w:pPr>
              <w:spacing w:after="0" w:before="0"/>
            </w:pPr>
            <w:r/>
            <w:r>
              <w:rPr>
                <w:rFonts w:ascii="Arial" w:hAnsi="Arial" w:cs="Arial"/>
                <w:b w:val="0"/>
                <w:sz w:val="17"/>
              </w:rPr>
              <w:t>Impersonating a borrower or officer</w:t>
            </w:r>
          </w:p>
        </w:tc>
        <w:tc>
          <w:tcPr>
            <w:tcW w:w="3560" w:type="dxa"/>
          </w:tcPr>
          <w:p>
            <w:pPr>
              <w:spacing w:after="0" w:before="0"/>
            </w:pPr>
            <w:r/>
            <w:r>
              <w:rPr>
                <w:rFonts w:ascii="Arial" w:hAnsi="Arial" w:cs="Arial"/>
                <w:b w:val="0"/>
                <w:sz w:val="17"/>
              </w:rPr>
              <w:t>MFA/OIDC, mTLS, device binding (§34)</w:t>
            </w:r>
          </w:p>
        </w:tc>
      </w:tr>
      <w:tr>
        <w:tc>
          <w:tcPr>
            <w:tcW w:w="2000" w:type="dxa"/>
          </w:tcPr>
          <w:p>
            <w:pPr>
              <w:spacing w:after="0" w:before="0"/>
            </w:pPr>
            <w:r/>
            <w:r>
              <w:rPr>
                <w:rFonts w:ascii="Arial" w:hAnsi="Arial" w:cs="Arial"/>
                <w:b w:val="0"/>
                <w:sz w:val="17"/>
              </w:rPr>
              <w:t>Tampering</w:t>
            </w:r>
          </w:p>
        </w:tc>
        <w:tc>
          <w:tcPr>
            <w:tcW w:w="3800" w:type="dxa"/>
          </w:tcPr>
          <w:p>
            <w:pPr>
              <w:spacing w:after="0" w:before="0"/>
            </w:pPr>
            <w:r/>
            <w:r>
              <w:rPr>
                <w:rFonts w:ascii="Arial" w:hAnsi="Arial" w:cs="Arial"/>
                <w:b w:val="0"/>
                <w:sz w:val="17"/>
              </w:rPr>
              <w:t>Altering a ledger entry or a disbursement amount</w:t>
            </w:r>
          </w:p>
        </w:tc>
        <w:tc>
          <w:tcPr>
            <w:tcW w:w="3560" w:type="dxa"/>
          </w:tcPr>
          <w:p>
            <w:pPr>
              <w:spacing w:after="0" w:before="0"/>
            </w:pPr>
            <w:r/>
            <w:r>
              <w:rPr>
                <w:rFonts w:ascii="Arial" w:hAnsi="Arial" w:cs="Arial"/>
                <w:b w:val="0"/>
                <w:sz w:val="17"/>
              </w:rPr>
              <w:t>Append-only ledger, balanced-posting checks, integrity hashing (§28, §34)</w:t>
            </w:r>
          </w:p>
        </w:tc>
      </w:tr>
      <w:tr>
        <w:tc>
          <w:tcPr>
            <w:tcW w:w="2000" w:type="dxa"/>
          </w:tcPr>
          <w:p>
            <w:pPr>
              <w:spacing w:after="0" w:before="0"/>
            </w:pPr>
            <w:r/>
            <w:r>
              <w:rPr>
                <w:rFonts w:ascii="Arial" w:hAnsi="Arial" w:cs="Arial"/>
                <w:b w:val="0"/>
                <w:sz w:val="17"/>
              </w:rPr>
              <w:t>Repudiation</w:t>
            </w:r>
          </w:p>
        </w:tc>
        <w:tc>
          <w:tcPr>
            <w:tcW w:w="3800" w:type="dxa"/>
          </w:tcPr>
          <w:p>
            <w:pPr>
              <w:spacing w:after="0" w:before="0"/>
            </w:pPr>
            <w:r/>
            <w:r>
              <w:rPr>
                <w:rFonts w:ascii="Arial" w:hAnsi="Arial" w:cs="Arial"/>
                <w:b w:val="0"/>
                <w:sz w:val="17"/>
              </w:rPr>
              <w:t>Denying an approval or transaction</w:t>
            </w:r>
          </w:p>
        </w:tc>
        <w:tc>
          <w:tcPr>
            <w:tcW w:w="3560" w:type="dxa"/>
          </w:tcPr>
          <w:p>
            <w:pPr>
              <w:spacing w:after="0" w:before="0"/>
            </w:pPr>
            <w:r/>
            <w:r>
              <w:rPr>
                <w:rFonts w:ascii="Arial" w:hAnsi="Arial" w:cs="Arial"/>
                <w:b w:val="0"/>
                <w:sz w:val="17"/>
              </w:rPr>
              <w:t>Immutable audit trail, e-sign, signed API requests (§14, §40)</w:t>
            </w:r>
          </w:p>
        </w:tc>
      </w:tr>
      <w:tr>
        <w:tc>
          <w:tcPr>
            <w:tcW w:w="2000" w:type="dxa"/>
          </w:tcPr>
          <w:p>
            <w:pPr>
              <w:spacing w:after="0" w:before="0"/>
            </w:pPr>
            <w:r/>
            <w:r>
              <w:rPr>
                <w:rFonts w:ascii="Arial" w:hAnsi="Arial" w:cs="Arial"/>
                <w:b w:val="0"/>
                <w:sz w:val="17"/>
              </w:rPr>
              <w:t>Information disclosure</w:t>
            </w:r>
          </w:p>
        </w:tc>
        <w:tc>
          <w:tcPr>
            <w:tcW w:w="3800" w:type="dxa"/>
          </w:tcPr>
          <w:p>
            <w:pPr>
              <w:spacing w:after="0" w:before="0"/>
            </w:pPr>
            <w:r/>
            <w:r>
              <w:rPr>
                <w:rFonts w:ascii="Arial" w:hAnsi="Arial" w:cs="Arial"/>
                <w:b w:val="0"/>
                <w:sz w:val="17"/>
              </w:rPr>
              <w:t>PII/account-data leak</w:t>
            </w:r>
          </w:p>
        </w:tc>
        <w:tc>
          <w:tcPr>
            <w:tcW w:w="3560" w:type="dxa"/>
          </w:tcPr>
          <w:p>
            <w:pPr>
              <w:spacing w:after="0" w:before="0"/>
            </w:pPr>
            <w:r/>
            <w:r>
              <w:rPr>
                <w:rFonts w:ascii="Arial" w:hAnsi="Arial" w:cs="Arial"/>
                <w:b w:val="0"/>
                <w:sz w:val="17"/>
              </w:rPr>
              <w:t>Field encryption/tokenisation, DLP, least privilege (§34.2)</w:t>
            </w:r>
          </w:p>
        </w:tc>
      </w:tr>
      <w:tr>
        <w:tc>
          <w:tcPr>
            <w:tcW w:w="2000" w:type="dxa"/>
          </w:tcPr>
          <w:p>
            <w:pPr>
              <w:spacing w:after="0" w:before="0"/>
            </w:pPr>
            <w:r/>
            <w:r>
              <w:rPr>
                <w:rFonts w:ascii="Arial" w:hAnsi="Arial" w:cs="Arial"/>
                <w:b w:val="0"/>
                <w:sz w:val="17"/>
              </w:rPr>
              <w:t>Denial of service</w:t>
            </w:r>
          </w:p>
        </w:tc>
        <w:tc>
          <w:tcPr>
            <w:tcW w:w="3800" w:type="dxa"/>
          </w:tcPr>
          <w:p>
            <w:pPr>
              <w:spacing w:after="0" w:before="0"/>
            </w:pPr>
            <w:r/>
            <w:r>
              <w:rPr>
                <w:rFonts w:ascii="Arial" w:hAnsi="Arial" w:cs="Arial"/>
                <w:b w:val="0"/>
                <w:sz w:val="17"/>
              </w:rPr>
              <w:t>Flooding disbursement/collection APIs</w:t>
            </w:r>
          </w:p>
        </w:tc>
        <w:tc>
          <w:tcPr>
            <w:tcW w:w="3560" w:type="dxa"/>
          </w:tcPr>
          <w:p>
            <w:pPr>
              <w:spacing w:after="0" w:before="0"/>
            </w:pPr>
            <w:r/>
            <w:r>
              <w:rPr>
                <w:rFonts w:ascii="Arial" w:hAnsi="Arial" w:cs="Arial"/>
                <w:b w:val="0"/>
                <w:sz w:val="17"/>
              </w:rPr>
              <w:t>Rate limiting, WAF, autoscaling, circuit breakers (§38)</w:t>
            </w:r>
          </w:p>
        </w:tc>
      </w:tr>
      <w:tr>
        <w:tc>
          <w:tcPr>
            <w:tcW w:w="2000" w:type="dxa"/>
          </w:tcPr>
          <w:p>
            <w:pPr>
              <w:spacing w:after="0" w:before="0"/>
            </w:pPr>
            <w:r/>
            <w:r>
              <w:rPr>
                <w:rFonts w:ascii="Arial" w:hAnsi="Arial" w:cs="Arial"/>
                <w:b w:val="0"/>
                <w:sz w:val="17"/>
              </w:rPr>
              <w:t>Elevation of privilege</w:t>
            </w:r>
          </w:p>
        </w:tc>
        <w:tc>
          <w:tcPr>
            <w:tcW w:w="3800" w:type="dxa"/>
          </w:tcPr>
          <w:p>
            <w:pPr>
              <w:spacing w:after="0" w:before="0"/>
            </w:pPr>
            <w:r/>
            <w:r>
              <w:rPr>
                <w:rFonts w:ascii="Arial" w:hAnsi="Arial" w:cs="Arial"/>
                <w:b w:val="0"/>
                <w:sz w:val="17"/>
              </w:rPr>
              <w:t>Officer gains admin/config rights</w:t>
            </w:r>
          </w:p>
        </w:tc>
        <w:tc>
          <w:tcPr>
            <w:tcW w:w="3560" w:type="dxa"/>
          </w:tcPr>
          <w:p>
            <w:pPr>
              <w:spacing w:after="0" w:before="0"/>
            </w:pPr>
            <w:r/>
            <w:r>
              <w:rPr>
                <w:rFonts w:ascii="Arial" w:hAnsi="Arial" w:cs="Arial"/>
                <w:b w:val="0"/>
                <w:sz w:val="17"/>
              </w:rPr>
              <w:t>RBAC + SoD, PAM, maker-checker on config (§14, §34)</w:t>
            </w:r>
          </w:p>
        </w:tc>
      </w:tr>
    </w:tbl>
    <w:p/>
    <w:p>
      <w:pPr>
        <w:pStyle w:val="Heading1"/>
      </w:pPr>
      <w:r>
        <w:t>66. Appendix D — Model Risk Governance</w:t>
      </w:r>
    </w:p>
    <w:p>
      <w:r>
        <w:rPr>
          <w:rFonts w:ascii="Arial" w:hAnsi="Arial" w:cs="Arial"/>
          <w:b w:val="0"/>
          <w:i w:val="0"/>
          <w:sz w:val="22"/>
        </w:rPr>
        <w:t>The scorecards (Section 5), ECL model (Section 30), pricing model (Section 5.4) and any AI/algorithmic decisioning (Section 17.3) are models that require governance, in line with sound model-risk practice.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7160"/>
      </w:tblGrid>
      <w:tr>
        <w:tc>
          <w:tcPr>
            <w:tcW w:w="2200" w:type="dxa"/>
            <w:shd w:val="clear" w:color="auto" w:fill="1F4E78"/>
          </w:tcPr>
          <w:p>
            <w:pPr>
              <w:spacing w:after="0" w:before="0"/>
            </w:pPr>
            <w:r/>
            <w:r>
              <w:rPr>
                <w:rFonts w:ascii="Arial" w:hAnsi="Arial" w:cs="Arial"/>
                <w:b/>
                <w:color w:val="FFFFFF"/>
                <w:sz w:val="17"/>
              </w:rPr>
              <w:t>Control</w:t>
            </w:r>
          </w:p>
        </w:tc>
        <w:tc>
          <w:tcPr>
            <w:tcW w:w="7160" w:type="dxa"/>
            <w:shd w:val="clear" w:color="auto" w:fill="1F4E78"/>
          </w:tcPr>
          <w:p>
            <w:pPr>
              <w:spacing w:after="0" w:before="0"/>
            </w:pPr>
            <w:r/>
            <w:r>
              <w:rPr>
                <w:rFonts w:ascii="Arial" w:hAnsi="Arial" w:cs="Arial"/>
                <w:b/>
                <w:color w:val="FFFFFF"/>
                <w:sz w:val="17"/>
              </w:rPr>
              <w:t>Requirement</w:t>
            </w:r>
          </w:p>
        </w:tc>
      </w:tr>
      <w:tr>
        <w:tc>
          <w:tcPr>
            <w:tcW w:w="2200" w:type="dxa"/>
          </w:tcPr>
          <w:p>
            <w:pPr>
              <w:spacing w:after="0" w:before="0"/>
            </w:pPr>
            <w:r/>
            <w:r>
              <w:rPr>
                <w:rFonts w:ascii="Arial" w:hAnsi="Arial" w:cs="Arial"/>
                <w:b w:val="0"/>
                <w:sz w:val="17"/>
              </w:rPr>
              <w:t>Model inventory</w:t>
            </w:r>
          </w:p>
        </w:tc>
        <w:tc>
          <w:tcPr>
            <w:tcW w:w="7160" w:type="dxa"/>
          </w:tcPr>
          <w:p>
            <w:pPr>
              <w:spacing w:after="0" w:before="0"/>
            </w:pPr>
            <w:r/>
            <w:r>
              <w:rPr>
                <w:rFonts w:ascii="Arial" w:hAnsi="Arial" w:cs="Arial"/>
                <w:b w:val="0"/>
                <w:sz w:val="17"/>
              </w:rPr>
              <w:t>Register of all decisioning/valuation models with owner and version</w:t>
            </w:r>
          </w:p>
        </w:tc>
      </w:tr>
      <w:tr>
        <w:tc>
          <w:tcPr>
            <w:tcW w:w="2200" w:type="dxa"/>
          </w:tcPr>
          <w:p>
            <w:pPr>
              <w:spacing w:after="0" w:before="0"/>
            </w:pPr>
            <w:r/>
            <w:r>
              <w:rPr>
                <w:rFonts w:ascii="Arial" w:hAnsi="Arial" w:cs="Arial"/>
                <w:b w:val="0"/>
                <w:sz w:val="17"/>
              </w:rPr>
              <w:t>Development standards</w:t>
            </w:r>
          </w:p>
        </w:tc>
        <w:tc>
          <w:tcPr>
            <w:tcW w:w="7160" w:type="dxa"/>
          </w:tcPr>
          <w:p>
            <w:pPr>
              <w:spacing w:after="0" w:before="0"/>
            </w:pPr>
            <w:r/>
            <w:r>
              <w:rPr>
                <w:rFonts w:ascii="Arial" w:hAnsi="Arial" w:cs="Arial"/>
                <w:b w:val="0"/>
                <w:sz w:val="17"/>
              </w:rPr>
              <w:t>Documented data, assumptions, methodology; reproducible</w:t>
            </w:r>
          </w:p>
        </w:tc>
      </w:tr>
      <w:tr>
        <w:tc>
          <w:tcPr>
            <w:tcW w:w="2200" w:type="dxa"/>
          </w:tcPr>
          <w:p>
            <w:pPr>
              <w:spacing w:after="0" w:before="0"/>
            </w:pPr>
            <w:r/>
            <w:r>
              <w:rPr>
                <w:rFonts w:ascii="Arial" w:hAnsi="Arial" w:cs="Arial"/>
                <w:b w:val="0"/>
                <w:sz w:val="17"/>
              </w:rPr>
              <w:t>Independent validation</w:t>
            </w:r>
          </w:p>
        </w:tc>
        <w:tc>
          <w:tcPr>
            <w:tcW w:w="7160" w:type="dxa"/>
          </w:tcPr>
          <w:p>
            <w:pPr>
              <w:spacing w:after="0" w:before="0"/>
            </w:pPr>
            <w:r/>
            <w:r>
              <w:rPr>
                <w:rFonts w:ascii="Arial" w:hAnsi="Arial" w:cs="Arial"/>
                <w:b w:val="0"/>
                <w:sz w:val="17"/>
              </w:rPr>
              <w:t>Pre-deployment and periodic validation by a party independent of development</w:t>
            </w:r>
          </w:p>
        </w:tc>
      </w:tr>
      <w:tr>
        <w:tc>
          <w:tcPr>
            <w:tcW w:w="2200" w:type="dxa"/>
          </w:tcPr>
          <w:p>
            <w:pPr>
              <w:spacing w:after="0" w:before="0"/>
            </w:pPr>
            <w:r/>
            <w:r>
              <w:rPr>
                <w:rFonts w:ascii="Arial" w:hAnsi="Arial" w:cs="Arial"/>
                <w:b w:val="0"/>
                <w:sz w:val="17"/>
              </w:rPr>
              <w:t>Performance monitoring</w:t>
            </w:r>
          </w:p>
        </w:tc>
        <w:tc>
          <w:tcPr>
            <w:tcW w:w="7160" w:type="dxa"/>
          </w:tcPr>
          <w:p>
            <w:pPr>
              <w:spacing w:after="0" w:before="0"/>
            </w:pPr>
            <w:r/>
            <w:r>
              <w:rPr>
                <w:rFonts w:ascii="Arial" w:hAnsi="Arial" w:cs="Arial"/>
                <w:b w:val="0"/>
                <w:sz w:val="17"/>
              </w:rPr>
              <w:t>Ongoing back-testing, drift/stability monitoring, recalibration triggers</w:t>
            </w:r>
          </w:p>
        </w:tc>
      </w:tr>
      <w:tr>
        <w:tc>
          <w:tcPr>
            <w:tcW w:w="2200" w:type="dxa"/>
          </w:tcPr>
          <w:p>
            <w:pPr>
              <w:spacing w:after="0" w:before="0"/>
            </w:pPr>
            <w:r/>
            <w:r>
              <w:rPr>
                <w:rFonts w:ascii="Arial" w:hAnsi="Arial" w:cs="Arial"/>
                <w:b w:val="0"/>
                <w:sz w:val="17"/>
              </w:rPr>
              <w:t>Explainability &amp; fairness</w:t>
            </w:r>
          </w:p>
        </w:tc>
        <w:tc>
          <w:tcPr>
            <w:tcW w:w="7160" w:type="dxa"/>
          </w:tcPr>
          <w:p>
            <w:pPr>
              <w:spacing w:after="0" w:before="0"/>
            </w:pPr>
            <w:r/>
            <w:r>
              <w:rPr>
                <w:rFonts w:ascii="Arial" w:hAnsi="Arial" w:cs="Arial"/>
                <w:b w:val="0"/>
                <w:sz w:val="17"/>
              </w:rPr>
              <w:t>Feature logging for adverse-decision explanation (§17.3); bias testing</w:t>
            </w:r>
          </w:p>
        </w:tc>
      </w:tr>
      <w:tr>
        <w:tc>
          <w:tcPr>
            <w:tcW w:w="2200" w:type="dxa"/>
          </w:tcPr>
          <w:p>
            <w:pPr>
              <w:spacing w:after="0" w:before="0"/>
            </w:pPr>
            <w:r/>
            <w:r>
              <w:rPr>
                <w:rFonts w:ascii="Arial" w:hAnsi="Arial" w:cs="Arial"/>
                <w:b w:val="0"/>
                <w:sz w:val="17"/>
              </w:rPr>
              <w:t>Change control &amp; versioning</w:t>
            </w:r>
          </w:p>
        </w:tc>
        <w:tc>
          <w:tcPr>
            <w:tcW w:w="7160" w:type="dxa"/>
          </w:tcPr>
          <w:p>
            <w:pPr>
              <w:spacing w:after="0" w:before="0"/>
            </w:pPr>
            <w:r/>
            <w:r>
              <w:rPr>
                <w:rFonts w:ascii="Arial" w:hAnsi="Arial" w:cs="Arial"/>
                <w:b w:val="0"/>
                <w:sz w:val="17"/>
              </w:rPr>
              <w:t>Effective-dated model versions (§39.2); maker-checker on promotion</w:t>
            </w:r>
          </w:p>
        </w:tc>
      </w:tr>
      <w:tr>
        <w:tc>
          <w:tcPr>
            <w:tcW w:w="2200" w:type="dxa"/>
          </w:tcPr>
          <w:p>
            <w:pPr>
              <w:spacing w:after="0" w:before="0"/>
            </w:pPr>
            <w:r/>
            <w:r>
              <w:rPr>
                <w:rFonts w:ascii="Arial" w:hAnsi="Arial" w:cs="Arial"/>
                <w:b w:val="0"/>
                <w:sz w:val="17"/>
              </w:rPr>
              <w:t>Board/committee oversight</w:t>
            </w:r>
          </w:p>
        </w:tc>
        <w:tc>
          <w:tcPr>
            <w:tcW w:w="7160" w:type="dxa"/>
          </w:tcPr>
          <w:p>
            <w:pPr>
              <w:spacing w:after="0" w:before="0"/>
            </w:pPr>
            <w:r/>
            <w:r>
              <w:rPr>
                <w:rFonts w:ascii="Arial" w:hAnsi="Arial" w:cs="Arial"/>
                <w:b w:val="0"/>
                <w:sz w:val="17"/>
              </w:rPr>
              <w:t>Model-risk reporting to the risk committee</w:t>
            </w:r>
          </w:p>
        </w:tc>
      </w:tr>
    </w:tbl>
    <w:p/>
    <w:p>
      <w:pPr>
        <w:pStyle w:val="Heading1"/>
      </w:pPr>
      <w:r>
        <w:t>67. Appendix E — Data Governance &amp; Data-Quality Framework</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7160"/>
      </w:tblGrid>
      <w:tr>
        <w:tc>
          <w:tcPr>
            <w:tcW w:w="2200" w:type="dxa"/>
            <w:shd w:val="clear" w:color="auto" w:fill="1F4E78"/>
          </w:tcPr>
          <w:p>
            <w:pPr>
              <w:spacing w:after="0" w:before="0"/>
            </w:pPr>
            <w:r/>
            <w:r>
              <w:rPr>
                <w:rFonts w:ascii="Arial" w:hAnsi="Arial" w:cs="Arial"/>
                <w:b/>
                <w:color w:val="FFFFFF"/>
                <w:sz w:val="17"/>
              </w:rPr>
              <w:t>Element</w:t>
            </w:r>
          </w:p>
        </w:tc>
        <w:tc>
          <w:tcPr>
            <w:tcW w:w="7160" w:type="dxa"/>
            <w:shd w:val="clear" w:color="auto" w:fill="1F4E78"/>
          </w:tcPr>
          <w:p>
            <w:pPr>
              <w:spacing w:after="0" w:before="0"/>
            </w:pPr>
            <w:r/>
            <w:r>
              <w:rPr>
                <w:rFonts w:ascii="Arial" w:hAnsi="Arial" w:cs="Arial"/>
                <w:b/>
                <w:color w:val="FFFFFF"/>
                <w:sz w:val="17"/>
              </w:rPr>
              <w:t>Detail</w:t>
            </w:r>
          </w:p>
        </w:tc>
      </w:tr>
      <w:tr>
        <w:tc>
          <w:tcPr>
            <w:tcW w:w="2200" w:type="dxa"/>
          </w:tcPr>
          <w:p>
            <w:pPr>
              <w:spacing w:after="0" w:before="0"/>
            </w:pPr>
            <w:r/>
            <w:r>
              <w:rPr>
                <w:rFonts w:ascii="Arial" w:hAnsi="Arial" w:cs="Arial"/>
                <w:b w:val="0"/>
                <w:sz w:val="17"/>
              </w:rPr>
              <w:t>Ownership &amp; stewardship</w:t>
            </w:r>
          </w:p>
        </w:tc>
        <w:tc>
          <w:tcPr>
            <w:tcW w:w="7160" w:type="dxa"/>
          </w:tcPr>
          <w:p>
            <w:pPr>
              <w:spacing w:after="0" w:before="0"/>
            </w:pPr>
            <w:r/>
            <w:r>
              <w:rPr>
                <w:rFonts w:ascii="Arial" w:hAnsi="Arial" w:cs="Arial"/>
                <w:b w:val="0"/>
                <w:sz w:val="17"/>
              </w:rPr>
              <w:t>Named data owners/stewards per domain (customer, loan, collateral, GL, reporting)</w:t>
            </w:r>
          </w:p>
        </w:tc>
      </w:tr>
      <w:tr>
        <w:tc>
          <w:tcPr>
            <w:tcW w:w="2200" w:type="dxa"/>
          </w:tcPr>
          <w:p>
            <w:pPr>
              <w:spacing w:after="0" w:before="0"/>
            </w:pPr>
            <w:r/>
            <w:r>
              <w:rPr>
                <w:rFonts w:ascii="Arial" w:hAnsi="Arial" w:cs="Arial"/>
                <w:b w:val="0"/>
                <w:sz w:val="17"/>
              </w:rPr>
              <w:t>Golden record / MDM</w:t>
            </w:r>
          </w:p>
        </w:tc>
        <w:tc>
          <w:tcPr>
            <w:tcW w:w="7160" w:type="dxa"/>
          </w:tcPr>
          <w:p>
            <w:pPr>
              <w:spacing w:after="0" w:before="0"/>
            </w:pPr>
            <w:r/>
            <w:r>
              <w:rPr>
                <w:rFonts w:ascii="Arial" w:hAnsi="Arial" w:cs="Arial"/>
                <w:b w:val="0"/>
                <w:sz w:val="17"/>
              </w:rPr>
              <w:t>Single customer master via de-dupe on PAN/Aadhaar-hash (§2, §11); one source of truth</w:t>
            </w:r>
          </w:p>
        </w:tc>
      </w:tr>
      <w:tr>
        <w:tc>
          <w:tcPr>
            <w:tcW w:w="2200" w:type="dxa"/>
          </w:tcPr>
          <w:p>
            <w:pPr>
              <w:spacing w:after="0" w:before="0"/>
            </w:pPr>
            <w:r/>
            <w:r>
              <w:rPr>
                <w:rFonts w:ascii="Arial" w:hAnsi="Arial" w:cs="Arial"/>
                <w:b w:val="0"/>
                <w:sz w:val="17"/>
              </w:rPr>
              <w:t>Data-quality rules</w:t>
            </w:r>
          </w:p>
        </w:tc>
        <w:tc>
          <w:tcPr>
            <w:tcW w:w="7160" w:type="dxa"/>
          </w:tcPr>
          <w:p>
            <w:pPr>
              <w:spacing w:after="0" w:before="0"/>
            </w:pPr>
            <w:r/>
            <w:r>
              <w:rPr>
                <w:rFonts w:ascii="Arial" w:hAnsi="Arial" w:cs="Arial"/>
                <w:b w:val="0"/>
                <w:sz w:val="17"/>
              </w:rPr>
              <w:t>Completeness, validity (§25.1 regex), consistency, uniqueness, timeliness — measured and scored</w:t>
            </w:r>
          </w:p>
        </w:tc>
      </w:tr>
      <w:tr>
        <w:tc>
          <w:tcPr>
            <w:tcW w:w="2200" w:type="dxa"/>
          </w:tcPr>
          <w:p>
            <w:pPr>
              <w:spacing w:after="0" w:before="0"/>
            </w:pPr>
            <w:r/>
            <w:r>
              <w:rPr>
                <w:rFonts w:ascii="Arial" w:hAnsi="Arial" w:cs="Arial"/>
                <w:b w:val="0"/>
                <w:sz w:val="17"/>
              </w:rPr>
              <w:t>DQ at migration &amp; runtime</w:t>
            </w:r>
          </w:p>
        </w:tc>
        <w:tc>
          <w:tcPr>
            <w:tcW w:w="7160" w:type="dxa"/>
          </w:tcPr>
          <w:p>
            <w:pPr>
              <w:spacing w:after="0" w:before="0"/>
            </w:pPr>
            <w:r/>
            <w:r>
              <w:rPr>
                <w:rFonts w:ascii="Arial" w:hAnsi="Arial" w:cs="Arial"/>
                <w:b w:val="0"/>
                <w:sz w:val="17"/>
              </w:rPr>
              <w:t>Pre-submission DQ engine for bureau files (§10.5); migration DQ scorecards (§23.1)</w:t>
            </w:r>
          </w:p>
        </w:tc>
      </w:tr>
      <w:tr>
        <w:tc>
          <w:tcPr>
            <w:tcW w:w="2200" w:type="dxa"/>
          </w:tcPr>
          <w:p>
            <w:pPr>
              <w:spacing w:after="0" w:before="0"/>
            </w:pPr>
            <w:r/>
            <w:r>
              <w:rPr>
                <w:rFonts w:ascii="Arial" w:hAnsi="Arial" w:cs="Arial"/>
                <w:b w:val="0"/>
                <w:sz w:val="17"/>
              </w:rPr>
              <w:t>Lineage</w:t>
            </w:r>
          </w:p>
        </w:tc>
        <w:tc>
          <w:tcPr>
            <w:tcW w:w="7160" w:type="dxa"/>
          </w:tcPr>
          <w:p>
            <w:pPr>
              <w:spacing w:after="0" w:before="0"/>
            </w:pPr>
            <w:r/>
            <w:r>
              <w:rPr>
                <w:rFonts w:ascii="Arial" w:hAnsi="Arial" w:cs="Arial"/>
                <w:b w:val="0"/>
                <w:sz w:val="17"/>
              </w:rPr>
              <w:t>Traceability from source field → reporting mart → regulatory return (§9.3)</w:t>
            </w:r>
          </w:p>
        </w:tc>
      </w:tr>
      <w:tr>
        <w:tc>
          <w:tcPr>
            <w:tcW w:w="2200" w:type="dxa"/>
          </w:tcPr>
          <w:p>
            <w:pPr>
              <w:spacing w:after="0" w:before="0"/>
            </w:pPr>
            <w:r/>
            <w:r>
              <w:rPr>
                <w:rFonts w:ascii="Arial" w:hAnsi="Arial" w:cs="Arial"/>
                <w:b w:val="0"/>
                <w:sz w:val="17"/>
              </w:rPr>
              <w:t>Reference data &amp; codes</w:t>
            </w:r>
          </w:p>
        </w:tc>
        <w:tc>
          <w:tcPr>
            <w:tcW w:w="7160" w:type="dxa"/>
          </w:tcPr>
          <w:p>
            <w:pPr>
              <w:spacing w:after="0" w:before="0"/>
            </w:pPr>
            <w:r/>
            <w:r>
              <w:rPr>
                <w:rFonts w:ascii="Arial" w:hAnsi="Arial" w:cs="Arial"/>
                <w:b w:val="0"/>
                <w:sz w:val="17"/>
              </w:rPr>
              <w:t>Centrally governed code sets (product, NIC, purpose, GL) with versioning</w:t>
            </w:r>
          </w:p>
        </w:tc>
      </w:tr>
      <w:tr>
        <w:tc>
          <w:tcPr>
            <w:tcW w:w="2200" w:type="dxa"/>
          </w:tcPr>
          <w:p>
            <w:pPr>
              <w:spacing w:after="0" w:before="0"/>
            </w:pPr>
            <w:r/>
            <w:r>
              <w:rPr>
                <w:rFonts w:ascii="Arial" w:hAnsi="Arial" w:cs="Arial"/>
                <w:b w:val="0"/>
                <w:sz w:val="17"/>
              </w:rPr>
              <w:t>Privacy by design</w:t>
            </w:r>
          </w:p>
        </w:tc>
        <w:tc>
          <w:tcPr>
            <w:tcW w:w="7160" w:type="dxa"/>
          </w:tcPr>
          <w:p>
            <w:pPr>
              <w:spacing w:after="0" w:before="0"/>
            </w:pPr>
            <w:r/>
            <w:r>
              <w:rPr>
                <w:rFonts w:ascii="Arial" w:hAnsi="Arial" w:cs="Arial"/>
                <w:b w:val="0"/>
                <w:sz w:val="17"/>
              </w:rPr>
              <w:t>Classification, minimisation, retention and consent (§35)</w:t>
            </w:r>
          </w:p>
        </w:tc>
      </w:tr>
    </w:tbl>
    <w:p/>
    <w:p>
      <w:pPr>
        <w:pStyle w:val="Heading1"/>
      </w:pPr>
      <w:r>
        <w:t>68. Appendix F — Sample MIS Dashboard &amp; Report Catalogue</w:t>
      </w:r>
    </w:p>
    <w:p>
      <w:r>
        <w:rPr>
          <w:rFonts w:ascii="Arial" w:hAnsi="Arial" w:cs="Arial"/>
          <w:b w:val="0"/>
          <w:i w:val="0"/>
          <w:sz w:val="22"/>
        </w:rPr>
        <w:t>An illustrative portfolio dashboard demonstrating the MIS layer (Section 13). Layout and metrics are indicative; the report builder lets Finance/Compliance self-serve over the reporting mart.</w:t>
      </w:r>
    </w:p>
    <w:p>
      <w:pPr>
        <w:jc w:val="center"/>
      </w:pPr>
      <w:r>
        <w:drawing>
          <wp:inline xmlns:a="http://schemas.openxmlformats.org/drawingml/2006/main" xmlns:pic="http://schemas.openxmlformats.org/drawingml/2006/picture">
            <wp:extent cx="6309360" cy="4261718"/>
            <wp:docPr id="15" name="Picture 15"/>
            <wp:cNvGraphicFramePr>
              <a:graphicFrameLocks noChangeAspect="1"/>
            </wp:cNvGraphicFramePr>
            <a:graphic>
              <a:graphicData uri="http://schemas.openxmlformats.org/drawingml/2006/picture">
                <pic:pic>
                  <pic:nvPicPr>
                    <pic:cNvPr id="0" name="d12_mis.png"/>
                    <pic:cNvPicPr/>
                  </pic:nvPicPr>
                  <pic:blipFill>
                    <a:blip r:embed="rId27"/>
                    <a:stretch>
                      <a:fillRect/>
                    </a:stretch>
                  </pic:blipFill>
                  <pic:spPr>
                    <a:xfrm>
                      <a:off x="0" y="0"/>
                      <a:ext cx="6309360" cy="4261718"/>
                    </a:xfrm>
                    <a:prstGeom prst="rect"/>
                  </pic:spPr>
                </pic:pic>
              </a:graphicData>
            </a:graphic>
          </wp:inline>
        </w:drawing>
      </w:r>
    </w:p>
    <w:p>
      <w:pPr>
        <w:jc w:val="center"/>
      </w:pPr>
      <w:r>
        <w:rPr>
          <w:rFonts w:ascii="Arial" w:hAnsi="Arial" w:cs="Arial"/>
          <w:i/>
          <w:color w:val="404040"/>
          <w:sz w:val="18"/>
        </w:rPr>
        <w:t>Figure 68.1 — Illustrative portfolio MIS dashboard (mockup): KPI tiles, product mix, disbursement trend, PAR buckets, branch collection efficiency.</w:t>
      </w:r>
    </w:p>
    <w:p>
      <w:r>
        <w:rPr>
          <w:rFonts w:ascii="Arial" w:hAnsi="Arial" w:cs="Arial"/>
          <w:b w:val="0"/>
          <w:i w:val="0"/>
          <w:sz w:val="22"/>
        </w:rPr>
        <w:t>Standard reports include the Portfolio Dashboard, Delinquency/PAR, Collection Efficiency, NPA &amp; Provisioning, Product Profitability, and the Regulatory/Bureau submission trackers (Section 13), each drillable and exportable.</w:t>
      </w:r>
    </w:p>
    <w:p>
      <w:r>
        <w:br w:type="page"/>
      </w:r>
    </w:p>
    <w:p>
      <w:pPr>
        <w:pStyle w:val="Heading1"/>
      </w:pPr>
      <w:r>
        <w:t>69. Financial Ratios &amp; Regulatory Computation Engine</w:t>
      </w:r>
    </w:p>
    <w:p>
      <w:r>
        <w:rPr>
          <w:rFonts w:ascii="Arial" w:hAnsi="Arial" w:cs="Arial"/>
          <w:b w:val="0"/>
          <w:i w:val="0"/>
          <w:sz w:val="22"/>
        </w:rPr>
        <w:t>The platform must compute the prudential and performance ratios an NBFC (and, where the same codebase serves one, an Urban Cooperative Bank) reports and monitors. Each ratio below is given with its formula, a worked illustrative example (₹ crore), the applicable threshold, and the source module that supplies the inputs. All figures are illustrative; thresholds are per the extant RBI norms and must be confirmed by Compliance. These ratios feed the RBI returns (Section 9) and the MIS dashboards (Section 13).</w:t>
      </w:r>
    </w:p>
    <w:p>
      <w:pPr>
        <w:pStyle w:val="Heading2"/>
      </w:pPr>
      <w:r>
        <w:t>69.1 Capital Adequacy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CRAR (Capital to Risk-weighted Assets Ratio) = (Tier I + Tier II capital) / RWA × 100</w:t>
            </w:r>
            <w:r>
              <w:rPr>
                <w:rFonts w:ascii="Consolas" w:hAnsi="Consolas" w:cs="Consolas"/>
                <w:b w:val="0"/>
                <w:sz w:val="19"/>
              </w:rPr>
              <w:br/>
              <w:t>Tier I ratio = Tier I capital / RWA × 100</w:t>
            </w:r>
            <w:r>
              <w:rPr>
                <w:rFonts w:ascii="Consolas" w:hAnsi="Consolas" w:cs="Consolas"/>
                <w:b w:val="0"/>
                <w:sz w:val="19"/>
              </w:rPr>
              <w:br/>
              <w:t>Net Owned Fund (NOF) = Owned Fund − investments in group/subsidiary companies (per RBI formula)</w:t>
            </w:r>
          </w:p>
        </w:tc>
      </w:tr>
    </w:tbl>
    <w:p/>
    <w:p>
      <w:r>
        <w:rPr>
          <w:rFonts w:ascii="Arial" w:hAnsi="Arial" w:cs="Arial"/>
          <w:b w:val="0"/>
          <w:i w:val="0"/>
          <w:sz w:val="22"/>
        </w:rPr>
        <w:t>Example: Tier I ₹150 cr + Tier II ₹50 cr = capital funds ₹200 cr; RWA ₹1000 cr → CRAR = 20.0%, Tier I ratio = 15.0%. Tier II is capped at 100% of Tier I. Upper-Layer NBFCs must additionally maintain CET1 capital; UCBs follow a separate tiered CRAR regime (Section 69.8).</w:t>
      </w:r>
    </w:p>
    <w:p>
      <w:pPr>
        <w:pStyle w:val="Heading2"/>
      </w:pPr>
      <w:r>
        <w:t>69.2 Risk-Weighted Assets (RWA)</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RWA = Σ (Exposure_i × Risk_Weight_i)  for on-balance-sheet assets</w:t>
            </w:r>
            <w:r>
              <w:rPr>
                <w:rFonts w:ascii="Consolas" w:hAnsi="Consolas" w:cs="Consolas"/>
                <w:b w:val="0"/>
                <w:sz w:val="19"/>
              </w:rPr>
              <w:br/>
              <w:t xml:space="preserve">     + Σ (Credit_Equivalent_of_off-balance_item × Risk_Weight)</w:t>
            </w:r>
            <w:r>
              <w:rPr>
                <w:rFonts w:ascii="Consolas" w:hAnsi="Consolas" w:cs="Consolas"/>
                <w:b w:val="0"/>
                <w:sz w:val="19"/>
              </w:rPr>
              <w:br/>
              <w:t>Risk weights are prescribed by asset class (e.g., different weights for cash, government securities,</w:t>
            </w:r>
            <w:r>
              <w:rPr>
                <w:rFonts w:ascii="Consolas" w:hAnsi="Consolas" w:cs="Consolas"/>
                <w:b w:val="0"/>
                <w:sz w:val="19"/>
              </w:rPr>
              <w:br/>
              <w:t>secured retail, unsecured, capital-market/CRE exposures) per RBI norms.</w:t>
            </w:r>
          </w:p>
        </w:tc>
      </w:tr>
    </w:tbl>
    <w:p/>
    <w:p>
      <w:r>
        <w:rPr>
          <w:rFonts w:ascii="Arial" w:hAnsi="Arial" w:cs="Arial"/>
          <w:b w:val="0"/>
          <w:i w:val="0"/>
          <w:sz w:val="22"/>
        </w:rPr>
        <w:t>Example: ₹600 cr of exposures at 100% + ₹400 cr at 50% → RWA = 600 + 200 = ₹800 cr. Risk weights are held in a configurable table (versioned per Section 39.2) so RBI revisions do not require a code change.</w:t>
      </w:r>
    </w:p>
    <w:p>
      <w:pPr>
        <w:pStyle w:val="Heading2"/>
      </w:pPr>
      <w:r>
        <w:t>69.3 Leverage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Leverage Ratio (NBFC) = Total Outside Liabilities / Owned Fund</w:t>
            </w:r>
          </w:p>
        </w:tc>
      </w:tr>
    </w:tbl>
    <w:p/>
    <w:p>
      <w:r>
        <w:rPr>
          <w:rFonts w:ascii="Arial" w:hAnsi="Arial" w:cs="Arial"/>
          <w:b w:val="0"/>
          <w:i w:val="0"/>
          <w:sz w:val="22"/>
        </w:rPr>
        <w:t>Example: TOL ₹900 cr / Owned Fund ₹200 cr = 4.5× (within the ceiling of 7 applicable to the relevant NBFC category). The Basel-style leverage view (Tier I / total exposure) is computed in parallel for Upper-Layer monitoring.</w:t>
      </w:r>
    </w:p>
    <w:p>
      <w:pPr>
        <w:pStyle w:val="Heading2"/>
      </w:pPr>
      <w:r>
        <w:t>69.4 Asset Quality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GNPA % = Gross NPA / Gross Advances × 100</w:t>
            </w:r>
            <w:r>
              <w:rPr>
                <w:rFonts w:ascii="Consolas" w:hAnsi="Consolas" w:cs="Consolas"/>
                <w:b w:val="0"/>
                <w:sz w:val="19"/>
              </w:rPr>
              <w:br/>
              <w:t>Net NPA % = (Gross NPA − Provisions held) / (Gross Advances − Provisions held) × 100</w:t>
            </w:r>
            <w:r>
              <w:rPr>
                <w:rFonts w:ascii="Consolas" w:hAnsi="Consolas" w:cs="Consolas"/>
                <w:b w:val="0"/>
                <w:sz w:val="19"/>
              </w:rPr>
              <w:br/>
              <w:t>Provision Coverage Ratio (PCR) = Provisions held on NPA / Gross NPA × 100</w:t>
            </w:r>
          </w:p>
        </w:tc>
      </w:tr>
    </w:tbl>
    <w:p/>
    <w:p>
      <w:r>
        <w:rPr>
          <w:rFonts w:ascii="Arial" w:hAnsi="Arial" w:cs="Arial"/>
          <w:b w:val="0"/>
          <w:i w:val="0"/>
          <w:sz w:val="22"/>
        </w:rPr>
        <w:t>Example: Gross advances ₹1050 cr, Gross NPA ₹35 cr, provisions ₹14 cr → GNPA 3.33%, Net NPA 2.03%, PCR 40%. Sourced from the NPA engine (Section 9.4) and provisioning/ECL (Section 30).</w:t>
      </w:r>
    </w:p>
    <w:p>
      <w:pPr>
        <w:pStyle w:val="Heading2"/>
      </w:pPr>
      <w:r>
        <w:t>69.5 Profitability &amp; Efficiency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4200"/>
        <w:gridCol w:w="2560"/>
      </w:tblGrid>
      <w:tr>
        <w:tc>
          <w:tcPr>
            <w:tcW w:w="2600" w:type="dxa"/>
            <w:shd w:val="clear" w:color="auto" w:fill="1F4E78"/>
          </w:tcPr>
          <w:p>
            <w:pPr>
              <w:spacing w:after="0" w:before="0"/>
            </w:pPr>
            <w:r/>
            <w:r>
              <w:rPr>
                <w:rFonts w:ascii="Arial" w:hAnsi="Arial" w:cs="Arial"/>
                <w:b/>
                <w:color w:val="FFFFFF"/>
                <w:sz w:val="17"/>
              </w:rPr>
              <w:t>Ratio</w:t>
            </w:r>
          </w:p>
        </w:tc>
        <w:tc>
          <w:tcPr>
            <w:tcW w:w="4200" w:type="dxa"/>
            <w:shd w:val="clear" w:color="auto" w:fill="1F4E78"/>
          </w:tcPr>
          <w:p>
            <w:pPr>
              <w:spacing w:after="0" w:before="0"/>
            </w:pPr>
            <w:r/>
            <w:r>
              <w:rPr>
                <w:rFonts w:ascii="Arial" w:hAnsi="Arial" w:cs="Arial"/>
                <w:b/>
                <w:color w:val="FFFFFF"/>
                <w:sz w:val="17"/>
              </w:rPr>
              <w:t>Formula</w:t>
            </w:r>
          </w:p>
        </w:tc>
        <w:tc>
          <w:tcPr>
            <w:tcW w:w="2560" w:type="dxa"/>
            <w:shd w:val="clear" w:color="auto" w:fill="1F4E78"/>
          </w:tcPr>
          <w:p>
            <w:pPr>
              <w:spacing w:after="0" w:before="0"/>
            </w:pPr>
            <w:r/>
            <w:r>
              <w:rPr>
                <w:rFonts w:ascii="Arial" w:hAnsi="Arial" w:cs="Arial"/>
                <w:b/>
                <w:color w:val="FFFFFF"/>
                <w:sz w:val="17"/>
              </w:rPr>
              <w:t>Illustrative</w:t>
            </w:r>
          </w:p>
        </w:tc>
      </w:tr>
      <w:tr>
        <w:tc>
          <w:tcPr>
            <w:tcW w:w="2600" w:type="dxa"/>
          </w:tcPr>
          <w:p>
            <w:pPr>
              <w:spacing w:after="0" w:before="0"/>
            </w:pPr>
            <w:r/>
            <w:r>
              <w:rPr>
                <w:rFonts w:ascii="Arial" w:hAnsi="Arial" w:cs="Arial"/>
                <w:b w:val="0"/>
                <w:sz w:val="17"/>
              </w:rPr>
              <w:t>Net Interest Margin (NIM)</w:t>
            </w:r>
          </w:p>
        </w:tc>
        <w:tc>
          <w:tcPr>
            <w:tcW w:w="4200" w:type="dxa"/>
          </w:tcPr>
          <w:p>
            <w:pPr>
              <w:spacing w:after="0" w:before="0"/>
            </w:pPr>
            <w:r/>
            <w:r>
              <w:rPr>
                <w:rFonts w:ascii="Arial" w:hAnsi="Arial" w:cs="Arial"/>
                <w:b w:val="0"/>
                <w:sz w:val="17"/>
              </w:rPr>
              <w:t>Net Interest Income / Avg interest-earning assets</w:t>
            </w:r>
          </w:p>
        </w:tc>
        <w:tc>
          <w:tcPr>
            <w:tcW w:w="2560" w:type="dxa"/>
          </w:tcPr>
          <w:p>
            <w:pPr>
              <w:spacing w:after="0" w:before="0"/>
            </w:pPr>
            <w:r/>
            <w:r>
              <w:rPr>
                <w:rFonts w:ascii="Arial" w:hAnsi="Arial" w:cs="Arial"/>
                <w:b w:val="0"/>
                <w:sz w:val="17"/>
              </w:rPr>
              <w:t>8.18%</w:t>
            </w:r>
          </w:p>
        </w:tc>
      </w:tr>
      <w:tr>
        <w:tc>
          <w:tcPr>
            <w:tcW w:w="2600" w:type="dxa"/>
          </w:tcPr>
          <w:p>
            <w:pPr>
              <w:spacing w:after="0" w:before="0"/>
            </w:pPr>
            <w:r/>
            <w:r>
              <w:rPr>
                <w:rFonts w:ascii="Arial" w:hAnsi="Arial" w:cs="Arial"/>
                <w:b w:val="0"/>
                <w:sz w:val="17"/>
              </w:rPr>
              <w:t>Return on Assets (RoA)</w:t>
            </w:r>
          </w:p>
        </w:tc>
        <w:tc>
          <w:tcPr>
            <w:tcW w:w="4200" w:type="dxa"/>
          </w:tcPr>
          <w:p>
            <w:pPr>
              <w:spacing w:after="0" w:before="0"/>
            </w:pPr>
            <w:r/>
            <w:r>
              <w:rPr>
                <w:rFonts w:ascii="Arial" w:hAnsi="Arial" w:cs="Arial"/>
                <w:b w:val="0"/>
                <w:sz w:val="17"/>
              </w:rPr>
              <w:t>Net profit after tax / Avg total assets</w:t>
            </w:r>
          </w:p>
        </w:tc>
        <w:tc>
          <w:tcPr>
            <w:tcW w:w="2560" w:type="dxa"/>
          </w:tcPr>
          <w:p>
            <w:pPr>
              <w:spacing w:after="0" w:before="0"/>
            </w:pPr>
            <w:r/>
            <w:r>
              <w:rPr>
                <w:rFonts w:ascii="Arial" w:hAnsi="Arial" w:cs="Arial"/>
                <w:b w:val="0"/>
                <w:sz w:val="17"/>
              </w:rPr>
              <w:t>2.61%</w:t>
            </w:r>
          </w:p>
        </w:tc>
      </w:tr>
      <w:tr>
        <w:tc>
          <w:tcPr>
            <w:tcW w:w="2600" w:type="dxa"/>
          </w:tcPr>
          <w:p>
            <w:pPr>
              <w:spacing w:after="0" w:before="0"/>
            </w:pPr>
            <w:r/>
            <w:r>
              <w:rPr>
                <w:rFonts w:ascii="Arial" w:hAnsi="Arial" w:cs="Arial"/>
                <w:b w:val="0"/>
                <w:sz w:val="17"/>
              </w:rPr>
              <w:t>Return on Equity (RoE)</w:t>
            </w:r>
          </w:p>
        </w:tc>
        <w:tc>
          <w:tcPr>
            <w:tcW w:w="4200" w:type="dxa"/>
          </w:tcPr>
          <w:p>
            <w:pPr>
              <w:spacing w:after="0" w:before="0"/>
            </w:pPr>
            <w:r/>
            <w:r>
              <w:rPr>
                <w:rFonts w:ascii="Arial" w:hAnsi="Arial" w:cs="Arial"/>
                <w:b w:val="0"/>
                <w:sz w:val="17"/>
              </w:rPr>
              <w:t>Net profit after tax / Avg net worth</w:t>
            </w:r>
          </w:p>
        </w:tc>
        <w:tc>
          <w:tcPr>
            <w:tcW w:w="2560" w:type="dxa"/>
          </w:tcPr>
          <w:p>
            <w:pPr>
              <w:spacing w:after="0" w:before="0"/>
            </w:pPr>
            <w:r/>
            <w:r>
              <w:rPr>
                <w:rFonts w:ascii="Arial" w:hAnsi="Arial" w:cs="Arial"/>
                <w:b w:val="0"/>
                <w:sz w:val="17"/>
              </w:rPr>
              <w:t>15.0%</w:t>
            </w:r>
          </w:p>
        </w:tc>
      </w:tr>
      <w:tr>
        <w:tc>
          <w:tcPr>
            <w:tcW w:w="2600" w:type="dxa"/>
          </w:tcPr>
          <w:p>
            <w:pPr>
              <w:spacing w:after="0" w:before="0"/>
            </w:pPr>
            <w:r/>
            <w:r>
              <w:rPr>
                <w:rFonts w:ascii="Arial" w:hAnsi="Arial" w:cs="Arial"/>
                <w:b w:val="0"/>
                <w:sz w:val="17"/>
              </w:rPr>
              <w:t>Cost of Funds</w:t>
            </w:r>
          </w:p>
        </w:tc>
        <w:tc>
          <w:tcPr>
            <w:tcW w:w="4200" w:type="dxa"/>
          </w:tcPr>
          <w:p>
            <w:pPr>
              <w:spacing w:after="0" w:before="0"/>
            </w:pPr>
            <w:r/>
            <w:r>
              <w:rPr>
                <w:rFonts w:ascii="Arial" w:hAnsi="Arial" w:cs="Arial"/>
                <w:b w:val="0"/>
                <w:sz w:val="17"/>
              </w:rPr>
              <w:t>Interest expense / Avg borrowings</w:t>
            </w:r>
          </w:p>
        </w:tc>
        <w:tc>
          <w:tcPr>
            <w:tcW w:w="2560" w:type="dxa"/>
          </w:tcPr>
          <w:p>
            <w:pPr>
              <w:spacing w:after="0" w:before="0"/>
            </w:pPr>
            <w:r/>
            <w:r>
              <w:rPr>
                <w:rFonts w:ascii="Arial" w:hAnsi="Arial" w:cs="Arial"/>
                <w:b w:val="0"/>
                <w:sz w:val="17"/>
              </w:rPr>
              <w:t>from GL (Section 8)</w:t>
            </w:r>
          </w:p>
        </w:tc>
      </w:tr>
      <w:tr>
        <w:tc>
          <w:tcPr>
            <w:tcW w:w="2600" w:type="dxa"/>
          </w:tcPr>
          <w:p>
            <w:pPr>
              <w:spacing w:after="0" w:before="0"/>
            </w:pPr>
            <w:r/>
            <w:r>
              <w:rPr>
                <w:rFonts w:ascii="Arial" w:hAnsi="Arial" w:cs="Arial"/>
                <w:b w:val="0"/>
                <w:sz w:val="17"/>
              </w:rPr>
              <w:t>Yield on Advances</w:t>
            </w:r>
          </w:p>
        </w:tc>
        <w:tc>
          <w:tcPr>
            <w:tcW w:w="4200" w:type="dxa"/>
          </w:tcPr>
          <w:p>
            <w:pPr>
              <w:spacing w:after="0" w:before="0"/>
            </w:pPr>
            <w:r/>
            <w:r>
              <w:rPr>
                <w:rFonts w:ascii="Arial" w:hAnsi="Arial" w:cs="Arial"/>
                <w:b w:val="0"/>
                <w:sz w:val="17"/>
              </w:rPr>
              <w:t>Interest income / Avg advances</w:t>
            </w:r>
          </w:p>
        </w:tc>
        <w:tc>
          <w:tcPr>
            <w:tcW w:w="2560" w:type="dxa"/>
          </w:tcPr>
          <w:p>
            <w:pPr>
              <w:spacing w:after="0" w:before="0"/>
            </w:pPr>
            <w:r/>
            <w:r>
              <w:rPr>
                <w:rFonts w:ascii="Arial" w:hAnsi="Arial" w:cs="Arial"/>
                <w:b w:val="0"/>
                <w:sz w:val="17"/>
              </w:rPr>
              <w:t>from GL (Section 8)</w:t>
            </w:r>
          </w:p>
        </w:tc>
      </w:tr>
      <w:tr>
        <w:tc>
          <w:tcPr>
            <w:tcW w:w="2600" w:type="dxa"/>
          </w:tcPr>
          <w:p>
            <w:pPr>
              <w:spacing w:after="0" w:before="0"/>
            </w:pPr>
            <w:r/>
            <w:r>
              <w:rPr>
                <w:rFonts w:ascii="Arial" w:hAnsi="Arial" w:cs="Arial"/>
                <w:b w:val="0"/>
                <w:sz w:val="17"/>
              </w:rPr>
              <w:t>Cost-to-Income</w:t>
            </w:r>
          </w:p>
        </w:tc>
        <w:tc>
          <w:tcPr>
            <w:tcW w:w="4200" w:type="dxa"/>
          </w:tcPr>
          <w:p>
            <w:pPr>
              <w:spacing w:after="0" w:before="0"/>
            </w:pPr>
            <w:r/>
            <w:r>
              <w:rPr>
                <w:rFonts w:ascii="Arial" w:hAnsi="Arial" w:cs="Arial"/>
                <w:b w:val="0"/>
                <w:sz w:val="17"/>
              </w:rPr>
              <w:t>Operating expenses / Net total income</w:t>
            </w:r>
          </w:p>
        </w:tc>
        <w:tc>
          <w:tcPr>
            <w:tcW w:w="2560" w:type="dxa"/>
          </w:tcPr>
          <w:p>
            <w:pPr>
              <w:spacing w:after="0" w:before="0"/>
            </w:pPr>
            <w:r/>
            <w:r>
              <w:rPr>
                <w:rFonts w:ascii="Arial" w:hAnsi="Arial" w:cs="Arial"/>
                <w:b w:val="0"/>
                <w:sz w:val="17"/>
              </w:rPr>
              <w:t>from GL (Section 8)</w:t>
            </w:r>
          </w:p>
        </w:tc>
      </w:tr>
    </w:tbl>
    <w:p/>
    <w:p>
      <w:pPr>
        <w:pStyle w:val="Heading2"/>
      </w:pPr>
      <w:r>
        <w:t>69.6 Liquidity &amp; ALM</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Liquidity Coverage Ratio (LCR) = High-Quality Liquid Assets / Net cash outflows over 30 days × 100</w:t>
            </w:r>
            <w:r>
              <w:rPr>
                <w:rFonts w:ascii="Consolas" w:hAnsi="Consolas" w:cs="Consolas"/>
                <w:b w:val="0"/>
                <w:sz w:val="19"/>
              </w:rPr>
              <w:br/>
              <w:t>Structural liquidity / ALM gap = Inflows − Outflows in each maturity bucket (cumulative)</w:t>
            </w:r>
          </w:p>
        </w:tc>
      </w:tr>
    </w:tbl>
    <w:p/>
    <w:p>
      <w:r>
        <w:rPr>
          <w:rFonts w:ascii="Arial" w:hAnsi="Arial" w:cs="Arial"/>
          <w:b w:val="0"/>
          <w:i w:val="0"/>
          <w:sz w:val="22"/>
        </w:rPr>
        <w:t>Example: HQLA ₹120 cr / 30-day net outflows ₹100 cr = LCR 120% (≥ 100% where applicable). ALM buckets are built from the repayment/borrowing schedules and feed the ALM returns (Section 9.2).</w:t>
      </w:r>
    </w:p>
    <w:p>
      <w:pPr>
        <w:pStyle w:val="Heading2"/>
      </w:pPr>
      <w:r>
        <w:t>69.7 Exposure &amp; Concentration Norms</w:t>
      </w:r>
    </w:p>
    <w:p>
      <w:r>
        <w:rPr>
          <w:rFonts w:ascii="Arial" w:hAnsi="Arial" w:cs="Arial"/>
          <w:b w:val="0"/>
          <w:i w:val="0"/>
          <w:sz w:val="22"/>
        </w:rPr>
        <w:t>Single- and group-borrower ceilings are expressed as a percentage of Tier I capital (large-exposure framework). Example on Tier I ₹150 cr: single-borrower cap ~₹37.5 cr (25%), group cap ~₹60.0 cr (40%). The engine checks every sanction against the live utilisation of these limits and flags breaches (Sections 5, 9.2 CRILC).</w:t>
      </w:r>
    </w:p>
    <w:p>
      <w:pPr>
        <w:pStyle w:val="Heading2"/>
      </w:pPr>
      <w:r>
        <w:t>69.8 Entity-Wise Threshold Matrix</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1400"/>
        <w:gridCol w:w="1700"/>
        <w:gridCol w:w="3660"/>
      </w:tblGrid>
      <w:tr>
        <w:tc>
          <w:tcPr>
            <w:tcW w:w="2600" w:type="dxa"/>
            <w:shd w:val="clear" w:color="auto" w:fill="1F4E78"/>
          </w:tcPr>
          <w:p>
            <w:pPr>
              <w:spacing w:after="0" w:before="0"/>
            </w:pPr>
            <w:r/>
            <w:r>
              <w:rPr>
                <w:rFonts w:ascii="Arial" w:hAnsi="Arial" w:cs="Arial"/>
                <w:b/>
                <w:color w:val="FFFFFF"/>
                <w:sz w:val="17"/>
              </w:rPr>
              <w:t>Entity</w:t>
            </w:r>
          </w:p>
        </w:tc>
        <w:tc>
          <w:tcPr>
            <w:tcW w:w="1400" w:type="dxa"/>
            <w:shd w:val="clear" w:color="auto" w:fill="1F4E78"/>
          </w:tcPr>
          <w:p>
            <w:pPr>
              <w:spacing w:after="0" w:before="0"/>
            </w:pPr>
            <w:r/>
            <w:r>
              <w:rPr>
                <w:rFonts w:ascii="Arial" w:hAnsi="Arial" w:cs="Arial"/>
                <w:b/>
                <w:color w:val="FFFFFF"/>
                <w:sz w:val="17"/>
              </w:rPr>
              <w:t>Min CRAR</w:t>
            </w:r>
          </w:p>
        </w:tc>
        <w:tc>
          <w:tcPr>
            <w:tcW w:w="1700" w:type="dxa"/>
            <w:shd w:val="clear" w:color="auto" w:fill="1F4E78"/>
          </w:tcPr>
          <w:p>
            <w:pPr>
              <w:spacing w:after="0" w:before="0"/>
            </w:pPr>
            <w:r/>
            <w:r>
              <w:rPr>
                <w:rFonts w:ascii="Arial" w:hAnsi="Arial" w:cs="Arial"/>
                <w:b/>
                <w:color w:val="FFFFFF"/>
                <w:sz w:val="17"/>
              </w:rPr>
              <w:t>Tier I / CET1</w:t>
            </w:r>
          </w:p>
        </w:tc>
        <w:tc>
          <w:tcPr>
            <w:tcW w:w="3660" w:type="dxa"/>
            <w:shd w:val="clear" w:color="auto" w:fill="1F4E78"/>
          </w:tcPr>
          <w:p>
            <w:pPr>
              <w:spacing w:after="0" w:before="0"/>
            </w:pPr>
            <w:r/>
            <w:r>
              <w:rPr>
                <w:rFonts w:ascii="Arial" w:hAnsi="Arial" w:cs="Arial"/>
                <w:b/>
                <w:color w:val="FFFFFF"/>
                <w:sz w:val="17"/>
              </w:rPr>
              <w:t>Notes</w:t>
            </w:r>
          </w:p>
        </w:tc>
      </w:tr>
      <w:tr>
        <w:tc>
          <w:tcPr>
            <w:tcW w:w="2600" w:type="dxa"/>
          </w:tcPr>
          <w:p>
            <w:pPr>
              <w:spacing w:after="0" w:before="0"/>
            </w:pPr>
            <w:r/>
            <w:r>
              <w:rPr>
                <w:rFonts w:ascii="Arial" w:hAnsi="Arial" w:cs="Arial"/>
                <w:b w:val="0"/>
                <w:sz w:val="17"/>
              </w:rPr>
              <w:t>NBFC (Base/Middle/Upper Layer)</w:t>
            </w:r>
          </w:p>
        </w:tc>
        <w:tc>
          <w:tcPr>
            <w:tcW w:w="1400" w:type="dxa"/>
          </w:tcPr>
          <w:p>
            <w:pPr>
              <w:spacing w:after="0" w:before="0"/>
            </w:pPr>
            <w:r/>
            <w:r>
              <w:rPr>
                <w:rFonts w:ascii="Arial" w:hAnsi="Arial" w:cs="Arial"/>
                <w:b w:val="0"/>
                <w:sz w:val="17"/>
              </w:rPr>
              <w:t>15%</w:t>
            </w:r>
          </w:p>
        </w:tc>
        <w:tc>
          <w:tcPr>
            <w:tcW w:w="1700" w:type="dxa"/>
          </w:tcPr>
          <w:p>
            <w:pPr>
              <w:spacing w:after="0" w:before="0"/>
            </w:pPr>
            <w:r/>
            <w:r>
              <w:rPr>
                <w:rFonts w:ascii="Arial" w:hAnsi="Arial" w:cs="Arial"/>
                <w:b w:val="0"/>
                <w:sz w:val="17"/>
              </w:rPr>
              <w:t>Tier I ≥ 10%</w:t>
            </w:r>
          </w:p>
        </w:tc>
        <w:tc>
          <w:tcPr>
            <w:tcW w:w="3660" w:type="dxa"/>
          </w:tcPr>
          <w:p>
            <w:pPr>
              <w:spacing w:after="0" w:before="0"/>
            </w:pPr>
            <w:r/>
            <w:r>
              <w:rPr>
                <w:rFonts w:ascii="Arial" w:hAnsi="Arial" w:cs="Arial"/>
                <w:b w:val="0"/>
                <w:sz w:val="17"/>
              </w:rPr>
              <w:t>Upper Layer also maintains CET1 (RBI-prescribed); leverage ceiling applies</w:t>
            </w:r>
          </w:p>
        </w:tc>
      </w:tr>
      <w:tr>
        <w:tc>
          <w:tcPr>
            <w:tcW w:w="2600" w:type="dxa"/>
          </w:tcPr>
          <w:p>
            <w:pPr>
              <w:spacing w:after="0" w:before="0"/>
            </w:pPr>
            <w:r/>
            <w:r>
              <w:rPr>
                <w:rFonts w:ascii="Arial" w:hAnsi="Arial" w:cs="Arial"/>
                <w:b w:val="0"/>
                <w:sz w:val="17"/>
              </w:rPr>
              <w:t>NBFC-Deposit-taking</w:t>
            </w:r>
          </w:p>
        </w:tc>
        <w:tc>
          <w:tcPr>
            <w:tcW w:w="1400" w:type="dxa"/>
          </w:tcPr>
          <w:p>
            <w:pPr>
              <w:spacing w:after="0" w:before="0"/>
            </w:pPr>
            <w:r/>
            <w:r>
              <w:rPr>
                <w:rFonts w:ascii="Arial" w:hAnsi="Arial" w:cs="Arial"/>
                <w:b w:val="0"/>
                <w:sz w:val="17"/>
              </w:rPr>
              <w:t>15%</w:t>
            </w:r>
          </w:p>
        </w:tc>
        <w:tc>
          <w:tcPr>
            <w:tcW w:w="1700" w:type="dxa"/>
          </w:tcPr>
          <w:p>
            <w:pPr>
              <w:spacing w:after="0" w:before="0"/>
            </w:pPr>
            <w:r/>
            <w:r>
              <w:rPr>
                <w:rFonts w:ascii="Arial" w:hAnsi="Arial" w:cs="Arial"/>
                <w:b w:val="0"/>
                <w:sz w:val="17"/>
              </w:rPr>
              <w:t>Tier I ≥ 10%</w:t>
            </w:r>
          </w:p>
        </w:tc>
        <w:tc>
          <w:tcPr>
            <w:tcW w:w="3660" w:type="dxa"/>
          </w:tcPr>
          <w:p>
            <w:pPr>
              <w:spacing w:after="0" w:before="0"/>
            </w:pPr>
            <w:r/>
            <w:r>
              <w:rPr>
                <w:rFonts w:ascii="Arial" w:hAnsi="Arial" w:cs="Arial"/>
                <w:b w:val="0"/>
                <w:sz w:val="17"/>
              </w:rPr>
              <w:t>Additional deposit-side prudential norms (Section 9.2)</w:t>
            </w:r>
          </w:p>
        </w:tc>
      </w:tr>
      <w:tr>
        <w:tc>
          <w:tcPr>
            <w:tcW w:w="2600" w:type="dxa"/>
          </w:tcPr>
          <w:p>
            <w:pPr>
              <w:spacing w:after="0" w:before="0"/>
            </w:pPr>
            <w:r/>
            <w:r>
              <w:rPr>
                <w:rFonts w:ascii="Arial" w:hAnsi="Arial" w:cs="Arial"/>
                <w:b w:val="0"/>
                <w:sz w:val="17"/>
              </w:rPr>
              <w:t>UCB — Tier 1</w:t>
            </w:r>
          </w:p>
        </w:tc>
        <w:tc>
          <w:tcPr>
            <w:tcW w:w="1400" w:type="dxa"/>
          </w:tcPr>
          <w:p>
            <w:pPr>
              <w:spacing w:after="0" w:before="0"/>
            </w:pPr>
            <w:r/>
            <w:r>
              <w:rPr>
                <w:rFonts w:ascii="Arial" w:hAnsi="Arial" w:cs="Arial"/>
                <w:b w:val="0"/>
                <w:sz w:val="17"/>
              </w:rPr>
              <w:t>9%</w:t>
            </w:r>
          </w:p>
        </w:tc>
        <w:tc>
          <w:tcPr>
            <w:tcW w:w="1700" w:type="dxa"/>
          </w:tcPr>
          <w:p>
            <w:pPr>
              <w:spacing w:after="0" w:before="0"/>
            </w:pPr>
            <w:r/>
            <w:r>
              <w:rPr>
                <w:rFonts w:ascii="Arial" w:hAnsi="Arial" w:cs="Arial"/>
                <w:b w:val="0"/>
                <w:sz w:val="17"/>
              </w:rPr>
              <w:t>As per UCB norms</w:t>
            </w:r>
          </w:p>
        </w:tc>
        <w:tc>
          <w:tcPr>
            <w:tcW w:w="3660" w:type="dxa"/>
          </w:tcPr>
          <w:p>
            <w:pPr>
              <w:spacing w:after="0" w:before="0"/>
            </w:pPr>
            <w:r/>
            <w:r>
              <w:rPr>
                <w:rFonts w:ascii="Arial" w:hAnsi="Arial" w:cs="Arial"/>
                <w:b w:val="0"/>
                <w:sz w:val="17"/>
              </w:rPr>
              <w:t>Deposits up to ₹100 cr</w:t>
            </w:r>
          </w:p>
        </w:tc>
      </w:tr>
      <w:tr>
        <w:tc>
          <w:tcPr>
            <w:tcW w:w="2600" w:type="dxa"/>
          </w:tcPr>
          <w:p>
            <w:pPr>
              <w:spacing w:after="0" w:before="0"/>
            </w:pPr>
            <w:r/>
            <w:r>
              <w:rPr>
                <w:rFonts w:ascii="Arial" w:hAnsi="Arial" w:cs="Arial"/>
                <w:b w:val="0"/>
                <w:sz w:val="17"/>
              </w:rPr>
              <w:t>UCB — Tier 2/3/4</w:t>
            </w:r>
          </w:p>
        </w:tc>
        <w:tc>
          <w:tcPr>
            <w:tcW w:w="1400" w:type="dxa"/>
          </w:tcPr>
          <w:p>
            <w:pPr>
              <w:spacing w:after="0" w:before="0"/>
            </w:pPr>
            <w:r/>
            <w:r>
              <w:rPr>
                <w:rFonts w:ascii="Arial" w:hAnsi="Arial" w:cs="Arial"/>
                <w:b w:val="0"/>
                <w:sz w:val="17"/>
              </w:rPr>
              <w:t>12% (phased to Mar 2026)</w:t>
            </w:r>
          </w:p>
        </w:tc>
        <w:tc>
          <w:tcPr>
            <w:tcW w:w="1700" w:type="dxa"/>
          </w:tcPr>
          <w:p>
            <w:pPr>
              <w:spacing w:after="0" w:before="0"/>
            </w:pPr>
            <w:r/>
            <w:r>
              <w:rPr>
                <w:rFonts w:ascii="Arial" w:hAnsi="Arial" w:cs="Arial"/>
                <w:b w:val="0"/>
                <w:sz w:val="17"/>
              </w:rPr>
              <w:t>As per UCB norms</w:t>
            </w:r>
          </w:p>
        </w:tc>
        <w:tc>
          <w:tcPr>
            <w:tcW w:w="3660" w:type="dxa"/>
          </w:tcPr>
          <w:p>
            <w:pPr>
              <w:spacing w:after="0" w:before="0"/>
            </w:pPr>
            <w:r/>
            <w:r>
              <w:rPr>
                <w:rFonts w:ascii="Arial" w:hAnsi="Arial" w:cs="Arial"/>
                <w:b w:val="0"/>
                <w:sz w:val="17"/>
              </w:rPr>
              <w:t>Higher-deposit UCBs; separate RBI UCB framework</w:t>
            </w:r>
          </w:p>
        </w:tc>
      </w:tr>
    </w:tbl>
    <w:p/>
    <w:p>
      <w:r>
        <w:rPr>
          <w:rFonts w:ascii="Arial" w:hAnsi="Arial" w:cs="Arial"/>
          <w:b w:val="0"/>
          <w:i w:val="0"/>
          <w:sz w:val="22"/>
        </w:rPr>
        <w:t>Because a single codebase may serve an NBFC or a UCB, the capital-adequacy engine reads the entity type and its tier from configuration and applies the correct minimums, risk weights and provisioning rates — none hard-coded.</w:t>
      </w:r>
    </w:p>
    <w:p>
      <w:pPr>
        <w:pStyle w:val="Heading2"/>
      </w:pPr>
      <w:r>
        <w:t>69.9 Computation Source &amp; Cadence</w:t>
      </w:r>
    </w:p>
    <w:p>
      <w:pPr>
        <w:pStyle w:val="ListParagraph"/>
        <w:numPr>
          <w:ilvl w:val="0"/>
          <w:numId w:val="2"/>
        </w:numPr>
      </w:pPr>
      <w:r>
        <w:rPr>
          <w:rFonts w:ascii="Arial" w:hAnsi="Arial" w:cs="Arial"/>
          <w:sz w:val="22"/>
        </w:rPr>
        <w:t>Inputs are drawn from the embedded GL (Section 8), the loan/borrowing sub-ledgers (Section 6), and the NPA/provisioning engine (Section 9.4); no ratio is keyed manually.</w:t>
      </w:r>
    </w:p>
    <w:p>
      <w:pPr>
        <w:pStyle w:val="ListParagraph"/>
        <w:numPr>
          <w:ilvl w:val="0"/>
          <w:numId w:val="2"/>
        </w:numPr>
      </w:pPr>
      <w:r>
        <w:rPr>
          <w:rFonts w:ascii="Arial" w:hAnsi="Arial" w:cs="Arial"/>
          <w:sz w:val="22"/>
        </w:rPr>
        <w:t>Ratios are recomputed at day-end and month-end (Section 29.2) and are traceable to the GL for audit (Section 41.3); each flows into the relevant RBI return (Section 9.2) and the MIS dashboards (Section 13).</w:t>
      </w:r>
    </w:p>
    <w:p>
      <w:r>
        <w:br w:type="page"/>
      </w:r>
    </w:p>
    <w:p>
      <w:pPr>
        <w:pStyle w:val="Heading1"/>
      </w:pPr>
      <w:r>
        <w:t>70. Accounting Standards Applicability &amp; Enhanced Accounting</w:t>
      </w:r>
    </w:p>
    <w:p>
      <w:r>
        <w:rPr>
          <w:rFonts w:ascii="Arial" w:hAnsi="Arial" w:cs="Arial"/>
          <w:b w:val="0"/>
          <w:i w:val="0"/>
          <w:sz w:val="22"/>
        </w:rPr>
        <w:t>Which accounting framework applies depends on the entity. Middle-Layer and Upper-Layer NBFCs (and other NBFCs above the net-worth thresholds) prepare accounts under Indian Accounting Standards (Ind AS); smaller NBFCs use Accounting Standards (AS / Indian GAAP); Urban Cooperative Banks follow the banking accounting norms prescribed by RBI (Ind AS has been deferred for banks). The embedded GL (Section 8) therefore drives its statement formats, income-recognition and provisioning rules from configuration, so the same platform can serve either an Ind AS NBFC or a UCB.</w:t>
      </w:r>
    </w:p>
    <w:p>
      <w:pPr>
        <w:pStyle w:val="Heading2"/>
      </w:pPr>
      <w:r>
        <w:t>70.1 Applicability Matrix</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400"/>
        <w:gridCol w:w="1400"/>
        <w:gridCol w:w="3100"/>
        <w:gridCol w:w="2460"/>
      </w:tblGrid>
      <w:tr>
        <w:tc>
          <w:tcPr>
            <w:tcW w:w="2400" w:type="dxa"/>
            <w:shd w:val="clear" w:color="auto" w:fill="1F4E78"/>
          </w:tcPr>
          <w:p>
            <w:pPr>
              <w:spacing w:after="0" w:before="0"/>
            </w:pPr>
            <w:r/>
            <w:r>
              <w:rPr>
                <w:rFonts w:ascii="Arial" w:hAnsi="Arial" w:cs="Arial"/>
                <w:b/>
                <w:color w:val="FFFFFF"/>
                <w:sz w:val="17"/>
              </w:rPr>
              <w:t>Entity</w:t>
            </w:r>
          </w:p>
        </w:tc>
        <w:tc>
          <w:tcPr>
            <w:tcW w:w="1400" w:type="dxa"/>
            <w:shd w:val="clear" w:color="auto" w:fill="1F4E78"/>
          </w:tcPr>
          <w:p>
            <w:pPr>
              <w:spacing w:after="0" w:before="0"/>
            </w:pPr>
            <w:r/>
            <w:r>
              <w:rPr>
                <w:rFonts w:ascii="Arial" w:hAnsi="Arial" w:cs="Arial"/>
                <w:b/>
                <w:color w:val="FFFFFF"/>
                <w:sz w:val="17"/>
              </w:rPr>
              <w:t>Framework</w:t>
            </w:r>
          </w:p>
        </w:tc>
        <w:tc>
          <w:tcPr>
            <w:tcW w:w="3100" w:type="dxa"/>
            <w:shd w:val="clear" w:color="auto" w:fill="1F4E78"/>
          </w:tcPr>
          <w:p>
            <w:pPr>
              <w:spacing w:after="0" w:before="0"/>
            </w:pPr>
            <w:r/>
            <w:r>
              <w:rPr>
                <w:rFonts w:ascii="Arial" w:hAnsi="Arial" w:cs="Arial"/>
                <w:b/>
                <w:color w:val="FFFFFF"/>
                <w:sz w:val="17"/>
              </w:rPr>
              <w:t>Key standards / basis</w:t>
            </w:r>
          </w:p>
        </w:tc>
        <w:tc>
          <w:tcPr>
            <w:tcW w:w="2460" w:type="dxa"/>
            <w:shd w:val="clear" w:color="auto" w:fill="1F4E78"/>
          </w:tcPr>
          <w:p>
            <w:pPr>
              <w:spacing w:after="0" w:before="0"/>
            </w:pPr>
            <w:r/>
            <w:r>
              <w:rPr>
                <w:rFonts w:ascii="Arial" w:hAnsi="Arial" w:cs="Arial"/>
                <w:b/>
                <w:color w:val="FFFFFF"/>
                <w:sz w:val="17"/>
              </w:rPr>
              <w:t>Provisioning</w:t>
            </w:r>
          </w:p>
        </w:tc>
      </w:tr>
      <w:tr>
        <w:tc>
          <w:tcPr>
            <w:tcW w:w="2400" w:type="dxa"/>
          </w:tcPr>
          <w:p>
            <w:pPr>
              <w:spacing w:after="0" w:before="0"/>
            </w:pPr>
            <w:r/>
            <w:r>
              <w:rPr>
                <w:rFonts w:ascii="Arial" w:hAnsi="Arial" w:cs="Arial"/>
                <w:b w:val="0"/>
                <w:sz w:val="17"/>
              </w:rPr>
              <w:t>NBFC, net worth ≥ ₹500 cr (Phase I)</w:t>
            </w:r>
          </w:p>
        </w:tc>
        <w:tc>
          <w:tcPr>
            <w:tcW w:w="1400" w:type="dxa"/>
          </w:tcPr>
          <w:p>
            <w:pPr>
              <w:spacing w:after="0" w:before="0"/>
            </w:pPr>
            <w:r/>
            <w:r>
              <w:rPr>
                <w:rFonts w:ascii="Arial" w:hAnsi="Arial" w:cs="Arial"/>
                <w:b w:val="0"/>
                <w:sz w:val="17"/>
              </w:rPr>
              <w:t>Ind AS</w:t>
            </w:r>
          </w:p>
        </w:tc>
        <w:tc>
          <w:tcPr>
            <w:tcW w:w="3100" w:type="dxa"/>
          </w:tcPr>
          <w:p>
            <w:pPr>
              <w:spacing w:after="0" w:before="0"/>
            </w:pPr>
            <w:r/>
            <w:r>
              <w:rPr>
                <w:rFonts w:ascii="Arial" w:hAnsi="Arial" w:cs="Arial"/>
                <w:b w:val="0"/>
                <w:sz w:val="17"/>
              </w:rPr>
              <w:t>Ind AS 109/115/116/24/12</w:t>
            </w:r>
          </w:p>
        </w:tc>
        <w:tc>
          <w:tcPr>
            <w:tcW w:w="2460" w:type="dxa"/>
          </w:tcPr>
          <w:p>
            <w:pPr>
              <w:spacing w:after="0" w:before="0"/>
            </w:pPr>
            <w:r/>
            <w:r>
              <w:rPr>
                <w:rFonts w:ascii="Arial" w:hAnsi="Arial" w:cs="Arial"/>
                <w:b w:val="0"/>
                <w:sz w:val="17"/>
              </w:rPr>
              <w:t>ECL + IRAC floor (Section 30)</w:t>
            </w:r>
          </w:p>
        </w:tc>
      </w:tr>
      <w:tr>
        <w:tc>
          <w:tcPr>
            <w:tcW w:w="2400" w:type="dxa"/>
          </w:tcPr>
          <w:p>
            <w:pPr>
              <w:spacing w:after="0" w:before="0"/>
            </w:pPr>
            <w:r/>
            <w:r>
              <w:rPr>
                <w:rFonts w:ascii="Arial" w:hAnsi="Arial" w:cs="Arial"/>
                <w:b w:val="0"/>
                <w:sz w:val="17"/>
              </w:rPr>
              <w:t>NBFC listed or net worth ₹250–500 cr (Phase II)</w:t>
            </w:r>
          </w:p>
        </w:tc>
        <w:tc>
          <w:tcPr>
            <w:tcW w:w="1400" w:type="dxa"/>
          </w:tcPr>
          <w:p>
            <w:pPr>
              <w:spacing w:after="0" w:before="0"/>
            </w:pPr>
            <w:r/>
            <w:r>
              <w:rPr>
                <w:rFonts w:ascii="Arial" w:hAnsi="Arial" w:cs="Arial"/>
                <w:b w:val="0"/>
                <w:sz w:val="17"/>
              </w:rPr>
              <w:t>Ind AS</w:t>
            </w:r>
          </w:p>
        </w:tc>
        <w:tc>
          <w:tcPr>
            <w:tcW w:w="3100" w:type="dxa"/>
          </w:tcPr>
          <w:p>
            <w:pPr>
              <w:spacing w:after="0" w:before="0"/>
            </w:pPr>
            <w:r/>
            <w:r>
              <w:rPr>
                <w:rFonts w:ascii="Arial" w:hAnsi="Arial" w:cs="Arial"/>
                <w:b w:val="0"/>
                <w:sz w:val="17"/>
              </w:rPr>
              <w:t>As above</w:t>
            </w:r>
          </w:p>
        </w:tc>
        <w:tc>
          <w:tcPr>
            <w:tcW w:w="2460" w:type="dxa"/>
          </w:tcPr>
          <w:p>
            <w:pPr>
              <w:spacing w:after="0" w:before="0"/>
            </w:pPr>
            <w:r/>
            <w:r>
              <w:rPr>
                <w:rFonts w:ascii="Arial" w:hAnsi="Arial" w:cs="Arial"/>
                <w:b w:val="0"/>
                <w:sz w:val="17"/>
              </w:rPr>
              <w:t>ECL + IRAC floor</w:t>
            </w:r>
          </w:p>
        </w:tc>
      </w:tr>
      <w:tr>
        <w:tc>
          <w:tcPr>
            <w:tcW w:w="2400" w:type="dxa"/>
          </w:tcPr>
          <w:p>
            <w:pPr>
              <w:spacing w:after="0" w:before="0"/>
            </w:pPr>
            <w:r/>
            <w:r>
              <w:rPr>
                <w:rFonts w:ascii="Arial" w:hAnsi="Arial" w:cs="Arial"/>
                <w:b w:val="0"/>
                <w:sz w:val="17"/>
              </w:rPr>
              <w:t>Middle-Layer / Upper-Layer NBFC</w:t>
            </w:r>
          </w:p>
        </w:tc>
        <w:tc>
          <w:tcPr>
            <w:tcW w:w="1400" w:type="dxa"/>
          </w:tcPr>
          <w:p>
            <w:pPr>
              <w:spacing w:after="0" w:before="0"/>
            </w:pPr>
            <w:r/>
            <w:r>
              <w:rPr>
                <w:rFonts w:ascii="Arial" w:hAnsi="Arial" w:cs="Arial"/>
                <w:b w:val="0"/>
                <w:sz w:val="17"/>
              </w:rPr>
              <w:t>Ind AS (typically)</w:t>
            </w:r>
          </w:p>
        </w:tc>
        <w:tc>
          <w:tcPr>
            <w:tcW w:w="3100" w:type="dxa"/>
          </w:tcPr>
          <w:p>
            <w:pPr>
              <w:spacing w:after="0" w:before="0"/>
            </w:pPr>
            <w:r/>
            <w:r>
              <w:rPr>
                <w:rFonts w:ascii="Arial" w:hAnsi="Arial" w:cs="Arial"/>
                <w:b w:val="0"/>
                <w:sz w:val="17"/>
              </w:rPr>
              <w:t>As above; UL also CET1 (Section 69)</w:t>
            </w:r>
          </w:p>
        </w:tc>
        <w:tc>
          <w:tcPr>
            <w:tcW w:w="2460" w:type="dxa"/>
          </w:tcPr>
          <w:p>
            <w:pPr>
              <w:spacing w:after="0" w:before="0"/>
            </w:pPr>
            <w:r/>
            <w:r>
              <w:rPr>
                <w:rFonts w:ascii="Arial" w:hAnsi="Arial" w:cs="Arial"/>
                <w:b w:val="0"/>
                <w:sz w:val="17"/>
              </w:rPr>
              <w:t>ECL + IRAC floor</w:t>
            </w:r>
          </w:p>
        </w:tc>
      </w:tr>
      <w:tr>
        <w:tc>
          <w:tcPr>
            <w:tcW w:w="2400" w:type="dxa"/>
          </w:tcPr>
          <w:p>
            <w:pPr>
              <w:spacing w:after="0" w:before="0"/>
            </w:pPr>
            <w:r/>
            <w:r>
              <w:rPr>
                <w:rFonts w:ascii="Arial" w:hAnsi="Arial" w:cs="Arial"/>
                <w:b w:val="0"/>
                <w:sz w:val="17"/>
              </w:rPr>
              <w:t>NBFC below thresholds, unlisted</w:t>
            </w:r>
          </w:p>
        </w:tc>
        <w:tc>
          <w:tcPr>
            <w:tcW w:w="1400" w:type="dxa"/>
          </w:tcPr>
          <w:p>
            <w:pPr>
              <w:spacing w:after="0" w:before="0"/>
            </w:pPr>
            <w:r/>
            <w:r>
              <w:rPr>
                <w:rFonts w:ascii="Arial" w:hAnsi="Arial" w:cs="Arial"/>
                <w:b w:val="0"/>
                <w:sz w:val="17"/>
              </w:rPr>
              <w:t>AS (Indian GAAP)</w:t>
            </w:r>
          </w:p>
        </w:tc>
        <w:tc>
          <w:tcPr>
            <w:tcW w:w="3100" w:type="dxa"/>
          </w:tcPr>
          <w:p>
            <w:pPr>
              <w:spacing w:after="0" w:before="0"/>
            </w:pPr>
            <w:r/>
            <w:r>
              <w:rPr>
                <w:rFonts w:ascii="Arial" w:hAnsi="Arial" w:cs="Arial"/>
                <w:b w:val="0"/>
                <w:sz w:val="17"/>
              </w:rPr>
              <w:t>AS 1–29 + RBI directions</w:t>
            </w:r>
          </w:p>
        </w:tc>
        <w:tc>
          <w:tcPr>
            <w:tcW w:w="2460" w:type="dxa"/>
          </w:tcPr>
          <w:p>
            <w:pPr>
              <w:spacing w:after="0" w:before="0"/>
            </w:pPr>
            <w:r/>
            <w:r>
              <w:rPr>
                <w:rFonts w:ascii="Arial" w:hAnsi="Arial" w:cs="Arial"/>
                <w:b w:val="0"/>
                <w:sz w:val="17"/>
              </w:rPr>
              <w:t>IRAC provisioning</w:t>
            </w:r>
          </w:p>
        </w:tc>
      </w:tr>
      <w:tr>
        <w:tc>
          <w:tcPr>
            <w:tcW w:w="2400" w:type="dxa"/>
          </w:tcPr>
          <w:p>
            <w:pPr>
              <w:spacing w:after="0" w:before="0"/>
            </w:pPr>
            <w:r/>
            <w:r>
              <w:rPr>
                <w:rFonts w:ascii="Arial" w:hAnsi="Arial" w:cs="Arial"/>
                <w:b w:val="0"/>
                <w:sz w:val="17"/>
              </w:rPr>
              <w:t>Urban Cooperative Bank</w:t>
            </w:r>
          </w:p>
        </w:tc>
        <w:tc>
          <w:tcPr>
            <w:tcW w:w="1400" w:type="dxa"/>
          </w:tcPr>
          <w:p>
            <w:pPr>
              <w:spacing w:after="0" w:before="0"/>
            </w:pPr>
            <w:r/>
            <w:r>
              <w:rPr>
                <w:rFonts w:ascii="Arial" w:hAnsi="Arial" w:cs="Arial"/>
                <w:b w:val="0"/>
                <w:sz w:val="17"/>
              </w:rPr>
              <w:t>Banking norms (AS-based)</w:t>
            </w:r>
          </w:p>
        </w:tc>
        <w:tc>
          <w:tcPr>
            <w:tcW w:w="3100" w:type="dxa"/>
          </w:tcPr>
          <w:p>
            <w:pPr>
              <w:spacing w:after="0" w:before="0"/>
            </w:pPr>
            <w:r/>
            <w:r>
              <w:rPr>
                <w:rFonts w:ascii="Arial" w:hAnsi="Arial" w:cs="Arial"/>
                <w:b w:val="0"/>
                <w:sz w:val="17"/>
              </w:rPr>
              <w:t>Banking Regulation Act 3rd Schedule formats; RBI UCB directions</w:t>
            </w:r>
          </w:p>
        </w:tc>
        <w:tc>
          <w:tcPr>
            <w:tcW w:w="2460" w:type="dxa"/>
          </w:tcPr>
          <w:p>
            <w:pPr>
              <w:spacing w:after="0" w:before="0"/>
            </w:pPr>
            <w:r/>
            <w:r>
              <w:rPr>
                <w:rFonts w:ascii="Arial" w:hAnsi="Arial" w:cs="Arial"/>
                <w:b w:val="0"/>
                <w:sz w:val="17"/>
              </w:rPr>
              <w:t>IRAC provisioning; UCB CRAR (Section 69.8)</w:t>
            </w:r>
          </w:p>
        </w:tc>
      </w:tr>
    </w:tbl>
    <w:p/>
    <w:p>
      <w:pPr>
        <w:pStyle w:val="Heading2"/>
      </w:pPr>
      <w:r>
        <w:t>70.2 Ind AS the Platform Must Support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6760"/>
      </w:tblGrid>
      <w:tr>
        <w:tc>
          <w:tcPr>
            <w:tcW w:w="2600" w:type="dxa"/>
            <w:shd w:val="clear" w:color="auto" w:fill="1F4E78"/>
          </w:tcPr>
          <w:p>
            <w:pPr>
              <w:spacing w:after="0" w:before="0"/>
            </w:pPr>
            <w:r/>
            <w:r>
              <w:rPr>
                <w:rFonts w:ascii="Arial" w:hAnsi="Arial" w:cs="Arial"/>
                <w:b/>
                <w:color w:val="FFFFFF"/>
                <w:sz w:val="17"/>
              </w:rPr>
              <w:t>Standard</w:t>
            </w:r>
          </w:p>
        </w:tc>
        <w:tc>
          <w:tcPr>
            <w:tcW w:w="6760" w:type="dxa"/>
            <w:shd w:val="clear" w:color="auto" w:fill="1F4E78"/>
          </w:tcPr>
          <w:p>
            <w:pPr>
              <w:spacing w:after="0" w:before="0"/>
            </w:pPr>
            <w:r/>
            <w:r>
              <w:rPr>
                <w:rFonts w:ascii="Arial" w:hAnsi="Arial" w:cs="Arial"/>
                <w:b/>
                <w:color w:val="FFFFFF"/>
                <w:sz w:val="17"/>
              </w:rPr>
              <w:t>What it drives in the LMS</w:t>
            </w:r>
          </w:p>
        </w:tc>
      </w:tr>
      <w:tr>
        <w:tc>
          <w:tcPr>
            <w:tcW w:w="2600" w:type="dxa"/>
          </w:tcPr>
          <w:p>
            <w:pPr>
              <w:spacing w:after="0" w:before="0"/>
            </w:pPr>
            <w:r/>
            <w:r>
              <w:rPr>
                <w:rFonts w:ascii="Arial" w:hAnsi="Arial" w:cs="Arial"/>
                <w:b w:val="0"/>
                <w:sz w:val="17"/>
              </w:rPr>
              <w:t>Ind AS 109 — Financial Instruments</w:t>
            </w:r>
          </w:p>
        </w:tc>
        <w:tc>
          <w:tcPr>
            <w:tcW w:w="6760" w:type="dxa"/>
          </w:tcPr>
          <w:p>
            <w:pPr>
              <w:spacing w:after="0" w:before="0"/>
            </w:pPr>
            <w:r/>
            <w:r>
              <w:rPr>
                <w:rFonts w:ascii="Arial" w:hAnsi="Arial" w:cs="Arial"/>
                <w:b w:val="0"/>
                <w:sz w:val="17"/>
              </w:rPr>
              <w:t>Classification/measurement (amortised cost/FVOCI/FVTPL), EIR-based income, ECL staging (Section 30), de-recognition on assignment (Section 18)</w:t>
            </w:r>
          </w:p>
        </w:tc>
      </w:tr>
      <w:tr>
        <w:tc>
          <w:tcPr>
            <w:tcW w:w="2600" w:type="dxa"/>
          </w:tcPr>
          <w:p>
            <w:pPr>
              <w:spacing w:after="0" w:before="0"/>
            </w:pPr>
            <w:r/>
            <w:r>
              <w:rPr>
                <w:rFonts w:ascii="Arial" w:hAnsi="Arial" w:cs="Arial"/>
                <w:b w:val="0"/>
                <w:sz w:val="17"/>
              </w:rPr>
              <w:t>Ind AS 115 — Revenue</w:t>
            </w:r>
          </w:p>
        </w:tc>
        <w:tc>
          <w:tcPr>
            <w:tcW w:w="6760" w:type="dxa"/>
          </w:tcPr>
          <w:p>
            <w:pPr>
              <w:spacing w:after="0" w:before="0"/>
            </w:pPr>
            <w:r/>
            <w:r>
              <w:rPr>
                <w:rFonts w:ascii="Arial" w:hAnsi="Arial" w:cs="Arial"/>
                <w:b w:val="0"/>
                <w:sz w:val="17"/>
              </w:rPr>
              <w:t>Timing of fee income not part of EIR (e.g., certain servicing fees) vs. EIR-amortised fees (Section 8.2)</w:t>
            </w:r>
          </w:p>
        </w:tc>
      </w:tr>
      <w:tr>
        <w:tc>
          <w:tcPr>
            <w:tcW w:w="2600" w:type="dxa"/>
          </w:tcPr>
          <w:p>
            <w:pPr>
              <w:spacing w:after="0" w:before="0"/>
            </w:pPr>
            <w:r/>
            <w:r>
              <w:rPr>
                <w:rFonts w:ascii="Arial" w:hAnsi="Arial" w:cs="Arial"/>
                <w:b w:val="0"/>
                <w:sz w:val="17"/>
              </w:rPr>
              <w:t>Ind AS 116 — Leases</w:t>
            </w:r>
          </w:p>
        </w:tc>
        <w:tc>
          <w:tcPr>
            <w:tcW w:w="6760" w:type="dxa"/>
          </w:tcPr>
          <w:p>
            <w:pPr>
              <w:spacing w:after="0" w:before="0"/>
            </w:pPr>
            <w:r/>
            <w:r>
              <w:rPr>
                <w:rFonts w:ascii="Arial" w:hAnsi="Arial" w:cs="Arial"/>
                <w:b w:val="0"/>
                <w:sz w:val="17"/>
              </w:rPr>
              <w:t>The NBFC’s own lease right-of-use assets; interacts with finance-lease income on the Equipment/Leasing product (Section 3.14)</w:t>
            </w:r>
          </w:p>
        </w:tc>
      </w:tr>
      <w:tr>
        <w:tc>
          <w:tcPr>
            <w:tcW w:w="2600" w:type="dxa"/>
          </w:tcPr>
          <w:p>
            <w:pPr>
              <w:spacing w:after="0" w:before="0"/>
            </w:pPr>
            <w:r/>
            <w:r>
              <w:rPr>
                <w:rFonts w:ascii="Arial" w:hAnsi="Arial" w:cs="Arial"/>
                <w:b w:val="0"/>
                <w:sz w:val="17"/>
              </w:rPr>
              <w:t>Ind AS 24 — Related Party</w:t>
            </w:r>
          </w:p>
        </w:tc>
        <w:tc>
          <w:tcPr>
            <w:tcW w:w="6760" w:type="dxa"/>
          </w:tcPr>
          <w:p>
            <w:pPr>
              <w:spacing w:after="0" w:before="0"/>
            </w:pPr>
            <w:r/>
            <w:r>
              <w:rPr>
                <w:rFonts w:ascii="Arial" w:hAnsi="Arial" w:cs="Arial"/>
                <w:b w:val="0"/>
                <w:sz w:val="17"/>
              </w:rPr>
              <w:t>Related-party disclosures in the notes (Section 8.5)</w:t>
            </w:r>
          </w:p>
        </w:tc>
      </w:tr>
      <w:tr>
        <w:tc>
          <w:tcPr>
            <w:tcW w:w="2600" w:type="dxa"/>
          </w:tcPr>
          <w:p>
            <w:pPr>
              <w:spacing w:after="0" w:before="0"/>
            </w:pPr>
            <w:r/>
            <w:r>
              <w:rPr>
                <w:rFonts w:ascii="Arial" w:hAnsi="Arial" w:cs="Arial"/>
                <w:b w:val="0"/>
                <w:sz w:val="17"/>
              </w:rPr>
              <w:t>Ind AS 12 — Income Taxes</w:t>
            </w:r>
          </w:p>
        </w:tc>
        <w:tc>
          <w:tcPr>
            <w:tcW w:w="6760" w:type="dxa"/>
          </w:tcPr>
          <w:p>
            <w:pPr>
              <w:spacing w:after="0" w:before="0"/>
            </w:pPr>
            <w:r/>
            <w:r>
              <w:rPr>
                <w:rFonts w:ascii="Arial" w:hAnsi="Arial" w:cs="Arial"/>
                <w:b w:val="0"/>
                <w:sz w:val="17"/>
              </w:rPr>
              <w:t>Deferred tax on ECL/provision timing differences</w:t>
            </w:r>
          </w:p>
        </w:tc>
      </w:tr>
      <w:tr>
        <w:tc>
          <w:tcPr>
            <w:tcW w:w="2600" w:type="dxa"/>
          </w:tcPr>
          <w:p>
            <w:pPr>
              <w:spacing w:after="0" w:before="0"/>
            </w:pPr>
            <w:r/>
            <w:r>
              <w:rPr>
                <w:rFonts w:ascii="Arial" w:hAnsi="Arial" w:cs="Arial"/>
                <w:b w:val="0"/>
                <w:sz w:val="17"/>
              </w:rPr>
              <w:t>Ind AS 32/107 — Presentation &amp; Disclosure</w:t>
            </w:r>
          </w:p>
        </w:tc>
        <w:tc>
          <w:tcPr>
            <w:tcW w:w="6760" w:type="dxa"/>
          </w:tcPr>
          <w:p>
            <w:pPr>
              <w:spacing w:after="0" w:before="0"/>
            </w:pPr>
            <w:r/>
            <w:r>
              <w:rPr>
                <w:rFonts w:ascii="Arial" w:hAnsi="Arial" w:cs="Arial"/>
                <w:b w:val="0"/>
                <w:sz w:val="17"/>
              </w:rPr>
              <w:t>Financial-instrument presentation and risk disclosures</w:t>
            </w:r>
          </w:p>
        </w:tc>
      </w:tr>
    </w:tbl>
    <w:p/>
    <w:p>
      <w:pPr>
        <w:pStyle w:val="Heading2"/>
      </w:pPr>
      <w:r>
        <w:t>70.3 IRAC vs Ind AS Interplay (Prudential Floor)</w:t>
      </w:r>
    </w:p>
    <w:p>
      <w:pPr>
        <w:pStyle w:val="ListParagraph"/>
        <w:numPr>
          <w:ilvl w:val="0"/>
          <w:numId w:val="2"/>
        </w:numPr>
      </w:pPr>
      <w:r>
        <w:rPr>
          <w:rFonts w:ascii="Arial" w:hAnsi="Arial" w:cs="Arial"/>
          <w:sz w:val="22"/>
        </w:rPr>
        <w:t>Ind AS entities compute impairment as ECL (Section 30) but must also compute IRAC provisioning (Section 9.4); where IRAC exceeds ECL, the shortfall is appropriated to a non-distributable Impairment Reserve.</w:t>
      </w:r>
    </w:p>
    <w:p>
      <w:pPr>
        <w:pStyle w:val="ListParagraph"/>
        <w:numPr>
          <w:ilvl w:val="0"/>
          <w:numId w:val="2"/>
        </w:numPr>
      </w:pPr>
      <w:r>
        <w:rPr>
          <w:rFonts w:ascii="Arial" w:hAnsi="Arial" w:cs="Arial"/>
          <w:sz w:val="22"/>
        </w:rPr>
        <w:t>Interest on NPAs is recognised on realisation under both regimes (Section 33); the GL keeps the memorandum Interest Suspense to satisfy this.</w:t>
      </w:r>
    </w:p>
    <w:p>
      <w:pPr>
        <w:pStyle w:val="Heading2"/>
      </w:pPr>
      <w:r>
        <w:t>70.4 UCB Accounting Specifics</w:t>
      </w:r>
    </w:p>
    <w:p>
      <w:pPr>
        <w:pStyle w:val="ListParagraph"/>
        <w:numPr>
          <w:ilvl w:val="0"/>
          <w:numId w:val="2"/>
        </w:numPr>
      </w:pPr>
      <w:r>
        <w:rPr>
          <w:rFonts w:ascii="Arial" w:hAnsi="Arial" w:cs="Arial"/>
          <w:sz w:val="22"/>
        </w:rPr>
        <w:t>Statements follow the Third Schedule (Form A balance sheet, Form B profit &amp; loss) of the Banking Regulation Act, 1949, not Schedule III.</w:t>
      </w:r>
    </w:p>
    <w:p>
      <w:pPr>
        <w:pStyle w:val="ListParagraph"/>
        <w:numPr>
          <w:ilvl w:val="0"/>
          <w:numId w:val="2"/>
        </w:numPr>
      </w:pPr>
      <w:r>
        <w:rPr>
          <w:rFonts w:ascii="Arial" w:hAnsi="Arial" w:cs="Arial"/>
          <w:sz w:val="22"/>
        </w:rPr>
        <w:t>Income recognition, asset classification and provisioning follow RBI’s IRAC norms for UCBs; statutory reserves, CRR/SLR maintenance, and profit appropriation (statutory/other reserves) are handled per cooperative-banking rules.</w:t>
      </w:r>
    </w:p>
    <w:p>
      <w:pPr>
        <w:pStyle w:val="ListParagraph"/>
        <w:numPr>
          <w:ilvl w:val="0"/>
          <w:numId w:val="2"/>
        </w:numPr>
      </w:pPr>
      <w:r>
        <w:rPr>
          <w:rFonts w:ascii="Arial" w:hAnsi="Arial" w:cs="Arial"/>
          <w:sz w:val="22"/>
        </w:rPr>
        <w:t>The COA-to-statement mapping table (Section 8.1) carries an entity-type dimension so the correct statutory format is generated per tenant.</w:t>
      </w:r>
    </w:p>
    <w:p>
      <w:pPr>
        <w:pStyle w:val="Heading2"/>
      </w:pPr>
      <w:r>
        <w:t>70.5 Additional Accounting Depth</w:t>
      </w:r>
    </w:p>
    <w:p>
      <w:pPr>
        <w:pStyle w:val="ListParagraph"/>
        <w:numPr>
          <w:ilvl w:val="0"/>
          <w:numId w:val="2"/>
        </w:numPr>
      </w:pPr>
      <w:r>
        <w:rPr>
          <w:rFonts w:ascii="Arial" w:hAnsi="Arial" w:cs="Arial"/>
          <w:sz w:val="22"/>
        </w:rPr>
        <w:t>Effective Interest Rate (EIR): fees and transaction costs directly attributable to origination are amortised over the expected life using EIR (Section 24.10), not recognised upfront.</w:t>
      </w:r>
    </w:p>
    <w:p>
      <w:pPr>
        <w:pStyle w:val="ListParagraph"/>
        <w:numPr>
          <w:ilvl w:val="0"/>
          <w:numId w:val="2"/>
        </w:numPr>
      </w:pPr>
      <w:r>
        <w:rPr>
          <w:rFonts w:ascii="Arial" w:hAnsi="Arial" w:cs="Arial"/>
          <w:sz w:val="22"/>
        </w:rPr>
        <w:t>Securitisation / assignment: gain or loss on de-recognition is computed on true-sale and posted to the GL (Section 18.2); retained interest and servicing assets are tracked.</w:t>
      </w:r>
    </w:p>
    <w:p>
      <w:pPr>
        <w:pStyle w:val="ListParagraph"/>
        <w:numPr>
          <w:ilvl w:val="0"/>
          <w:numId w:val="2"/>
        </w:numPr>
      </w:pPr>
      <w:r>
        <w:rPr>
          <w:rFonts w:ascii="Arial" w:hAnsi="Arial" w:cs="Arial"/>
          <w:sz w:val="22"/>
        </w:rPr>
        <w:t>Government grants / interest subvention: subvention is accounted separately from borrower interest and matched to the period it relates to (Section 45.7).</w:t>
      </w:r>
    </w:p>
    <w:p>
      <w:pPr>
        <w:pStyle w:val="ListParagraph"/>
        <w:numPr>
          <w:ilvl w:val="0"/>
          <w:numId w:val="2"/>
        </w:numPr>
      </w:pPr>
      <w:r>
        <w:rPr>
          <w:rFonts w:ascii="Arial" w:hAnsi="Arial" w:cs="Arial"/>
          <w:sz w:val="22"/>
        </w:rPr>
        <w:t>Deferred tax: timing differences arising from ECL/provisions and EIR are recognised (Ind AS 12); UCBs follow AS 22.</w:t>
      </w:r>
    </w:p>
    <w:p>
      <w:pPr>
        <w:pStyle w:val="ListParagraph"/>
        <w:numPr>
          <w:ilvl w:val="0"/>
          <w:numId w:val="2"/>
        </w:numPr>
      </w:pPr>
      <w:r>
        <w:rPr>
          <w:rFonts w:ascii="Arial" w:hAnsi="Arial" w:cs="Arial"/>
          <w:sz w:val="22"/>
        </w:rPr>
        <w:t>Investments and any derivatives are measured per the applicable framework; fair-value movements post to P&amp;L or OCI as classified.</w:t>
      </w:r>
    </w:p>
    <w:p>
      <w:r>
        <w:br w:type="page"/>
      </w:r>
    </w:p>
    <w:p>
      <w:pPr>
        <w:pStyle w:val="Heading1"/>
      </w:pPr>
      <w:r>
        <w:t>71. Finance &amp; Accounting Primer for Developers</w:t>
      </w:r>
    </w:p>
    <w:p>
      <w:r>
        <w:rPr>
          <w:rFonts w:ascii="Arial" w:hAnsi="Arial" w:cs="Arial"/>
          <w:b w:val="0"/>
          <w:i w:val="0"/>
          <w:sz w:val="22"/>
        </w:rPr>
        <w:t>This section is written for engineers who do not have a finance background. It explains — in plain language — the concepts the code must implement, so the team understands the domain, spots errors, and builds correctly. It complements the formal calculation engine (Section 45) and accounting rules (Sections 8, 33, 70).</w:t>
      </w:r>
    </w:p>
    <w:p>
      <w:pPr>
        <w:pStyle w:val="Heading2"/>
      </w:pPr>
      <w:r>
        <w:t>71.1 Core Loan Vocabulary (plain language)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900"/>
        <w:gridCol w:w="7460"/>
      </w:tblGrid>
      <w:tr>
        <w:tc>
          <w:tcPr>
            <w:tcW w:w="1900" w:type="dxa"/>
            <w:shd w:val="clear" w:color="auto" w:fill="1F4E78"/>
          </w:tcPr>
          <w:p>
            <w:pPr>
              <w:spacing w:after="0" w:before="0"/>
            </w:pPr>
            <w:r/>
            <w:r>
              <w:rPr>
                <w:rFonts w:ascii="Arial" w:hAnsi="Arial" w:cs="Arial"/>
                <w:b/>
                <w:color w:val="FFFFFF"/>
                <w:sz w:val="17"/>
              </w:rPr>
              <w:t>Term</w:t>
            </w:r>
          </w:p>
        </w:tc>
        <w:tc>
          <w:tcPr>
            <w:tcW w:w="7460" w:type="dxa"/>
            <w:shd w:val="clear" w:color="auto" w:fill="1F4E78"/>
          </w:tcPr>
          <w:p>
            <w:pPr>
              <w:spacing w:after="0" w:before="0"/>
            </w:pPr>
            <w:r/>
            <w:r>
              <w:rPr>
                <w:rFonts w:ascii="Arial" w:hAnsi="Arial" w:cs="Arial"/>
                <w:b/>
                <w:color w:val="FFFFFF"/>
                <w:sz w:val="17"/>
              </w:rPr>
              <w:t>What it means for the code</w:t>
            </w:r>
          </w:p>
        </w:tc>
      </w:tr>
      <w:tr>
        <w:tc>
          <w:tcPr>
            <w:tcW w:w="1900" w:type="dxa"/>
          </w:tcPr>
          <w:p>
            <w:pPr>
              <w:spacing w:after="0" w:before="0"/>
            </w:pPr>
            <w:r/>
            <w:r>
              <w:rPr>
                <w:rFonts w:ascii="Arial" w:hAnsi="Arial" w:cs="Arial"/>
                <w:b w:val="0"/>
                <w:sz w:val="17"/>
              </w:rPr>
              <w:t>Principal</w:t>
            </w:r>
          </w:p>
        </w:tc>
        <w:tc>
          <w:tcPr>
            <w:tcW w:w="7460" w:type="dxa"/>
          </w:tcPr>
          <w:p>
            <w:pPr>
              <w:spacing w:after="0" w:before="0"/>
            </w:pPr>
            <w:r/>
            <w:r>
              <w:rPr>
                <w:rFonts w:ascii="Arial" w:hAnsi="Arial" w:cs="Arial"/>
                <w:b w:val="0"/>
                <w:sz w:val="17"/>
              </w:rPr>
              <w:t>The money lent. The borrower repays this over time; “outstanding principal” is what is still owed.</w:t>
            </w:r>
          </w:p>
        </w:tc>
      </w:tr>
      <w:tr>
        <w:tc>
          <w:tcPr>
            <w:tcW w:w="1900" w:type="dxa"/>
          </w:tcPr>
          <w:p>
            <w:pPr>
              <w:spacing w:after="0" w:before="0"/>
            </w:pPr>
            <w:r/>
            <w:r>
              <w:rPr>
                <w:rFonts w:ascii="Arial" w:hAnsi="Arial" w:cs="Arial"/>
                <w:b w:val="0"/>
                <w:sz w:val="17"/>
              </w:rPr>
              <w:t>Interest</w:t>
            </w:r>
          </w:p>
        </w:tc>
        <w:tc>
          <w:tcPr>
            <w:tcW w:w="7460" w:type="dxa"/>
          </w:tcPr>
          <w:p>
            <w:pPr>
              <w:spacing w:after="0" w:before="0"/>
            </w:pPr>
            <w:r/>
            <w:r>
              <w:rPr>
                <w:rFonts w:ascii="Arial" w:hAnsi="Arial" w:cs="Arial"/>
                <w:b w:val="0"/>
                <w:sz w:val="17"/>
              </w:rPr>
              <w:t>The lender’s charge for the money, accruing over time on the outstanding principal.</w:t>
            </w:r>
          </w:p>
        </w:tc>
      </w:tr>
      <w:tr>
        <w:tc>
          <w:tcPr>
            <w:tcW w:w="1900" w:type="dxa"/>
          </w:tcPr>
          <w:p>
            <w:pPr>
              <w:spacing w:after="0" w:before="0"/>
            </w:pPr>
            <w:r/>
            <w:r>
              <w:rPr>
                <w:rFonts w:ascii="Arial" w:hAnsi="Arial" w:cs="Arial"/>
                <w:b w:val="0"/>
                <w:sz w:val="17"/>
              </w:rPr>
              <w:t>Rate</w:t>
            </w:r>
          </w:p>
        </w:tc>
        <w:tc>
          <w:tcPr>
            <w:tcW w:w="7460" w:type="dxa"/>
          </w:tcPr>
          <w:p>
            <w:pPr>
              <w:spacing w:after="0" w:before="0"/>
            </w:pPr>
            <w:r/>
            <w:r>
              <w:rPr>
                <w:rFonts w:ascii="Arial" w:hAnsi="Arial" w:cs="Arial"/>
                <w:b w:val="0"/>
                <w:sz w:val="17"/>
              </w:rPr>
              <w:t>Interest expressed per year (e.g., 14% p.a.). Convert to per-day or per-month before computing.</w:t>
            </w:r>
          </w:p>
        </w:tc>
      </w:tr>
      <w:tr>
        <w:tc>
          <w:tcPr>
            <w:tcW w:w="1900" w:type="dxa"/>
          </w:tcPr>
          <w:p>
            <w:pPr>
              <w:spacing w:after="0" w:before="0"/>
            </w:pPr>
            <w:r/>
            <w:r>
              <w:rPr>
                <w:rFonts w:ascii="Arial" w:hAnsi="Arial" w:cs="Arial"/>
                <w:b w:val="0"/>
                <w:sz w:val="17"/>
              </w:rPr>
              <w:t>Tenure</w:t>
            </w:r>
          </w:p>
        </w:tc>
        <w:tc>
          <w:tcPr>
            <w:tcW w:w="7460" w:type="dxa"/>
          </w:tcPr>
          <w:p>
            <w:pPr>
              <w:spacing w:after="0" w:before="0"/>
            </w:pPr>
            <w:r/>
            <w:r>
              <w:rPr>
                <w:rFonts w:ascii="Arial" w:hAnsi="Arial" w:cs="Arial"/>
                <w:b w:val="0"/>
                <w:sz w:val="17"/>
              </w:rPr>
              <w:t>How long the loan runs (months). Drives the number of instalments.</w:t>
            </w:r>
          </w:p>
        </w:tc>
      </w:tr>
      <w:tr>
        <w:tc>
          <w:tcPr>
            <w:tcW w:w="1900" w:type="dxa"/>
          </w:tcPr>
          <w:p>
            <w:pPr>
              <w:spacing w:after="0" w:before="0"/>
            </w:pPr>
            <w:r/>
            <w:r>
              <w:rPr>
                <w:rFonts w:ascii="Arial" w:hAnsi="Arial" w:cs="Arial"/>
                <w:b w:val="0"/>
                <w:sz w:val="17"/>
              </w:rPr>
              <w:t>EMI</w:t>
            </w:r>
          </w:p>
        </w:tc>
        <w:tc>
          <w:tcPr>
            <w:tcW w:w="7460" w:type="dxa"/>
          </w:tcPr>
          <w:p>
            <w:pPr>
              <w:spacing w:after="0" w:before="0"/>
            </w:pPr>
            <w:r/>
            <w:r>
              <w:rPr>
                <w:rFonts w:ascii="Arial" w:hAnsi="Arial" w:cs="Arial"/>
                <w:b w:val="0"/>
                <w:sz w:val="17"/>
              </w:rPr>
              <w:t>A fixed monthly payment covering part interest + part principal; interest share falls over time, principal share rises.</w:t>
            </w:r>
          </w:p>
        </w:tc>
      </w:tr>
      <w:tr>
        <w:tc>
          <w:tcPr>
            <w:tcW w:w="1900" w:type="dxa"/>
          </w:tcPr>
          <w:p>
            <w:pPr>
              <w:spacing w:after="0" w:before="0"/>
            </w:pPr>
            <w:r/>
            <w:r>
              <w:rPr>
                <w:rFonts w:ascii="Arial" w:hAnsi="Arial" w:cs="Arial"/>
                <w:b w:val="0"/>
                <w:sz w:val="17"/>
              </w:rPr>
              <w:t>Moratorium</w:t>
            </w:r>
          </w:p>
        </w:tc>
        <w:tc>
          <w:tcPr>
            <w:tcW w:w="7460" w:type="dxa"/>
          </w:tcPr>
          <w:p>
            <w:pPr>
              <w:spacing w:after="0" w:before="0"/>
            </w:pPr>
            <w:r/>
            <w:r>
              <w:rPr>
                <w:rFonts w:ascii="Arial" w:hAnsi="Arial" w:cs="Arial"/>
                <w:b w:val="0"/>
                <w:sz w:val="17"/>
              </w:rPr>
              <w:t>A pause before repayment starts; interest may still accrue (Section 32.1).</w:t>
            </w:r>
          </w:p>
        </w:tc>
      </w:tr>
      <w:tr>
        <w:tc>
          <w:tcPr>
            <w:tcW w:w="1900" w:type="dxa"/>
          </w:tcPr>
          <w:p>
            <w:pPr>
              <w:spacing w:after="0" w:before="0"/>
            </w:pPr>
            <w:r/>
            <w:r>
              <w:rPr>
                <w:rFonts w:ascii="Arial" w:hAnsi="Arial" w:cs="Arial"/>
                <w:b w:val="0"/>
                <w:sz w:val="17"/>
              </w:rPr>
              <w:t>Disbursement</w:t>
            </w:r>
          </w:p>
        </w:tc>
        <w:tc>
          <w:tcPr>
            <w:tcW w:w="7460" w:type="dxa"/>
          </w:tcPr>
          <w:p>
            <w:pPr>
              <w:spacing w:after="0" w:before="0"/>
            </w:pPr>
            <w:r/>
            <w:r>
              <w:rPr>
                <w:rFonts w:ascii="Arial" w:hAnsi="Arial" w:cs="Arial"/>
                <w:b w:val="0"/>
                <w:sz w:val="17"/>
              </w:rPr>
              <w:t>Paying the loan out to the borrower — money leaves the lender.</w:t>
            </w:r>
          </w:p>
        </w:tc>
      </w:tr>
      <w:tr>
        <w:tc>
          <w:tcPr>
            <w:tcW w:w="1900" w:type="dxa"/>
          </w:tcPr>
          <w:p>
            <w:pPr>
              <w:spacing w:after="0" w:before="0"/>
            </w:pPr>
            <w:r/>
            <w:r>
              <w:rPr>
                <w:rFonts w:ascii="Arial" w:hAnsi="Arial" w:cs="Arial"/>
                <w:b w:val="0"/>
                <w:sz w:val="17"/>
              </w:rPr>
              <w:t>Repayment</w:t>
            </w:r>
          </w:p>
        </w:tc>
        <w:tc>
          <w:tcPr>
            <w:tcW w:w="7460" w:type="dxa"/>
          </w:tcPr>
          <w:p>
            <w:pPr>
              <w:spacing w:after="0" w:before="0"/>
            </w:pPr>
            <w:r/>
            <w:r>
              <w:rPr>
                <w:rFonts w:ascii="Arial" w:hAnsi="Arial" w:cs="Arial"/>
                <w:b w:val="0"/>
                <w:sz w:val="17"/>
              </w:rPr>
              <w:t>Money coming back from the borrower — reduces outstanding.</w:t>
            </w:r>
          </w:p>
        </w:tc>
      </w:tr>
      <w:tr>
        <w:tc>
          <w:tcPr>
            <w:tcW w:w="1900" w:type="dxa"/>
          </w:tcPr>
          <w:p>
            <w:pPr>
              <w:spacing w:after="0" w:before="0"/>
            </w:pPr>
            <w:r/>
            <w:r>
              <w:rPr>
                <w:rFonts w:ascii="Arial" w:hAnsi="Arial" w:cs="Arial"/>
                <w:b w:val="0"/>
                <w:sz w:val="17"/>
              </w:rPr>
              <w:t>Foreclosure/prepayment</w:t>
            </w:r>
          </w:p>
        </w:tc>
        <w:tc>
          <w:tcPr>
            <w:tcW w:w="7460" w:type="dxa"/>
          </w:tcPr>
          <w:p>
            <w:pPr>
              <w:spacing w:after="0" w:before="0"/>
            </w:pPr>
            <w:r/>
            <w:r>
              <w:rPr>
                <w:rFonts w:ascii="Arial" w:hAnsi="Arial" w:cs="Arial"/>
                <w:b w:val="0"/>
                <w:sz w:val="17"/>
              </w:rPr>
              <w:t>Paying the loan off early; may attract a charge (Section 24.9).</w:t>
            </w:r>
          </w:p>
        </w:tc>
      </w:tr>
      <w:tr>
        <w:tc>
          <w:tcPr>
            <w:tcW w:w="1900" w:type="dxa"/>
          </w:tcPr>
          <w:p>
            <w:pPr>
              <w:spacing w:after="0" w:before="0"/>
            </w:pPr>
            <w:r/>
            <w:r>
              <w:rPr>
                <w:rFonts w:ascii="Arial" w:hAnsi="Arial" w:cs="Arial"/>
                <w:b w:val="0"/>
                <w:sz w:val="17"/>
              </w:rPr>
              <w:t>NPA / DPD</w:t>
            </w:r>
          </w:p>
        </w:tc>
        <w:tc>
          <w:tcPr>
            <w:tcW w:w="7460" w:type="dxa"/>
          </w:tcPr>
          <w:p>
            <w:pPr>
              <w:spacing w:after="0" w:before="0"/>
            </w:pPr>
            <w:r/>
            <w:r>
              <w:rPr>
                <w:rFonts w:ascii="Arial" w:hAnsi="Arial" w:cs="Arial"/>
                <w:b w:val="0"/>
                <w:sz w:val="17"/>
              </w:rPr>
              <w:t>A loan overdue past a threshold (90+ days) becomes a Non-Performing Asset; DPD = days past due.</w:t>
            </w:r>
          </w:p>
        </w:tc>
      </w:tr>
    </w:tbl>
    <w:p/>
    <w:p>
      <w:pPr>
        <w:pStyle w:val="Heading2"/>
      </w:pPr>
      <w:r>
        <w:t>71.2 How Interest Really Works</w:t>
      </w:r>
    </w:p>
    <w:p>
      <w:pPr>
        <w:pStyle w:val="ListParagraph"/>
        <w:numPr>
          <w:ilvl w:val="0"/>
          <w:numId w:val="2"/>
        </w:numPr>
      </w:pPr>
      <w:r>
        <w:rPr>
          <w:rFonts w:ascii="Arial" w:hAnsi="Arial" w:cs="Arial"/>
          <w:sz w:val="22"/>
        </w:rPr>
        <w:t>Accrual vs. cash: interest is earned every day it is owed (accrual), even if the borrower pays monthly. The system accrues daily and recognises income daily, not only when cash arrives.</w:t>
      </w:r>
    </w:p>
    <w:p>
      <w:pPr>
        <w:pStyle w:val="ListParagraph"/>
        <w:numPr>
          <w:ilvl w:val="0"/>
          <w:numId w:val="2"/>
        </w:numPr>
      </w:pPr>
      <w:r>
        <w:rPr>
          <w:rFonts w:ascii="Arial" w:hAnsi="Arial" w:cs="Arial"/>
          <w:sz w:val="22"/>
        </w:rPr>
        <w:t>Reducing balance vs. flat: reducing-balance interest is charged only on what is still owed (falls over time); flat interest is charged on the original amount throughout (costs more — Section 45.3.2).</w:t>
      </w:r>
    </w:p>
    <w:p>
      <w:pPr>
        <w:pStyle w:val="ListParagraph"/>
        <w:numPr>
          <w:ilvl w:val="0"/>
          <w:numId w:val="2"/>
        </w:numPr>
      </w:pPr>
      <w:r>
        <w:rPr>
          <w:rFonts w:ascii="Arial" w:hAnsi="Arial" w:cs="Arial"/>
          <w:sz w:val="22"/>
        </w:rPr>
        <w:t>This is why the order of events and the exact day count matter to the paisa (Section 45.2).</w:t>
      </w:r>
    </w:p>
    <w:p>
      <w:pPr>
        <w:pStyle w:val="Heading2"/>
      </w:pPr>
      <w:r>
        <w:t>71.3 Double-Entry Accounting for Programmers</w:t>
      </w:r>
    </w:p>
    <w:p>
      <w:r>
        <w:rPr>
          <w:rFonts w:ascii="Arial" w:hAnsi="Arial" w:cs="Arial"/>
          <w:b w:val="0"/>
          <w:i w:val="0"/>
          <w:sz w:val="22"/>
        </w:rPr>
        <w:t>Accounting records every money movement twice — a debit on one account and an equal credit on another — so the books always balance. Think of it as a rule the code must enforce: for every transaction, sum(debits) must equal sum(credits). A “ledger” (GL account) is just a running total for one category (e.g., “Bank”, “Loan Principal Outstanding”, “Interest Income”). The “trial balance” is the check that all ledgers together net to zero.</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3300"/>
        <w:gridCol w:w="3960"/>
      </w:tblGrid>
      <w:tr>
        <w:tc>
          <w:tcPr>
            <w:tcW w:w="2100" w:type="dxa"/>
            <w:shd w:val="clear" w:color="auto" w:fill="1F4E78"/>
          </w:tcPr>
          <w:p>
            <w:pPr>
              <w:spacing w:after="0" w:before="0"/>
            </w:pPr>
            <w:r/>
            <w:r>
              <w:rPr>
                <w:rFonts w:ascii="Arial" w:hAnsi="Arial" w:cs="Arial"/>
                <w:b/>
                <w:color w:val="FFFFFF"/>
                <w:sz w:val="17"/>
              </w:rPr>
              <w:t>Business event</w:t>
            </w:r>
          </w:p>
        </w:tc>
        <w:tc>
          <w:tcPr>
            <w:tcW w:w="3300" w:type="dxa"/>
            <w:shd w:val="clear" w:color="auto" w:fill="1F4E78"/>
          </w:tcPr>
          <w:p>
            <w:pPr>
              <w:spacing w:after="0" w:before="0"/>
            </w:pPr>
            <w:r/>
            <w:r>
              <w:rPr>
                <w:rFonts w:ascii="Arial" w:hAnsi="Arial" w:cs="Arial"/>
                <w:b/>
                <w:color w:val="FFFFFF"/>
                <w:sz w:val="17"/>
              </w:rPr>
              <w:t>Plain-language money movement</w:t>
            </w:r>
          </w:p>
        </w:tc>
        <w:tc>
          <w:tcPr>
            <w:tcW w:w="3960" w:type="dxa"/>
            <w:shd w:val="clear" w:color="auto" w:fill="1F4E78"/>
          </w:tcPr>
          <w:p>
            <w:pPr>
              <w:spacing w:after="0" w:before="0"/>
            </w:pPr>
            <w:r/>
            <w:r>
              <w:rPr>
                <w:rFonts w:ascii="Arial" w:hAnsi="Arial" w:cs="Arial"/>
                <w:b/>
                <w:color w:val="FFFFFF"/>
                <w:sz w:val="17"/>
              </w:rPr>
              <w:t>Journal entry (Dr / Cr)</w:t>
            </w:r>
          </w:p>
        </w:tc>
      </w:tr>
      <w:tr>
        <w:tc>
          <w:tcPr>
            <w:tcW w:w="2100" w:type="dxa"/>
          </w:tcPr>
          <w:p>
            <w:pPr>
              <w:spacing w:after="0" w:before="0"/>
            </w:pPr>
            <w:r/>
            <w:r>
              <w:rPr>
                <w:rFonts w:ascii="Arial" w:hAnsi="Arial" w:cs="Arial"/>
                <w:b w:val="0"/>
                <w:sz w:val="17"/>
              </w:rPr>
              <w:t>Disbursement</w:t>
            </w:r>
          </w:p>
        </w:tc>
        <w:tc>
          <w:tcPr>
            <w:tcW w:w="3300" w:type="dxa"/>
          </w:tcPr>
          <w:p>
            <w:pPr>
              <w:spacing w:after="0" w:before="0"/>
            </w:pPr>
            <w:r/>
            <w:r>
              <w:rPr>
                <w:rFonts w:ascii="Arial" w:hAnsi="Arial" w:cs="Arial"/>
                <w:b w:val="0"/>
                <w:sz w:val="17"/>
              </w:rPr>
              <w:t>Lender pays out cash; borrower now owes principal</w:t>
            </w:r>
          </w:p>
        </w:tc>
        <w:tc>
          <w:tcPr>
            <w:tcW w:w="3960" w:type="dxa"/>
          </w:tcPr>
          <w:p>
            <w:pPr>
              <w:spacing w:after="0" w:before="0"/>
            </w:pPr>
            <w:r/>
            <w:r>
              <w:rPr>
                <w:rFonts w:ascii="Arial" w:hAnsi="Arial" w:cs="Arial"/>
                <w:b w:val="0"/>
                <w:sz w:val="17"/>
              </w:rPr>
              <w:t>Dr Loan Principal (asset ↑) / Cr Bank (cash ↓)</w:t>
            </w:r>
          </w:p>
        </w:tc>
      </w:tr>
      <w:tr>
        <w:tc>
          <w:tcPr>
            <w:tcW w:w="2100" w:type="dxa"/>
          </w:tcPr>
          <w:p>
            <w:pPr>
              <w:spacing w:after="0" w:before="0"/>
            </w:pPr>
            <w:r/>
            <w:r>
              <w:rPr>
                <w:rFonts w:ascii="Arial" w:hAnsi="Arial" w:cs="Arial"/>
                <w:b w:val="0"/>
                <w:sz w:val="17"/>
              </w:rPr>
              <w:t>EMI received</w:t>
            </w:r>
          </w:p>
        </w:tc>
        <w:tc>
          <w:tcPr>
            <w:tcW w:w="3300" w:type="dxa"/>
          </w:tcPr>
          <w:p>
            <w:pPr>
              <w:spacing w:after="0" w:before="0"/>
            </w:pPr>
            <w:r/>
            <w:r>
              <w:rPr>
                <w:rFonts w:ascii="Arial" w:hAnsi="Arial" w:cs="Arial"/>
                <w:b w:val="0"/>
                <w:sz w:val="17"/>
              </w:rPr>
              <w:t>Cash comes in; part repays principal, part is income</w:t>
            </w:r>
          </w:p>
        </w:tc>
        <w:tc>
          <w:tcPr>
            <w:tcW w:w="3960" w:type="dxa"/>
          </w:tcPr>
          <w:p>
            <w:pPr>
              <w:spacing w:after="0" w:before="0"/>
            </w:pPr>
            <w:r/>
            <w:r>
              <w:rPr>
                <w:rFonts w:ascii="Arial" w:hAnsi="Arial" w:cs="Arial"/>
                <w:b w:val="0"/>
                <w:sz w:val="17"/>
              </w:rPr>
              <w:t>Dr Bank / Cr Loan Principal, Cr Interest Income</w:t>
            </w:r>
          </w:p>
        </w:tc>
      </w:tr>
      <w:tr>
        <w:tc>
          <w:tcPr>
            <w:tcW w:w="2100" w:type="dxa"/>
          </w:tcPr>
          <w:p>
            <w:pPr>
              <w:spacing w:after="0" w:before="0"/>
            </w:pPr>
            <w:r/>
            <w:r>
              <w:rPr>
                <w:rFonts w:ascii="Arial" w:hAnsi="Arial" w:cs="Arial"/>
                <w:b w:val="0"/>
                <w:sz w:val="17"/>
              </w:rPr>
              <w:t>Interest accrual (daily/period-end)</w:t>
            </w:r>
          </w:p>
        </w:tc>
        <w:tc>
          <w:tcPr>
            <w:tcW w:w="3300" w:type="dxa"/>
          </w:tcPr>
          <w:p>
            <w:pPr>
              <w:spacing w:after="0" w:before="0"/>
            </w:pPr>
            <w:r/>
            <w:r>
              <w:rPr>
                <w:rFonts w:ascii="Arial" w:hAnsi="Arial" w:cs="Arial"/>
                <w:b w:val="0"/>
                <w:sz w:val="17"/>
              </w:rPr>
              <w:t>Income earned but not yet received</w:t>
            </w:r>
          </w:p>
        </w:tc>
        <w:tc>
          <w:tcPr>
            <w:tcW w:w="3960" w:type="dxa"/>
          </w:tcPr>
          <w:p>
            <w:pPr>
              <w:spacing w:after="0" w:before="0"/>
            </w:pPr>
            <w:r/>
            <w:r>
              <w:rPr>
                <w:rFonts w:ascii="Arial" w:hAnsi="Arial" w:cs="Arial"/>
                <w:b w:val="0"/>
                <w:sz w:val="17"/>
              </w:rPr>
              <w:t>Dr Interest Receivable / Cr Interest Income</w:t>
            </w:r>
          </w:p>
        </w:tc>
      </w:tr>
      <w:tr>
        <w:tc>
          <w:tcPr>
            <w:tcW w:w="2100" w:type="dxa"/>
          </w:tcPr>
          <w:p>
            <w:pPr>
              <w:spacing w:after="0" w:before="0"/>
            </w:pPr>
            <w:r/>
            <w:r>
              <w:rPr>
                <w:rFonts w:ascii="Arial" w:hAnsi="Arial" w:cs="Arial"/>
                <w:b w:val="0"/>
                <w:sz w:val="17"/>
              </w:rPr>
              <w:t>Loan turns NPA</w:t>
            </w:r>
          </w:p>
        </w:tc>
        <w:tc>
          <w:tcPr>
            <w:tcW w:w="3300" w:type="dxa"/>
          </w:tcPr>
          <w:p>
            <w:pPr>
              <w:spacing w:after="0" w:before="0"/>
            </w:pPr>
            <w:r/>
            <w:r>
              <w:rPr>
                <w:rFonts w:ascii="Arial" w:hAnsi="Arial" w:cs="Arial"/>
                <w:b w:val="0"/>
                <w:sz w:val="17"/>
              </w:rPr>
              <w:t>Stop counting unrealised interest as income</w:t>
            </w:r>
          </w:p>
        </w:tc>
        <w:tc>
          <w:tcPr>
            <w:tcW w:w="3960" w:type="dxa"/>
          </w:tcPr>
          <w:p>
            <w:pPr>
              <w:spacing w:after="0" w:before="0"/>
            </w:pPr>
            <w:r/>
            <w:r>
              <w:rPr>
                <w:rFonts w:ascii="Arial" w:hAnsi="Arial" w:cs="Arial"/>
                <w:b w:val="0"/>
                <w:sz w:val="17"/>
              </w:rPr>
              <w:t>Reverse income; move to Interest Suspense (Section 33)</w:t>
            </w:r>
          </w:p>
        </w:tc>
      </w:tr>
      <w:tr>
        <w:tc>
          <w:tcPr>
            <w:tcW w:w="2100" w:type="dxa"/>
          </w:tcPr>
          <w:p>
            <w:pPr>
              <w:spacing w:after="0" w:before="0"/>
            </w:pPr>
            <w:r/>
            <w:r>
              <w:rPr>
                <w:rFonts w:ascii="Arial" w:hAnsi="Arial" w:cs="Arial"/>
                <w:b w:val="0"/>
                <w:sz w:val="17"/>
              </w:rPr>
              <w:t>Provision for expected loss</w:t>
            </w:r>
          </w:p>
        </w:tc>
        <w:tc>
          <w:tcPr>
            <w:tcW w:w="3300" w:type="dxa"/>
          </w:tcPr>
          <w:p>
            <w:pPr>
              <w:spacing w:after="0" w:before="0"/>
            </w:pPr>
            <w:r/>
            <w:r>
              <w:rPr>
                <w:rFonts w:ascii="Arial" w:hAnsi="Arial" w:cs="Arial"/>
                <w:b w:val="0"/>
                <w:sz w:val="17"/>
              </w:rPr>
              <w:t>Set aside for possible non-repayment</w:t>
            </w:r>
          </w:p>
        </w:tc>
        <w:tc>
          <w:tcPr>
            <w:tcW w:w="3960" w:type="dxa"/>
          </w:tcPr>
          <w:p>
            <w:pPr>
              <w:spacing w:after="0" w:before="0"/>
            </w:pPr>
            <w:r/>
            <w:r>
              <w:rPr>
                <w:rFonts w:ascii="Arial" w:hAnsi="Arial" w:cs="Arial"/>
                <w:b w:val="0"/>
                <w:sz w:val="17"/>
              </w:rPr>
              <w:t>Dr Provision Expense / Cr Provision (allowance)</w:t>
            </w:r>
          </w:p>
        </w:tc>
      </w:tr>
    </w:tbl>
    <w:p/>
    <w:p>
      <w:pPr>
        <w:pStyle w:val="Heading2"/>
      </w:pPr>
      <w:r>
        <w:t>71.4 Ten Rules a Developer Must Never Break</w:t>
      </w:r>
    </w:p>
    <w:p>
      <w:pPr>
        <w:pStyle w:val="ListParagraph"/>
        <w:numPr>
          <w:ilvl w:val="0"/>
          <w:numId w:val="2"/>
        </w:numPr>
      </w:pPr>
      <w:r>
        <w:rPr>
          <w:rFonts w:ascii="Arial" w:hAnsi="Arial" w:cs="Arial"/>
          <w:sz w:val="22"/>
        </w:rPr>
        <w:t>Never store money as float/double — use DECIMAL or integer paise (Section 28.1).</w:t>
      </w:r>
    </w:p>
    <w:p>
      <w:pPr>
        <w:pStyle w:val="ListParagraph"/>
        <w:numPr>
          <w:ilvl w:val="0"/>
          <w:numId w:val="2"/>
        </w:numPr>
      </w:pPr>
      <w:r>
        <w:rPr>
          <w:rFonts w:ascii="Arial" w:hAnsi="Arial" w:cs="Arial"/>
          <w:sz w:val="22"/>
        </w:rPr>
        <w:t>Round only at defined boundaries; the last EMI absorbs the residual (Section 28.2).</w:t>
      </w:r>
    </w:p>
    <w:p>
      <w:pPr>
        <w:pStyle w:val="ListParagraph"/>
        <w:numPr>
          <w:ilvl w:val="0"/>
          <w:numId w:val="2"/>
        </w:numPr>
      </w:pPr>
      <w:r>
        <w:rPr>
          <w:rFonts w:ascii="Arial" w:hAnsi="Arial" w:cs="Arial"/>
          <w:sz w:val="22"/>
        </w:rPr>
        <w:t>Use one day-count convention per product consistently (Section 45.2).</w:t>
      </w:r>
    </w:p>
    <w:p>
      <w:pPr>
        <w:pStyle w:val="ListParagraph"/>
        <w:numPr>
          <w:ilvl w:val="0"/>
          <w:numId w:val="2"/>
        </w:numPr>
      </w:pPr>
      <w:r>
        <w:rPr>
          <w:rFonts w:ascii="Arial" w:hAnsi="Arial" w:cs="Arial"/>
          <w:sz w:val="22"/>
        </w:rPr>
        <w:t>Separate value-date (when it counts) from system-date (when it was entered).</w:t>
      </w:r>
    </w:p>
    <w:p>
      <w:pPr>
        <w:pStyle w:val="ListParagraph"/>
        <w:numPr>
          <w:ilvl w:val="0"/>
          <w:numId w:val="2"/>
        </w:numPr>
      </w:pPr>
      <w:r>
        <w:rPr>
          <w:rFonts w:ascii="Arial" w:hAnsi="Arial" w:cs="Arial"/>
          <w:sz w:val="22"/>
        </w:rPr>
        <w:t>Make money-moving APIs idempotent — a retry must not pay or charge twice (Section 40.1).</w:t>
      </w:r>
    </w:p>
    <w:p>
      <w:pPr>
        <w:pStyle w:val="ListParagraph"/>
        <w:numPr>
          <w:ilvl w:val="0"/>
          <w:numId w:val="2"/>
        </w:numPr>
      </w:pPr>
      <w:r>
        <w:rPr>
          <w:rFonts w:ascii="Arial" w:hAnsi="Arial" w:cs="Arial"/>
          <w:sz w:val="22"/>
        </w:rPr>
        <w:t>The ledger is append-only — correct by posting a reversal, never UPDATE/DELETE a posted entry (Section 28.3).</w:t>
      </w:r>
    </w:p>
    <w:p>
      <w:pPr>
        <w:pStyle w:val="ListParagraph"/>
        <w:numPr>
          <w:ilvl w:val="0"/>
          <w:numId w:val="2"/>
        </w:numPr>
      </w:pPr>
      <w:r>
        <w:rPr>
          <w:rFonts w:ascii="Arial" w:hAnsi="Arial" w:cs="Arial"/>
          <w:sz w:val="22"/>
        </w:rPr>
        <w:t>Every journal voucher must balance (Σ debits = Σ credits) before it can persist.</w:t>
      </w:r>
    </w:p>
    <w:p>
      <w:pPr>
        <w:pStyle w:val="ListParagraph"/>
        <w:numPr>
          <w:ilvl w:val="0"/>
          <w:numId w:val="2"/>
        </w:numPr>
      </w:pPr>
      <w:r>
        <w:rPr>
          <w:rFonts w:ascii="Arial" w:hAnsi="Arial" w:cs="Arial"/>
          <w:sz w:val="22"/>
        </w:rPr>
        <w:t>Use IST consistently; day-boundary bugs corrupt daily interest.</w:t>
      </w:r>
    </w:p>
    <w:p>
      <w:pPr>
        <w:pStyle w:val="ListParagraph"/>
        <w:numPr>
          <w:ilvl w:val="0"/>
          <w:numId w:val="2"/>
        </w:numPr>
      </w:pPr>
      <w:r>
        <w:rPr>
          <w:rFonts w:ascii="Arial" w:hAnsi="Arial" w:cs="Arial"/>
          <w:sz w:val="22"/>
        </w:rPr>
        <w:t>Penal charges are a flat/percentage fee, never compounded into interest (Section 24.7).</w:t>
      </w:r>
    </w:p>
    <w:p>
      <w:pPr>
        <w:pStyle w:val="ListParagraph"/>
        <w:numPr>
          <w:ilvl w:val="0"/>
          <w:numId w:val="2"/>
        </w:numPr>
      </w:pPr>
      <w:r>
        <w:rPr>
          <w:rFonts w:ascii="Arial" w:hAnsi="Arial" w:cs="Arial"/>
          <w:sz w:val="22"/>
        </w:rPr>
        <w:t>Every computed balance must reconcile to the GL — if it doesn’t tie, stop (Section 41.3).</w:t>
      </w:r>
    </w:p>
    <w:p>
      <w:r>
        <w:br w:type="page"/>
      </w:r>
    </w:p>
    <w:p>
      <w:pPr>
        <w:pStyle w:val="Heading1"/>
      </w:pPr>
      <w:r>
        <w:t>72. Loan Product Build Pack (Developer-Ready)</w:t>
      </w:r>
    </w:p>
    <w:p>
      <w:r>
        <w:rPr>
          <w:rFonts w:ascii="Arial" w:hAnsi="Arial" w:cs="Arial"/>
          <w:b w:val="0"/>
          <w:i w:val="0"/>
          <w:sz w:val="22"/>
        </w:rPr>
        <w:t>This section makes the loan products in Section 3 directly buildable. It sets out the config-driven form approach, a complete common field library reused across products, the data-type-to-UI-control mapping, and a per-product build checklist — so a developer can start building without needing to infer the form structure. The exhaustive, machine-readable field list for every product is provided as the companion Field-Catalog spreadsheet; this section is the human-readable guide to it.</w:t>
      </w:r>
    </w:p>
    <w:p>
      <w:pPr>
        <w:pStyle w:val="Heading2"/>
      </w:pPr>
      <w:r>
        <w:t>72.1 Build Philosophy</w:t>
      </w:r>
    </w:p>
    <w:p>
      <w:pPr>
        <w:pStyle w:val="ListParagraph"/>
        <w:numPr>
          <w:ilvl w:val="0"/>
          <w:numId w:val="2"/>
        </w:numPr>
      </w:pPr>
      <w:r>
        <w:rPr>
          <w:rFonts w:ascii="Arial" w:hAnsi="Arial" w:cs="Arial"/>
          <w:sz w:val="22"/>
        </w:rPr>
        <w:t>One form engine renders every product; the fields are data, not code. A product = a Product-Master row (parameters) + a field schema (common library + product delta) + a document checklist + a workflow + an interest/charge/penalty method (Section 45).</w:t>
      </w:r>
    </w:p>
    <w:p>
      <w:pPr>
        <w:pStyle w:val="ListParagraph"/>
        <w:numPr>
          <w:ilvl w:val="0"/>
          <w:numId w:val="2"/>
        </w:numPr>
      </w:pPr>
      <w:r>
        <w:rPr>
          <w:rFonts w:ascii="Arial" w:hAnsi="Arial" w:cs="Arial"/>
          <w:sz w:val="22"/>
        </w:rPr>
        <w:t>Adding or changing a product is a configuration change, not a release (Sections 3, 39.2).</w:t>
      </w:r>
    </w:p>
    <w:p>
      <w:pPr>
        <w:pStyle w:val="ListParagraph"/>
        <w:numPr>
          <w:ilvl w:val="0"/>
          <w:numId w:val="2"/>
        </w:numPr>
      </w:pPr>
      <w:r>
        <w:rPr>
          <w:rFonts w:ascii="Arial" w:hAnsi="Arial" w:cs="Arial"/>
          <w:sz w:val="22"/>
        </w:rPr>
        <w:t>Each field in the schema declares: name, data type, mandatory rule (with condition per Section 43.3), validation (Section 25.1), and UI control (Section 72.3).</w:t>
      </w:r>
    </w:p>
    <w:p>
      <w:pPr>
        <w:pStyle w:val="Heading2"/>
      </w:pPr>
      <w:r>
        <w:t>72.2 Common Field Library (reused by all products)</w:t>
      </w:r>
    </w:p>
    <w:p>
      <w:r>
        <w:rPr>
          <w:rFonts w:ascii="Arial" w:hAnsi="Arial" w:cs="Arial"/>
          <w:b w:val="0"/>
          <w:i w:val="0"/>
          <w:sz w:val="22"/>
        </w:rPr>
        <w:t>These field groups are built once and referenced by every product; only the product-specific delta (collateral, product parameters) is added on top.</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700"/>
        <w:gridCol w:w="3100"/>
        <w:gridCol w:w="1300"/>
        <w:gridCol w:w="750"/>
        <w:gridCol w:w="2510"/>
      </w:tblGrid>
      <w:tr>
        <w:tc>
          <w:tcPr>
            <w:tcW w:w="1700" w:type="dxa"/>
            <w:shd w:val="clear" w:color="auto" w:fill="1F4E78"/>
          </w:tcPr>
          <w:p>
            <w:pPr>
              <w:spacing w:after="0" w:before="0"/>
            </w:pPr>
            <w:r/>
            <w:r>
              <w:rPr>
                <w:rFonts w:ascii="Arial" w:hAnsi="Arial" w:cs="Arial"/>
                <w:b/>
                <w:color w:val="FFFFFF"/>
                <w:sz w:val="17"/>
              </w:rPr>
              <w:t>Group</w:t>
            </w:r>
          </w:p>
        </w:tc>
        <w:tc>
          <w:tcPr>
            <w:tcW w:w="3100" w:type="dxa"/>
            <w:shd w:val="clear" w:color="auto" w:fill="1F4E78"/>
          </w:tcPr>
          <w:p>
            <w:pPr>
              <w:spacing w:after="0" w:before="0"/>
            </w:pPr>
            <w:r/>
            <w:r>
              <w:rPr>
                <w:rFonts w:ascii="Arial" w:hAnsi="Arial" w:cs="Arial"/>
                <w:b/>
                <w:color w:val="FFFFFF"/>
                <w:sz w:val="17"/>
              </w:rPr>
              <w:t>Representative fields</w:t>
            </w:r>
          </w:p>
        </w:tc>
        <w:tc>
          <w:tcPr>
            <w:tcW w:w="1300" w:type="dxa"/>
            <w:shd w:val="clear" w:color="auto" w:fill="1F4E78"/>
          </w:tcPr>
          <w:p>
            <w:pPr>
              <w:spacing w:after="0" w:before="0"/>
            </w:pPr>
            <w:r/>
            <w:r>
              <w:rPr>
                <w:rFonts w:ascii="Arial" w:hAnsi="Arial" w:cs="Arial"/>
                <w:b/>
                <w:color w:val="FFFFFF"/>
                <w:sz w:val="17"/>
              </w:rPr>
              <w:t>Data type</w:t>
            </w:r>
          </w:p>
        </w:tc>
        <w:tc>
          <w:tcPr>
            <w:tcW w:w="750" w:type="dxa"/>
            <w:shd w:val="clear" w:color="auto" w:fill="1F4E78"/>
          </w:tcPr>
          <w:p>
            <w:pPr>
              <w:spacing w:after="0" w:before="0"/>
            </w:pPr>
            <w:r/>
            <w:r>
              <w:rPr>
                <w:rFonts w:ascii="Arial" w:hAnsi="Arial" w:cs="Arial"/>
                <w:b/>
                <w:color w:val="FFFFFF"/>
                <w:sz w:val="17"/>
              </w:rPr>
              <w:t>Mand.</w:t>
            </w:r>
          </w:p>
        </w:tc>
        <w:tc>
          <w:tcPr>
            <w:tcW w:w="2510" w:type="dxa"/>
            <w:shd w:val="clear" w:color="auto" w:fill="1F4E78"/>
          </w:tcPr>
          <w:p>
            <w:pPr>
              <w:spacing w:after="0" w:before="0"/>
            </w:pPr>
            <w:r/>
            <w:r>
              <w:rPr>
                <w:rFonts w:ascii="Arial" w:hAnsi="Arial" w:cs="Arial"/>
                <w:b/>
                <w:color w:val="FFFFFF"/>
                <w:sz w:val="17"/>
              </w:rPr>
              <w:t>Validation / UI</w:t>
            </w:r>
          </w:p>
        </w:tc>
      </w:tr>
      <w:tr>
        <w:tc>
          <w:tcPr>
            <w:tcW w:w="1700" w:type="dxa"/>
          </w:tcPr>
          <w:p>
            <w:pPr>
              <w:spacing w:after="0" w:before="0"/>
            </w:pPr>
            <w:r/>
            <w:r>
              <w:rPr>
                <w:rFonts w:ascii="Arial" w:hAnsi="Arial" w:cs="Arial"/>
                <w:b w:val="0"/>
                <w:sz w:val="17"/>
              </w:rPr>
              <w:t>Identity / KYC</w:t>
            </w:r>
          </w:p>
        </w:tc>
        <w:tc>
          <w:tcPr>
            <w:tcW w:w="3100" w:type="dxa"/>
          </w:tcPr>
          <w:p>
            <w:pPr>
              <w:spacing w:after="0" w:before="0"/>
            </w:pPr>
            <w:r/>
            <w:r>
              <w:rPr>
                <w:rFonts w:ascii="Arial" w:hAnsi="Arial" w:cs="Arial"/>
                <w:b w:val="0"/>
                <w:sz w:val="17"/>
              </w:rPr>
              <w:t>Name, DOB, Gender, PAN, Aadhaar (masked), CKYC no., PEP flag, photo, signature</w:t>
            </w:r>
          </w:p>
        </w:tc>
        <w:tc>
          <w:tcPr>
            <w:tcW w:w="1300" w:type="dxa"/>
          </w:tcPr>
          <w:p>
            <w:pPr>
              <w:spacing w:after="0" w:before="0"/>
            </w:pPr>
            <w:r/>
            <w:r>
              <w:rPr>
                <w:rFonts w:ascii="Arial" w:hAnsi="Arial" w:cs="Arial"/>
                <w:b w:val="0"/>
                <w:sz w:val="17"/>
              </w:rPr>
              <w:t>Text/Date/File</w:t>
            </w:r>
          </w:p>
        </w:tc>
        <w:tc>
          <w:tcPr>
            <w:tcW w:w="750" w:type="dxa"/>
          </w:tcPr>
          <w:p>
            <w:pPr>
              <w:spacing w:after="0" w:before="0"/>
            </w:pPr>
            <w:r/>
            <w:r>
              <w:rPr>
                <w:rFonts w:ascii="Arial" w:hAnsi="Arial" w:cs="Arial"/>
                <w:b w:val="0"/>
                <w:sz w:val="17"/>
              </w:rPr>
              <w:t>Yes</w:t>
            </w:r>
          </w:p>
        </w:tc>
        <w:tc>
          <w:tcPr>
            <w:tcW w:w="2510" w:type="dxa"/>
          </w:tcPr>
          <w:p>
            <w:pPr>
              <w:spacing w:after="0" w:before="0"/>
            </w:pPr>
            <w:r/>
            <w:r>
              <w:rPr>
                <w:rFonts w:ascii="Arial" w:hAnsi="Arial" w:cs="Arial"/>
                <w:b w:val="0"/>
                <w:sz w:val="17"/>
              </w:rPr>
              <w:t>Regex §25.1; UI: input/date/upload</w:t>
            </w:r>
          </w:p>
        </w:tc>
      </w:tr>
      <w:tr>
        <w:tc>
          <w:tcPr>
            <w:tcW w:w="1700" w:type="dxa"/>
          </w:tcPr>
          <w:p>
            <w:pPr>
              <w:spacing w:after="0" w:before="0"/>
            </w:pPr>
            <w:r/>
            <w:r>
              <w:rPr>
                <w:rFonts w:ascii="Arial" w:hAnsi="Arial" w:cs="Arial"/>
                <w:b w:val="0"/>
                <w:sz w:val="17"/>
              </w:rPr>
              <w:t>Contact</w:t>
            </w:r>
          </w:p>
        </w:tc>
        <w:tc>
          <w:tcPr>
            <w:tcW w:w="3100" w:type="dxa"/>
          </w:tcPr>
          <w:p>
            <w:pPr>
              <w:spacing w:after="0" w:before="0"/>
            </w:pPr>
            <w:r/>
            <w:r>
              <w:rPr>
                <w:rFonts w:ascii="Arial" w:hAnsi="Arial" w:cs="Arial"/>
                <w:b w:val="0"/>
                <w:sz w:val="17"/>
              </w:rPr>
              <w:t>Mobile, Email, alternate contact</w:t>
            </w:r>
          </w:p>
        </w:tc>
        <w:tc>
          <w:tcPr>
            <w:tcW w:w="1300" w:type="dxa"/>
          </w:tcPr>
          <w:p>
            <w:pPr>
              <w:spacing w:after="0" w:before="0"/>
            </w:pPr>
            <w:r/>
            <w:r>
              <w:rPr>
                <w:rFonts w:ascii="Arial" w:hAnsi="Arial" w:cs="Arial"/>
                <w:b w:val="0"/>
                <w:sz w:val="17"/>
              </w:rPr>
              <w:t>Text/Email</w:t>
            </w:r>
          </w:p>
        </w:tc>
        <w:tc>
          <w:tcPr>
            <w:tcW w:w="750" w:type="dxa"/>
          </w:tcPr>
          <w:p>
            <w:pPr>
              <w:spacing w:after="0" w:before="0"/>
            </w:pPr>
            <w:r/>
            <w:r>
              <w:rPr>
                <w:rFonts w:ascii="Arial" w:hAnsi="Arial" w:cs="Arial"/>
                <w:b w:val="0"/>
                <w:sz w:val="17"/>
              </w:rPr>
              <w:t>Yes/Cond</w:t>
            </w:r>
          </w:p>
        </w:tc>
        <w:tc>
          <w:tcPr>
            <w:tcW w:w="2510" w:type="dxa"/>
          </w:tcPr>
          <w:p>
            <w:pPr>
              <w:spacing w:after="0" w:before="0"/>
            </w:pPr>
            <w:r/>
            <w:r>
              <w:rPr>
                <w:rFonts w:ascii="Arial" w:hAnsi="Arial" w:cs="Arial"/>
                <w:b w:val="0"/>
                <w:sz w:val="17"/>
              </w:rPr>
              <w:t>OTP verify; email format</w:t>
            </w:r>
          </w:p>
        </w:tc>
      </w:tr>
      <w:tr>
        <w:tc>
          <w:tcPr>
            <w:tcW w:w="1700" w:type="dxa"/>
          </w:tcPr>
          <w:p>
            <w:pPr>
              <w:spacing w:after="0" w:before="0"/>
            </w:pPr>
            <w:r/>
            <w:r>
              <w:rPr>
                <w:rFonts w:ascii="Arial" w:hAnsi="Arial" w:cs="Arial"/>
                <w:b w:val="0"/>
                <w:sz w:val="17"/>
              </w:rPr>
              <w:t>Address</w:t>
            </w:r>
          </w:p>
        </w:tc>
        <w:tc>
          <w:tcPr>
            <w:tcW w:w="3100" w:type="dxa"/>
          </w:tcPr>
          <w:p>
            <w:pPr>
              <w:spacing w:after="0" w:before="0"/>
            </w:pPr>
            <w:r/>
            <w:r>
              <w:rPr>
                <w:rFonts w:ascii="Arial" w:hAnsi="Arial" w:cs="Arial"/>
                <w:b w:val="0"/>
                <w:sz w:val="17"/>
              </w:rPr>
              <w:t>Current &amp; permanent (Line1/2, city, district, state, PIN), residence type, years</w:t>
            </w:r>
          </w:p>
        </w:tc>
        <w:tc>
          <w:tcPr>
            <w:tcW w:w="1300" w:type="dxa"/>
          </w:tcPr>
          <w:p>
            <w:pPr>
              <w:spacing w:after="0" w:before="0"/>
            </w:pPr>
            <w:r/>
            <w:r>
              <w:rPr>
                <w:rFonts w:ascii="Arial" w:hAnsi="Arial" w:cs="Arial"/>
                <w:b w:val="0"/>
                <w:sz w:val="17"/>
              </w:rPr>
              <w:t>Address block</w:t>
            </w:r>
          </w:p>
        </w:tc>
        <w:tc>
          <w:tcPr>
            <w:tcW w:w="750" w:type="dxa"/>
          </w:tcPr>
          <w:p>
            <w:pPr>
              <w:spacing w:after="0" w:before="0"/>
            </w:pPr>
            <w:r/>
            <w:r>
              <w:rPr>
                <w:rFonts w:ascii="Arial" w:hAnsi="Arial" w:cs="Arial"/>
                <w:b w:val="0"/>
                <w:sz w:val="17"/>
              </w:rPr>
              <w:t>Yes</w:t>
            </w:r>
          </w:p>
        </w:tc>
        <w:tc>
          <w:tcPr>
            <w:tcW w:w="2510" w:type="dxa"/>
          </w:tcPr>
          <w:p>
            <w:pPr>
              <w:spacing w:after="0" w:before="0"/>
            </w:pPr>
            <w:r/>
            <w:r>
              <w:rPr>
                <w:rFonts w:ascii="Arial" w:hAnsi="Arial" w:cs="Arial"/>
                <w:b w:val="0"/>
                <w:sz w:val="17"/>
              </w:rPr>
              <w:t>PIN regex; composite UI</w:t>
            </w:r>
          </w:p>
        </w:tc>
      </w:tr>
      <w:tr>
        <w:tc>
          <w:tcPr>
            <w:tcW w:w="1700" w:type="dxa"/>
          </w:tcPr>
          <w:p>
            <w:pPr>
              <w:spacing w:after="0" w:before="0"/>
            </w:pPr>
            <w:r/>
            <w:r>
              <w:rPr>
                <w:rFonts w:ascii="Arial" w:hAnsi="Arial" w:cs="Arial"/>
                <w:b w:val="0"/>
                <w:sz w:val="17"/>
              </w:rPr>
              <w:t>Employment / Income (individual)</w:t>
            </w:r>
          </w:p>
        </w:tc>
        <w:tc>
          <w:tcPr>
            <w:tcW w:w="3100" w:type="dxa"/>
          </w:tcPr>
          <w:p>
            <w:pPr>
              <w:spacing w:after="0" w:before="0"/>
            </w:pPr>
            <w:r/>
            <w:r>
              <w:rPr>
                <w:rFonts w:ascii="Arial" w:hAnsi="Arial" w:cs="Arial"/>
                <w:b w:val="0"/>
                <w:sz w:val="17"/>
              </w:rPr>
              <w:t>Employer, designation, DOJ, gross/net salary, salary mode</w:t>
            </w:r>
          </w:p>
        </w:tc>
        <w:tc>
          <w:tcPr>
            <w:tcW w:w="1300" w:type="dxa"/>
          </w:tcPr>
          <w:p>
            <w:pPr>
              <w:spacing w:after="0" w:before="0"/>
            </w:pPr>
            <w:r/>
            <w:r>
              <w:rPr>
                <w:rFonts w:ascii="Arial" w:hAnsi="Arial" w:cs="Arial"/>
                <w:b w:val="0"/>
                <w:sz w:val="17"/>
              </w:rPr>
              <w:t>Text/Currency/Date</w:t>
            </w:r>
          </w:p>
        </w:tc>
        <w:tc>
          <w:tcPr>
            <w:tcW w:w="750" w:type="dxa"/>
          </w:tcPr>
          <w:p>
            <w:pPr>
              <w:spacing w:after="0" w:before="0"/>
            </w:pPr>
            <w:r/>
            <w:r>
              <w:rPr>
                <w:rFonts w:ascii="Arial" w:hAnsi="Arial" w:cs="Arial"/>
                <w:b w:val="0"/>
                <w:sz w:val="17"/>
              </w:rPr>
              <w:t>Yes</w:t>
            </w:r>
          </w:p>
        </w:tc>
        <w:tc>
          <w:tcPr>
            <w:tcW w:w="2510" w:type="dxa"/>
          </w:tcPr>
          <w:p>
            <w:pPr>
              <w:spacing w:after="0" w:before="0"/>
            </w:pPr>
            <w:r/>
            <w:r>
              <w:rPr>
                <w:rFonts w:ascii="Arial" w:hAnsi="Arial" w:cs="Arial"/>
                <w:b w:val="0"/>
                <w:sz w:val="17"/>
              </w:rPr>
              <w:t>Currency mask; FOIR input</w:t>
            </w:r>
          </w:p>
        </w:tc>
      </w:tr>
      <w:tr>
        <w:tc>
          <w:tcPr>
            <w:tcW w:w="1700" w:type="dxa"/>
          </w:tcPr>
          <w:p>
            <w:pPr>
              <w:spacing w:after="0" w:before="0"/>
            </w:pPr>
            <w:r/>
            <w:r>
              <w:rPr>
                <w:rFonts w:ascii="Arial" w:hAnsi="Arial" w:cs="Arial"/>
                <w:b w:val="0"/>
                <w:sz w:val="17"/>
              </w:rPr>
              <w:t>Business / Entity</w:t>
            </w:r>
          </w:p>
        </w:tc>
        <w:tc>
          <w:tcPr>
            <w:tcW w:w="3100" w:type="dxa"/>
          </w:tcPr>
          <w:p>
            <w:pPr>
              <w:spacing w:after="0" w:before="0"/>
            </w:pPr>
            <w:r/>
            <w:r>
              <w:rPr>
                <w:rFonts w:ascii="Arial" w:hAnsi="Arial" w:cs="Arial"/>
                <w:b w:val="0"/>
                <w:sz w:val="17"/>
              </w:rPr>
              <w:t>Constitution, GSTIN, Udyam, vintage, turnover, net profit, LEI</w:t>
            </w:r>
          </w:p>
        </w:tc>
        <w:tc>
          <w:tcPr>
            <w:tcW w:w="1300" w:type="dxa"/>
          </w:tcPr>
          <w:p>
            <w:pPr>
              <w:spacing w:after="0" w:before="0"/>
            </w:pPr>
            <w:r/>
            <w:r>
              <w:rPr>
                <w:rFonts w:ascii="Arial" w:hAnsi="Arial" w:cs="Arial"/>
                <w:b w:val="0"/>
                <w:sz w:val="17"/>
              </w:rPr>
              <w:t>Text/Currency</w:t>
            </w:r>
          </w:p>
        </w:tc>
        <w:tc>
          <w:tcPr>
            <w:tcW w:w="750" w:type="dxa"/>
          </w:tcPr>
          <w:p>
            <w:pPr>
              <w:spacing w:after="0" w:before="0"/>
            </w:pPr>
            <w:r/>
            <w:r>
              <w:rPr>
                <w:rFonts w:ascii="Arial" w:hAnsi="Arial" w:cs="Arial"/>
                <w:b w:val="0"/>
                <w:sz w:val="17"/>
              </w:rPr>
              <w:t>Yes/Cond</w:t>
            </w:r>
          </w:p>
        </w:tc>
        <w:tc>
          <w:tcPr>
            <w:tcW w:w="2510" w:type="dxa"/>
          </w:tcPr>
          <w:p>
            <w:pPr>
              <w:spacing w:after="0" w:before="0"/>
            </w:pPr>
            <w:r/>
            <w:r>
              <w:rPr>
                <w:rFonts w:ascii="Arial" w:hAnsi="Arial" w:cs="Arial"/>
                <w:b w:val="0"/>
                <w:sz w:val="17"/>
              </w:rPr>
              <w:t>GSTIN/LEI regex §25.1</w:t>
            </w:r>
          </w:p>
        </w:tc>
      </w:tr>
      <w:tr>
        <w:tc>
          <w:tcPr>
            <w:tcW w:w="1700" w:type="dxa"/>
          </w:tcPr>
          <w:p>
            <w:pPr>
              <w:spacing w:after="0" w:before="0"/>
            </w:pPr>
            <w:r/>
            <w:r>
              <w:rPr>
                <w:rFonts w:ascii="Arial" w:hAnsi="Arial" w:cs="Arial"/>
                <w:b w:val="0"/>
                <w:sz w:val="17"/>
              </w:rPr>
              <w:t>Bank</w:t>
            </w:r>
          </w:p>
        </w:tc>
        <w:tc>
          <w:tcPr>
            <w:tcW w:w="3100" w:type="dxa"/>
          </w:tcPr>
          <w:p>
            <w:pPr>
              <w:spacing w:after="0" w:before="0"/>
            </w:pPr>
            <w:r/>
            <w:r>
              <w:rPr>
                <w:rFonts w:ascii="Arial" w:hAnsi="Arial" w:cs="Arial"/>
                <w:b w:val="0"/>
                <w:sz w:val="17"/>
              </w:rPr>
              <w:t>Account no., IFSC, account type, name-match score</w:t>
            </w:r>
          </w:p>
        </w:tc>
        <w:tc>
          <w:tcPr>
            <w:tcW w:w="1300" w:type="dxa"/>
          </w:tcPr>
          <w:p>
            <w:pPr>
              <w:spacing w:after="0" w:before="0"/>
            </w:pPr>
            <w:r/>
            <w:r>
              <w:rPr>
                <w:rFonts w:ascii="Arial" w:hAnsi="Arial" w:cs="Arial"/>
                <w:b w:val="0"/>
                <w:sz w:val="17"/>
              </w:rPr>
              <w:t>Text</w:t>
            </w:r>
          </w:p>
        </w:tc>
        <w:tc>
          <w:tcPr>
            <w:tcW w:w="750" w:type="dxa"/>
          </w:tcPr>
          <w:p>
            <w:pPr>
              <w:spacing w:after="0" w:before="0"/>
            </w:pPr>
            <w:r/>
            <w:r>
              <w:rPr>
                <w:rFonts w:ascii="Arial" w:hAnsi="Arial" w:cs="Arial"/>
                <w:b w:val="0"/>
                <w:sz w:val="17"/>
              </w:rPr>
              <w:t>Yes</w:t>
            </w:r>
          </w:p>
        </w:tc>
        <w:tc>
          <w:tcPr>
            <w:tcW w:w="2510" w:type="dxa"/>
          </w:tcPr>
          <w:p>
            <w:pPr>
              <w:spacing w:after="0" w:before="0"/>
            </w:pPr>
            <w:r/>
            <w:r>
              <w:rPr>
                <w:rFonts w:ascii="Arial" w:hAnsi="Arial" w:cs="Arial"/>
                <w:b w:val="0"/>
                <w:sz w:val="17"/>
              </w:rPr>
              <w:t>IFSC regex; penny-drop</w:t>
            </w:r>
          </w:p>
        </w:tc>
      </w:tr>
      <w:tr>
        <w:tc>
          <w:tcPr>
            <w:tcW w:w="1700" w:type="dxa"/>
          </w:tcPr>
          <w:p>
            <w:pPr>
              <w:spacing w:after="0" w:before="0"/>
            </w:pPr>
            <w:r/>
            <w:r>
              <w:rPr>
                <w:rFonts w:ascii="Arial" w:hAnsi="Arial" w:cs="Arial"/>
                <w:b w:val="0"/>
                <w:sz w:val="17"/>
              </w:rPr>
              <w:t>Consent block</w:t>
            </w:r>
          </w:p>
        </w:tc>
        <w:tc>
          <w:tcPr>
            <w:tcW w:w="3100" w:type="dxa"/>
          </w:tcPr>
          <w:p>
            <w:pPr>
              <w:spacing w:after="0" w:before="0"/>
            </w:pPr>
            <w:r/>
            <w:r>
              <w:rPr>
                <w:rFonts w:ascii="Arial" w:hAnsi="Arial" w:cs="Arial"/>
                <w:b w:val="0"/>
                <w:sz w:val="17"/>
              </w:rPr>
              <w:t>Bureau, AA, GSTN, DPDP, LSP, e-sign (§43.1)</w:t>
            </w:r>
          </w:p>
        </w:tc>
        <w:tc>
          <w:tcPr>
            <w:tcW w:w="1300" w:type="dxa"/>
          </w:tcPr>
          <w:p>
            <w:pPr>
              <w:spacing w:after="0" w:before="0"/>
            </w:pPr>
            <w:r/>
            <w:r>
              <w:rPr>
                <w:rFonts w:ascii="Arial" w:hAnsi="Arial" w:cs="Arial"/>
                <w:b w:val="0"/>
                <w:sz w:val="17"/>
              </w:rPr>
              <w:t>e-consent</w:t>
            </w:r>
          </w:p>
        </w:tc>
        <w:tc>
          <w:tcPr>
            <w:tcW w:w="750" w:type="dxa"/>
          </w:tcPr>
          <w:p>
            <w:pPr>
              <w:spacing w:after="0" w:before="0"/>
            </w:pPr>
            <w:r/>
            <w:r>
              <w:rPr>
                <w:rFonts w:ascii="Arial" w:hAnsi="Arial" w:cs="Arial"/>
                <w:b w:val="0"/>
                <w:sz w:val="17"/>
              </w:rPr>
              <w:t>Yes/Cond</w:t>
            </w:r>
          </w:p>
        </w:tc>
        <w:tc>
          <w:tcPr>
            <w:tcW w:w="2510" w:type="dxa"/>
          </w:tcPr>
          <w:p>
            <w:pPr>
              <w:spacing w:after="0" w:before="0"/>
            </w:pPr>
            <w:r/>
            <w:r>
              <w:rPr>
                <w:rFonts w:ascii="Arial" w:hAnsi="Arial" w:cs="Arial"/>
                <w:b w:val="0"/>
                <w:sz w:val="17"/>
              </w:rPr>
              <w:t>Consent entity §35</w:t>
            </w:r>
          </w:p>
        </w:tc>
      </w:tr>
      <w:tr>
        <w:tc>
          <w:tcPr>
            <w:tcW w:w="1700" w:type="dxa"/>
          </w:tcPr>
          <w:p>
            <w:pPr>
              <w:spacing w:after="0" w:before="0"/>
            </w:pPr>
            <w:r/>
            <w:r>
              <w:rPr>
                <w:rFonts w:ascii="Arial" w:hAnsi="Arial" w:cs="Arial"/>
                <w:b w:val="0"/>
                <w:sz w:val="17"/>
              </w:rPr>
              <w:t>References</w:t>
            </w:r>
          </w:p>
        </w:tc>
        <w:tc>
          <w:tcPr>
            <w:tcW w:w="3100" w:type="dxa"/>
          </w:tcPr>
          <w:p>
            <w:pPr>
              <w:spacing w:after="0" w:before="0"/>
            </w:pPr>
            <w:r/>
            <w:r>
              <w:rPr>
                <w:rFonts w:ascii="Arial" w:hAnsi="Arial" w:cs="Arial"/>
                <w:b w:val="0"/>
                <w:sz w:val="17"/>
              </w:rPr>
              <w:t>2 references: name, relationship, contact</w:t>
            </w:r>
          </w:p>
        </w:tc>
        <w:tc>
          <w:tcPr>
            <w:tcW w:w="1300" w:type="dxa"/>
          </w:tcPr>
          <w:p>
            <w:pPr>
              <w:spacing w:after="0" w:before="0"/>
            </w:pPr>
            <w:r/>
            <w:r>
              <w:rPr>
                <w:rFonts w:ascii="Arial" w:hAnsi="Arial" w:cs="Arial"/>
                <w:b w:val="0"/>
                <w:sz w:val="17"/>
              </w:rPr>
              <w:t>Repeatable grid</w:t>
            </w:r>
          </w:p>
        </w:tc>
        <w:tc>
          <w:tcPr>
            <w:tcW w:w="750" w:type="dxa"/>
          </w:tcPr>
          <w:p>
            <w:pPr>
              <w:spacing w:after="0" w:before="0"/>
            </w:pPr>
            <w:r/>
            <w:r>
              <w:rPr>
                <w:rFonts w:ascii="Arial" w:hAnsi="Arial" w:cs="Arial"/>
                <w:b w:val="0"/>
                <w:sz w:val="17"/>
              </w:rPr>
              <w:t>Yes</w:t>
            </w:r>
          </w:p>
        </w:tc>
        <w:tc>
          <w:tcPr>
            <w:tcW w:w="2510" w:type="dxa"/>
          </w:tcPr>
          <w:p>
            <w:pPr>
              <w:spacing w:after="0" w:before="0"/>
            </w:pPr>
            <w:r/>
            <w:r>
              <w:rPr>
                <w:rFonts w:ascii="Arial" w:hAnsi="Arial" w:cs="Arial"/>
                <w:b w:val="0"/>
                <w:sz w:val="17"/>
              </w:rPr>
              <w:t>Repeater UI</w:t>
            </w:r>
          </w:p>
        </w:tc>
      </w:tr>
      <w:tr>
        <w:tc>
          <w:tcPr>
            <w:tcW w:w="1700" w:type="dxa"/>
          </w:tcPr>
          <w:p>
            <w:pPr>
              <w:spacing w:after="0" w:before="0"/>
            </w:pPr>
            <w:r/>
            <w:r>
              <w:rPr>
                <w:rFonts w:ascii="Arial" w:hAnsi="Arial" w:cs="Arial"/>
                <w:b w:val="0"/>
                <w:sz w:val="17"/>
              </w:rPr>
              <w:t>Nominee</w:t>
            </w:r>
          </w:p>
        </w:tc>
        <w:tc>
          <w:tcPr>
            <w:tcW w:w="3100" w:type="dxa"/>
          </w:tcPr>
          <w:p>
            <w:pPr>
              <w:spacing w:after="0" w:before="0"/>
            </w:pPr>
            <w:r/>
            <w:r>
              <w:rPr>
                <w:rFonts w:ascii="Arial" w:hAnsi="Arial" w:cs="Arial"/>
                <w:b w:val="0"/>
                <w:sz w:val="17"/>
              </w:rPr>
              <w:t>Name, relationship, share %</w:t>
            </w:r>
          </w:p>
        </w:tc>
        <w:tc>
          <w:tcPr>
            <w:tcW w:w="1300" w:type="dxa"/>
          </w:tcPr>
          <w:p>
            <w:pPr>
              <w:spacing w:after="0" w:before="0"/>
            </w:pPr>
            <w:r/>
            <w:r>
              <w:rPr>
                <w:rFonts w:ascii="Arial" w:hAnsi="Arial" w:cs="Arial"/>
                <w:b w:val="0"/>
                <w:sz w:val="17"/>
              </w:rPr>
              <w:t>Text/Number</w:t>
            </w:r>
          </w:p>
        </w:tc>
        <w:tc>
          <w:tcPr>
            <w:tcW w:w="750" w:type="dxa"/>
          </w:tcPr>
          <w:p>
            <w:pPr>
              <w:spacing w:after="0" w:before="0"/>
            </w:pPr>
            <w:r/>
            <w:r>
              <w:rPr>
                <w:rFonts w:ascii="Arial" w:hAnsi="Arial" w:cs="Arial"/>
                <w:b w:val="0"/>
                <w:sz w:val="17"/>
              </w:rPr>
              <w:t>Cond</w:t>
            </w:r>
          </w:p>
        </w:tc>
        <w:tc>
          <w:tcPr>
            <w:tcW w:w="2510" w:type="dxa"/>
          </w:tcPr>
          <w:p>
            <w:pPr>
              <w:spacing w:after="0" w:before="0"/>
            </w:pPr>
            <w:r/>
            <w:r>
              <w:rPr>
                <w:rFonts w:ascii="Arial" w:hAnsi="Arial" w:cs="Arial"/>
                <w:b w:val="0"/>
                <w:sz w:val="17"/>
              </w:rPr>
              <w:t>For deposit/insurance-linked</w:t>
            </w:r>
          </w:p>
        </w:tc>
      </w:tr>
    </w:tbl>
    <w:p/>
    <w:p>
      <w:pPr>
        <w:pStyle w:val="Heading2"/>
      </w:pPr>
      <w:r>
        <w:t>72.3 Data-Type → UI Control Mapping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2600"/>
        <w:gridCol w:w="4660"/>
      </w:tblGrid>
      <w:tr>
        <w:tc>
          <w:tcPr>
            <w:tcW w:w="2100" w:type="dxa"/>
            <w:shd w:val="clear" w:color="auto" w:fill="1F4E78"/>
          </w:tcPr>
          <w:p>
            <w:pPr>
              <w:spacing w:after="0" w:before="0"/>
            </w:pPr>
            <w:r/>
            <w:r>
              <w:rPr>
                <w:rFonts w:ascii="Arial" w:hAnsi="Arial" w:cs="Arial"/>
                <w:b/>
                <w:color w:val="FFFFFF"/>
                <w:sz w:val="17"/>
              </w:rPr>
              <w:t>Data type</w:t>
            </w:r>
          </w:p>
        </w:tc>
        <w:tc>
          <w:tcPr>
            <w:tcW w:w="2600" w:type="dxa"/>
            <w:shd w:val="clear" w:color="auto" w:fill="1F4E78"/>
          </w:tcPr>
          <w:p>
            <w:pPr>
              <w:spacing w:after="0" w:before="0"/>
            </w:pPr>
            <w:r/>
            <w:r>
              <w:rPr>
                <w:rFonts w:ascii="Arial" w:hAnsi="Arial" w:cs="Arial"/>
                <w:b/>
                <w:color w:val="FFFFFF"/>
                <w:sz w:val="17"/>
              </w:rPr>
              <w:t>UI control</w:t>
            </w:r>
          </w:p>
        </w:tc>
        <w:tc>
          <w:tcPr>
            <w:tcW w:w="4660" w:type="dxa"/>
            <w:shd w:val="clear" w:color="auto" w:fill="1F4E78"/>
          </w:tcPr>
          <w:p>
            <w:pPr>
              <w:spacing w:after="0" w:before="0"/>
            </w:pPr>
            <w:r/>
            <w:r>
              <w:rPr>
                <w:rFonts w:ascii="Arial" w:hAnsi="Arial" w:cs="Arial"/>
                <w:b/>
                <w:color w:val="FFFFFF"/>
                <w:sz w:val="17"/>
              </w:rPr>
              <w:t>Notes</w:t>
            </w:r>
          </w:p>
        </w:tc>
      </w:tr>
      <w:tr>
        <w:tc>
          <w:tcPr>
            <w:tcW w:w="2100" w:type="dxa"/>
          </w:tcPr>
          <w:p>
            <w:pPr>
              <w:spacing w:after="0" w:before="0"/>
            </w:pPr>
            <w:r/>
            <w:r>
              <w:rPr>
                <w:rFonts w:ascii="Arial" w:hAnsi="Arial" w:cs="Arial"/>
                <w:b w:val="0"/>
                <w:sz w:val="17"/>
              </w:rPr>
              <w:t>Text / Alphanumeric</w:t>
            </w:r>
          </w:p>
        </w:tc>
        <w:tc>
          <w:tcPr>
            <w:tcW w:w="2600" w:type="dxa"/>
          </w:tcPr>
          <w:p>
            <w:pPr>
              <w:spacing w:after="0" w:before="0"/>
            </w:pPr>
            <w:r/>
            <w:r>
              <w:rPr>
                <w:rFonts w:ascii="Arial" w:hAnsi="Arial" w:cs="Arial"/>
                <w:b w:val="0"/>
                <w:sz w:val="17"/>
              </w:rPr>
              <w:t>Text input</w:t>
            </w:r>
          </w:p>
        </w:tc>
        <w:tc>
          <w:tcPr>
            <w:tcW w:w="4660" w:type="dxa"/>
          </w:tcPr>
          <w:p>
            <w:pPr>
              <w:spacing w:after="0" w:before="0"/>
            </w:pPr>
            <w:r/>
            <w:r>
              <w:rPr>
                <w:rFonts w:ascii="Arial" w:hAnsi="Arial" w:cs="Arial"/>
                <w:b w:val="0"/>
                <w:sz w:val="17"/>
              </w:rPr>
              <w:t>With inline regex validation</w:t>
            </w:r>
          </w:p>
        </w:tc>
      </w:tr>
      <w:tr>
        <w:tc>
          <w:tcPr>
            <w:tcW w:w="2100" w:type="dxa"/>
          </w:tcPr>
          <w:p>
            <w:pPr>
              <w:spacing w:after="0" w:before="0"/>
            </w:pPr>
            <w:r/>
            <w:r>
              <w:rPr>
                <w:rFonts w:ascii="Arial" w:hAnsi="Arial" w:cs="Arial"/>
                <w:b w:val="0"/>
                <w:sz w:val="17"/>
              </w:rPr>
              <w:t>Dropdown</w:t>
            </w:r>
          </w:p>
        </w:tc>
        <w:tc>
          <w:tcPr>
            <w:tcW w:w="2600" w:type="dxa"/>
          </w:tcPr>
          <w:p>
            <w:pPr>
              <w:spacing w:after="0" w:before="0"/>
            </w:pPr>
            <w:r/>
            <w:r>
              <w:rPr>
                <w:rFonts w:ascii="Arial" w:hAnsi="Arial" w:cs="Arial"/>
                <w:b w:val="0"/>
                <w:sz w:val="17"/>
              </w:rPr>
              <w:t>Select / combobox</w:t>
            </w:r>
          </w:p>
        </w:tc>
        <w:tc>
          <w:tcPr>
            <w:tcW w:w="4660" w:type="dxa"/>
          </w:tcPr>
          <w:p>
            <w:pPr>
              <w:spacing w:after="0" w:before="0"/>
            </w:pPr>
            <w:r/>
            <w:r>
              <w:rPr>
                <w:rFonts w:ascii="Arial" w:hAnsi="Arial" w:cs="Arial"/>
                <w:b w:val="0"/>
                <w:sz w:val="17"/>
              </w:rPr>
              <w:t>Options from reference/code table</w:t>
            </w:r>
          </w:p>
        </w:tc>
      </w:tr>
      <w:tr>
        <w:tc>
          <w:tcPr>
            <w:tcW w:w="2100" w:type="dxa"/>
          </w:tcPr>
          <w:p>
            <w:pPr>
              <w:spacing w:after="0" w:before="0"/>
            </w:pPr>
            <w:r/>
            <w:r>
              <w:rPr>
                <w:rFonts w:ascii="Arial" w:hAnsi="Arial" w:cs="Arial"/>
                <w:b w:val="0"/>
                <w:sz w:val="17"/>
              </w:rPr>
              <w:t>Date</w:t>
            </w:r>
          </w:p>
        </w:tc>
        <w:tc>
          <w:tcPr>
            <w:tcW w:w="2600" w:type="dxa"/>
          </w:tcPr>
          <w:p>
            <w:pPr>
              <w:spacing w:after="0" w:before="0"/>
            </w:pPr>
            <w:r/>
            <w:r>
              <w:rPr>
                <w:rFonts w:ascii="Arial" w:hAnsi="Arial" w:cs="Arial"/>
                <w:b w:val="0"/>
                <w:sz w:val="17"/>
              </w:rPr>
              <w:t>Date picker</w:t>
            </w:r>
          </w:p>
        </w:tc>
        <w:tc>
          <w:tcPr>
            <w:tcW w:w="4660" w:type="dxa"/>
          </w:tcPr>
          <w:p>
            <w:pPr>
              <w:spacing w:after="0" w:before="0"/>
            </w:pPr>
            <w:r/>
            <w:r>
              <w:rPr>
                <w:rFonts w:ascii="Arial" w:hAnsi="Arial" w:cs="Arial"/>
                <w:b w:val="0"/>
                <w:sz w:val="17"/>
              </w:rPr>
              <w:t>Min/max per policy (e.g., age check)</w:t>
            </w:r>
          </w:p>
        </w:tc>
      </w:tr>
      <w:tr>
        <w:tc>
          <w:tcPr>
            <w:tcW w:w="2100" w:type="dxa"/>
          </w:tcPr>
          <w:p>
            <w:pPr>
              <w:spacing w:after="0" w:before="0"/>
            </w:pPr>
            <w:r/>
            <w:r>
              <w:rPr>
                <w:rFonts w:ascii="Arial" w:hAnsi="Arial" w:cs="Arial"/>
                <w:b w:val="0"/>
                <w:sz w:val="17"/>
              </w:rPr>
              <w:t>Currency</w:t>
            </w:r>
          </w:p>
        </w:tc>
        <w:tc>
          <w:tcPr>
            <w:tcW w:w="2600" w:type="dxa"/>
          </w:tcPr>
          <w:p>
            <w:pPr>
              <w:spacing w:after="0" w:before="0"/>
            </w:pPr>
            <w:r/>
            <w:r>
              <w:rPr>
                <w:rFonts w:ascii="Arial" w:hAnsi="Arial" w:cs="Arial"/>
                <w:b w:val="0"/>
                <w:sz w:val="17"/>
              </w:rPr>
              <w:t>Masked numeric</w:t>
            </w:r>
          </w:p>
        </w:tc>
        <w:tc>
          <w:tcPr>
            <w:tcW w:w="4660" w:type="dxa"/>
          </w:tcPr>
          <w:p>
            <w:pPr>
              <w:spacing w:after="0" w:before="0"/>
            </w:pPr>
            <w:r/>
            <w:r>
              <w:rPr>
                <w:rFonts w:ascii="Arial" w:hAnsi="Arial" w:cs="Arial"/>
                <w:b w:val="0"/>
                <w:sz w:val="17"/>
              </w:rPr>
              <w:t>DECIMAL; thousands grouping; no float</w:t>
            </w:r>
          </w:p>
        </w:tc>
      </w:tr>
      <w:tr>
        <w:tc>
          <w:tcPr>
            <w:tcW w:w="2100" w:type="dxa"/>
          </w:tcPr>
          <w:p>
            <w:pPr>
              <w:spacing w:after="0" w:before="0"/>
            </w:pPr>
            <w:r/>
            <w:r>
              <w:rPr>
                <w:rFonts w:ascii="Arial" w:hAnsi="Arial" w:cs="Arial"/>
                <w:b w:val="0"/>
                <w:sz w:val="17"/>
              </w:rPr>
              <w:t>Number</w:t>
            </w:r>
          </w:p>
        </w:tc>
        <w:tc>
          <w:tcPr>
            <w:tcW w:w="2600" w:type="dxa"/>
          </w:tcPr>
          <w:p>
            <w:pPr>
              <w:spacing w:after="0" w:before="0"/>
            </w:pPr>
            <w:r/>
            <w:r>
              <w:rPr>
                <w:rFonts w:ascii="Arial" w:hAnsi="Arial" w:cs="Arial"/>
                <w:b w:val="0"/>
                <w:sz w:val="17"/>
              </w:rPr>
              <w:t>Numeric input</w:t>
            </w:r>
          </w:p>
        </w:tc>
        <w:tc>
          <w:tcPr>
            <w:tcW w:w="4660" w:type="dxa"/>
          </w:tcPr>
          <w:p>
            <w:pPr>
              <w:spacing w:after="0" w:before="0"/>
            </w:pPr>
            <w:r/>
            <w:r>
              <w:rPr>
                <w:rFonts w:ascii="Arial" w:hAnsi="Arial" w:cs="Arial"/>
                <w:b w:val="0"/>
                <w:sz w:val="17"/>
              </w:rPr>
              <w:t>Min/max range (§25.3)</w:t>
            </w:r>
          </w:p>
        </w:tc>
      </w:tr>
      <w:tr>
        <w:tc>
          <w:tcPr>
            <w:tcW w:w="2100" w:type="dxa"/>
          </w:tcPr>
          <w:p>
            <w:pPr>
              <w:spacing w:after="0" w:before="0"/>
            </w:pPr>
            <w:r/>
            <w:r>
              <w:rPr>
                <w:rFonts w:ascii="Arial" w:hAnsi="Arial" w:cs="Arial"/>
                <w:b w:val="0"/>
                <w:sz w:val="17"/>
              </w:rPr>
              <w:t>Boolean</w:t>
            </w:r>
          </w:p>
        </w:tc>
        <w:tc>
          <w:tcPr>
            <w:tcW w:w="2600" w:type="dxa"/>
          </w:tcPr>
          <w:p>
            <w:pPr>
              <w:spacing w:after="0" w:before="0"/>
            </w:pPr>
            <w:r/>
            <w:r>
              <w:rPr>
                <w:rFonts w:ascii="Arial" w:hAnsi="Arial" w:cs="Arial"/>
                <w:b w:val="0"/>
                <w:sz w:val="17"/>
              </w:rPr>
              <w:t>Toggle / checkbox</w:t>
            </w:r>
          </w:p>
        </w:tc>
        <w:tc>
          <w:tcPr>
            <w:tcW w:w="4660" w:type="dxa"/>
          </w:tcPr>
          <w:p>
            <w:pPr>
              <w:spacing w:after="0" w:before="0"/>
            </w:pPr>
            <w:r/>
            <w:r>
              <w:rPr>
                <w:rFonts w:ascii="Arial" w:hAnsi="Arial" w:cs="Arial"/>
                <w:b w:val="0"/>
                <w:sz w:val="17"/>
              </w:rPr>
              <w:t>—</w:t>
            </w:r>
          </w:p>
        </w:tc>
      </w:tr>
      <w:tr>
        <w:tc>
          <w:tcPr>
            <w:tcW w:w="2100" w:type="dxa"/>
          </w:tcPr>
          <w:p>
            <w:pPr>
              <w:spacing w:after="0" w:before="0"/>
            </w:pPr>
            <w:r/>
            <w:r>
              <w:rPr>
                <w:rFonts w:ascii="Arial" w:hAnsi="Arial" w:cs="Arial"/>
                <w:b w:val="0"/>
                <w:sz w:val="17"/>
              </w:rPr>
              <w:t>File upload</w:t>
            </w:r>
          </w:p>
        </w:tc>
        <w:tc>
          <w:tcPr>
            <w:tcW w:w="2600" w:type="dxa"/>
          </w:tcPr>
          <w:p>
            <w:pPr>
              <w:spacing w:after="0" w:before="0"/>
            </w:pPr>
            <w:r/>
            <w:r>
              <w:rPr>
                <w:rFonts w:ascii="Arial" w:hAnsi="Arial" w:cs="Arial"/>
                <w:b w:val="0"/>
                <w:sz w:val="17"/>
              </w:rPr>
              <w:t>File uploader</w:t>
            </w:r>
          </w:p>
        </w:tc>
        <w:tc>
          <w:tcPr>
            <w:tcW w:w="4660" w:type="dxa"/>
          </w:tcPr>
          <w:p>
            <w:pPr>
              <w:spacing w:after="0" w:before="0"/>
            </w:pPr>
            <w:r/>
            <w:r>
              <w:rPr>
                <w:rFonts w:ascii="Arial" w:hAnsi="Arial" w:cs="Arial"/>
                <w:b w:val="0"/>
                <w:sz w:val="17"/>
              </w:rPr>
              <w:t>Type/size limits; OCR-assist</w:t>
            </w:r>
          </w:p>
        </w:tc>
      </w:tr>
      <w:tr>
        <w:tc>
          <w:tcPr>
            <w:tcW w:w="2100" w:type="dxa"/>
          </w:tcPr>
          <w:p>
            <w:pPr>
              <w:spacing w:after="0" w:before="0"/>
            </w:pPr>
            <w:r/>
            <w:r>
              <w:rPr>
                <w:rFonts w:ascii="Arial" w:hAnsi="Arial" w:cs="Arial"/>
                <w:b w:val="0"/>
                <w:sz w:val="17"/>
              </w:rPr>
              <w:t>Address block</w:t>
            </w:r>
          </w:p>
        </w:tc>
        <w:tc>
          <w:tcPr>
            <w:tcW w:w="2600" w:type="dxa"/>
          </w:tcPr>
          <w:p>
            <w:pPr>
              <w:spacing w:after="0" w:before="0"/>
            </w:pPr>
            <w:r/>
            <w:r>
              <w:rPr>
                <w:rFonts w:ascii="Arial" w:hAnsi="Arial" w:cs="Arial"/>
                <w:b w:val="0"/>
                <w:sz w:val="17"/>
              </w:rPr>
              <w:t>Composite group</w:t>
            </w:r>
          </w:p>
        </w:tc>
        <w:tc>
          <w:tcPr>
            <w:tcW w:w="4660" w:type="dxa"/>
          </w:tcPr>
          <w:p>
            <w:pPr>
              <w:spacing w:after="0" w:before="0"/>
            </w:pPr>
            <w:r/>
            <w:r>
              <w:rPr>
                <w:rFonts w:ascii="Arial" w:hAnsi="Arial" w:cs="Arial"/>
                <w:b w:val="0"/>
                <w:sz w:val="17"/>
              </w:rPr>
              <w:t>Reuses common address component</w:t>
            </w:r>
          </w:p>
        </w:tc>
      </w:tr>
      <w:tr>
        <w:tc>
          <w:tcPr>
            <w:tcW w:w="2100" w:type="dxa"/>
          </w:tcPr>
          <w:p>
            <w:pPr>
              <w:spacing w:after="0" w:before="0"/>
            </w:pPr>
            <w:r/>
            <w:r>
              <w:rPr>
                <w:rFonts w:ascii="Arial" w:hAnsi="Arial" w:cs="Arial"/>
                <w:b w:val="0"/>
                <w:sz w:val="17"/>
              </w:rPr>
              <w:t>Repeatable grid</w:t>
            </w:r>
          </w:p>
        </w:tc>
        <w:tc>
          <w:tcPr>
            <w:tcW w:w="2600" w:type="dxa"/>
          </w:tcPr>
          <w:p>
            <w:pPr>
              <w:spacing w:after="0" w:before="0"/>
            </w:pPr>
            <w:r/>
            <w:r>
              <w:rPr>
                <w:rFonts w:ascii="Arial" w:hAnsi="Arial" w:cs="Arial"/>
                <w:b w:val="0"/>
                <w:sz w:val="17"/>
              </w:rPr>
              <w:t>Table / repeater</w:t>
            </w:r>
          </w:p>
        </w:tc>
        <w:tc>
          <w:tcPr>
            <w:tcW w:w="4660" w:type="dxa"/>
          </w:tcPr>
          <w:p>
            <w:pPr>
              <w:spacing w:after="0" w:before="0"/>
            </w:pPr>
            <w:r/>
            <w:r>
              <w:rPr>
                <w:rFonts w:ascii="Arial" w:hAnsi="Arial" w:cs="Arial"/>
                <w:b w:val="0"/>
                <w:sz w:val="17"/>
              </w:rPr>
              <w:t>Add/remove rows (directors, references, ornaments)</w:t>
            </w:r>
          </w:p>
        </w:tc>
      </w:tr>
      <w:tr>
        <w:tc>
          <w:tcPr>
            <w:tcW w:w="2100" w:type="dxa"/>
          </w:tcPr>
          <w:p>
            <w:pPr>
              <w:spacing w:after="0" w:before="0"/>
            </w:pPr>
            <w:r/>
            <w:r>
              <w:rPr>
                <w:rFonts w:ascii="Arial" w:hAnsi="Arial" w:cs="Arial"/>
                <w:b w:val="0"/>
                <w:sz w:val="17"/>
              </w:rPr>
              <w:t>Reference</w:t>
            </w:r>
          </w:p>
        </w:tc>
        <w:tc>
          <w:tcPr>
            <w:tcW w:w="2600" w:type="dxa"/>
          </w:tcPr>
          <w:p>
            <w:pPr>
              <w:spacing w:after="0" w:before="0"/>
            </w:pPr>
            <w:r/>
            <w:r>
              <w:rPr>
                <w:rFonts w:ascii="Arial" w:hAnsi="Arial" w:cs="Arial"/>
                <w:b w:val="0"/>
                <w:sz w:val="17"/>
              </w:rPr>
              <w:t>Lookup / autocomplete</w:t>
            </w:r>
          </w:p>
        </w:tc>
        <w:tc>
          <w:tcPr>
            <w:tcW w:w="4660" w:type="dxa"/>
          </w:tcPr>
          <w:p>
            <w:pPr>
              <w:spacing w:after="0" w:before="0"/>
            </w:pPr>
            <w:r/>
            <w:r>
              <w:rPr>
                <w:rFonts w:ascii="Arial" w:hAnsi="Arial" w:cs="Arial"/>
                <w:b w:val="0"/>
                <w:sz w:val="17"/>
              </w:rPr>
              <w:t>Links to Party/Product/Vendor master</w:t>
            </w:r>
          </w:p>
        </w:tc>
      </w:tr>
      <w:tr>
        <w:tc>
          <w:tcPr>
            <w:tcW w:w="2100" w:type="dxa"/>
          </w:tcPr>
          <w:p>
            <w:pPr>
              <w:spacing w:after="0" w:before="0"/>
            </w:pPr>
            <w:r/>
            <w:r>
              <w:rPr>
                <w:rFonts w:ascii="Arial" w:hAnsi="Arial" w:cs="Arial"/>
                <w:b w:val="0"/>
                <w:sz w:val="17"/>
              </w:rPr>
              <w:t>e-Sign</w:t>
            </w:r>
          </w:p>
        </w:tc>
        <w:tc>
          <w:tcPr>
            <w:tcW w:w="2600" w:type="dxa"/>
          </w:tcPr>
          <w:p>
            <w:pPr>
              <w:spacing w:after="0" w:before="0"/>
            </w:pPr>
            <w:r/>
            <w:r>
              <w:rPr>
                <w:rFonts w:ascii="Arial" w:hAnsi="Arial" w:cs="Arial"/>
                <w:b w:val="0"/>
                <w:sz w:val="17"/>
              </w:rPr>
              <w:t>Signature widget</w:t>
            </w:r>
          </w:p>
        </w:tc>
        <w:tc>
          <w:tcPr>
            <w:tcW w:w="4660" w:type="dxa"/>
          </w:tcPr>
          <w:p>
            <w:pPr>
              <w:spacing w:after="0" w:before="0"/>
            </w:pPr>
            <w:r/>
            <w:r>
              <w:rPr>
                <w:rFonts w:ascii="Arial" w:hAnsi="Arial" w:cs="Arial"/>
                <w:b w:val="0"/>
                <w:sz w:val="17"/>
              </w:rPr>
              <w:t>Aadhaar e-Sign / DSC</w:t>
            </w:r>
          </w:p>
        </w:tc>
      </w:tr>
    </w:tbl>
    <w:p/>
    <w:p>
      <w:pPr>
        <w:pStyle w:val="Heading2"/>
      </w:pPr>
      <w:r>
        <w:t>72.4 Per-Product Build Checklist</w:t>
      </w:r>
    </w:p>
    <w:p>
      <w:r>
        <w:rPr>
          <w:rFonts w:ascii="Arial" w:hAnsi="Arial" w:cs="Arial"/>
          <w:b w:val="0"/>
          <w:i w:val="0"/>
          <w:sz w:val="22"/>
        </w:rPr>
        <w:t>For each product the developer assembles: (1) Product-Master parameters (Section 3), (2) common library groups used, (3) the product delta fields, (4) interest/charge/penalty method (Section 45), (5) collateral module, (6) document checklist, (7) workflow/DOA, (8) KFS fields (Section 17.1). Three worked examples: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700"/>
        <w:gridCol w:w="2650"/>
        <w:gridCol w:w="2450"/>
        <w:gridCol w:w="2560"/>
      </w:tblGrid>
      <w:tr>
        <w:tc>
          <w:tcPr>
            <w:tcW w:w="1700" w:type="dxa"/>
            <w:shd w:val="clear" w:color="auto" w:fill="1F4E78"/>
          </w:tcPr>
          <w:p>
            <w:pPr>
              <w:spacing w:after="0" w:before="0"/>
            </w:pPr>
            <w:r/>
            <w:r>
              <w:rPr>
                <w:rFonts w:ascii="Arial" w:hAnsi="Arial" w:cs="Arial"/>
                <w:b/>
                <w:color w:val="FFFFFF"/>
                <w:sz w:val="17"/>
              </w:rPr>
              <w:t>Element</w:t>
            </w:r>
          </w:p>
        </w:tc>
        <w:tc>
          <w:tcPr>
            <w:tcW w:w="2650" w:type="dxa"/>
            <w:shd w:val="clear" w:color="auto" w:fill="1F4E78"/>
          </w:tcPr>
          <w:p>
            <w:pPr>
              <w:spacing w:after="0" w:before="0"/>
            </w:pPr>
            <w:r/>
            <w:r>
              <w:rPr>
                <w:rFonts w:ascii="Arial" w:hAnsi="Arial" w:cs="Arial"/>
                <w:b/>
                <w:color w:val="FFFFFF"/>
                <w:sz w:val="17"/>
              </w:rPr>
              <w:t>LAP (3.3)</w:t>
            </w:r>
          </w:p>
        </w:tc>
        <w:tc>
          <w:tcPr>
            <w:tcW w:w="2450" w:type="dxa"/>
            <w:shd w:val="clear" w:color="auto" w:fill="1F4E78"/>
          </w:tcPr>
          <w:p>
            <w:pPr>
              <w:spacing w:after="0" w:before="0"/>
            </w:pPr>
            <w:r/>
            <w:r>
              <w:rPr>
                <w:rFonts w:ascii="Arial" w:hAnsi="Arial" w:cs="Arial"/>
                <w:b/>
                <w:color w:val="FFFFFF"/>
                <w:sz w:val="17"/>
              </w:rPr>
              <w:t>Gold (3.4)</w:t>
            </w:r>
          </w:p>
        </w:tc>
        <w:tc>
          <w:tcPr>
            <w:tcW w:w="2560" w:type="dxa"/>
            <w:shd w:val="clear" w:color="auto" w:fill="1F4E78"/>
          </w:tcPr>
          <w:p>
            <w:pPr>
              <w:spacing w:after="0" w:before="0"/>
            </w:pPr>
            <w:r/>
            <w:r>
              <w:rPr>
                <w:rFonts w:ascii="Arial" w:hAnsi="Arial" w:cs="Arial"/>
                <w:b/>
                <w:color w:val="FFFFFF"/>
                <w:sz w:val="17"/>
              </w:rPr>
              <w:t>Personal (3.5)</w:t>
            </w:r>
          </w:p>
        </w:tc>
      </w:tr>
      <w:tr>
        <w:tc>
          <w:tcPr>
            <w:tcW w:w="1700" w:type="dxa"/>
          </w:tcPr>
          <w:p>
            <w:pPr>
              <w:spacing w:after="0" w:before="0"/>
            </w:pPr>
            <w:r/>
            <w:r>
              <w:rPr>
                <w:rFonts w:ascii="Arial" w:hAnsi="Arial" w:cs="Arial"/>
                <w:b w:val="0"/>
                <w:sz w:val="17"/>
              </w:rPr>
              <w:t>Applicant types</w:t>
            </w:r>
          </w:p>
        </w:tc>
        <w:tc>
          <w:tcPr>
            <w:tcW w:w="2650" w:type="dxa"/>
          </w:tcPr>
          <w:p>
            <w:pPr>
              <w:spacing w:after="0" w:before="0"/>
            </w:pPr>
            <w:r/>
            <w:r>
              <w:rPr>
                <w:rFonts w:ascii="Arial" w:hAnsi="Arial" w:cs="Arial"/>
                <w:b w:val="0"/>
                <w:sz w:val="17"/>
              </w:rPr>
              <w:t>Individual/Entity + co-applicant</w:t>
            </w:r>
          </w:p>
        </w:tc>
        <w:tc>
          <w:tcPr>
            <w:tcW w:w="2450" w:type="dxa"/>
          </w:tcPr>
          <w:p>
            <w:pPr>
              <w:spacing w:after="0" w:before="0"/>
            </w:pPr>
            <w:r/>
            <w:r>
              <w:rPr>
                <w:rFonts w:ascii="Arial" w:hAnsi="Arial" w:cs="Arial"/>
                <w:b w:val="0"/>
                <w:sz w:val="17"/>
              </w:rPr>
              <w:t>Individual</w:t>
            </w:r>
          </w:p>
        </w:tc>
        <w:tc>
          <w:tcPr>
            <w:tcW w:w="2560" w:type="dxa"/>
          </w:tcPr>
          <w:p>
            <w:pPr>
              <w:spacing w:after="0" w:before="0"/>
            </w:pPr>
            <w:r/>
            <w:r>
              <w:rPr>
                <w:rFonts w:ascii="Arial" w:hAnsi="Arial" w:cs="Arial"/>
                <w:b w:val="0"/>
                <w:sz w:val="17"/>
              </w:rPr>
              <w:t>Individual</w:t>
            </w:r>
          </w:p>
        </w:tc>
      </w:tr>
      <w:tr>
        <w:tc>
          <w:tcPr>
            <w:tcW w:w="1700" w:type="dxa"/>
          </w:tcPr>
          <w:p>
            <w:pPr>
              <w:spacing w:after="0" w:before="0"/>
            </w:pPr>
            <w:r/>
            <w:r>
              <w:rPr>
                <w:rFonts w:ascii="Arial" w:hAnsi="Arial" w:cs="Arial"/>
                <w:b w:val="0"/>
                <w:sz w:val="17"/>
              </w:rPr>
              <w:t>Interest method</w:t>
            </w:r>
          </w:p>
        </w:tc>
        <w:tc>
          <w:tcPr>
            <w:tcW w:w="2650" w:type="dxa"/>
          </w:tcPr>
          <w:p>
            <w:pPr>
              <w:spacing w:after="0" w:before="0"/>
            </w:pPr>
            <w:r/>
            <w:r>
              <w:rPr>
                <w:rFonts w:ascii="Arial" w:hAnsi="Arial" w:cs="Arial"/>
                <w:b w:val="0"/>
                <w:sz w:val="17"/>
              </w:rPr>
              <w:t>Reducing EMI (§45.3.5)</w:t>
            </w:r>
          </w:p>
        </w:tc>
        <w:tc>
          <w:tcPr>
            <w:tcW w:w="2450" w:type="dxa"/>
          </w:tcPr>
          <w:p>
            <w:pPr>
              <w:spacing w:after="0" w:before="0"/>
            </w:pPr>
            <w:r/>
            <w:r>
              <w:rPr>
                <w:rFonts w:ascii="Arial" w:hAnsi="Arial" w:cs="Arial"/>
                <w:b w:val="0"/>
                <w:sz w:val="17"/>
              </w:rPr>
              <w:t>Bullet SI / monthly / EMI (§45.3.1)</w:t>
            </w:r>
          </w:p>
        </w:tc>
        <w:tc>
          <w:tcPr>
            <w:tcW w:w="2560" w:type="dxa"/>
          </w:tcPr>
          <w:p>
            <w:pPr>
              <w:spacing w:after="0" w:before="0"/>
            </w:pPr>
            <w:r/>
            <w:r>
              <w:rPr>
                <w:rFonts w:ascii="Arial" w:hAnsi="Arial" w:cs="Arial"/>
                <w:b w:val="0"/>
                <w:sz w:val="17"/>
              </w:rPr>
              <w:t>Amortised EMI</w:t>
            </w:r>
          </w:p>
        </w:tc>
      </w:tr>
      <w:tr>
        <w:tc>
          <w:tcPr>
            <w:tcW w:w="1700" w:type="dxa"/>
          </w:tcPr>
          <w:p>
            <w:pPr>
              <w:spacing w:after="0" w:before="0"/>
            </w:pPr>
            <w:r/>
            <w:r>
              <w:rPr>
                <w:rFonts w:ascii="Arial" w:hAnsi="Arial" w:cs="Arial"/>
                <w:b w:val="0"/>
                <w:sz w:val="17"/>
              </w:rPr>
              <w:t>Collateral module</w:t>
            </w:r>
          </w:p>
        </w:tc>
        <w:tc>
          <w:tcPr>
            <w:tcW w:w="2650" w:type="dxa"/>
          </w:tcPr>
          <w:p>
            <w:pPr>
              <w:spacing w:after="0" w:before="0"/>
            </w:pPr>
            <w:r/>
            <w:r>
              <w:rPr>
                <w:rFonts w:ascii="Arial" w:hAnsi="Arial" w:cs="Arial"/>
                <w:b w:val="0"/>
                <w:sz w:val="17"/>
              </w:rPr>
              <w:t>Property (title, valuation, CERSAI)</w:t>
            </w:r>
          </w:p>
        </w:tc>
        <w:tc>
          <w:tcPr>
            <w:tcW w:w="2450" w:type="dxa"/>
          </w:tcPr>
          <w:p>
            <w:pPr>
              <w:spacing w:after="0" w:before="0"/>
            </w:pPr>
            <w:r/>
            <w:r>
              <w:rPr>
                <w:rFonts w:ascii="Arial" w:hAnsi="Arial" w:cs="Arial"/>
                <w:b w:val="0"/>
                <w:sz w:val="17"/>
              </w:rPr>
              <w:t>Gold ornament packet</w:t>
            </w:r>
          </w:p>
        </w:tc>
        <w:tc>
          <w:tcPr>
            <w:tcW w:w="2560" w:type="dxa"/>
          </w:tcPr>
          <w:p>
            <w:pPr>
              <w:spacing w:after="0" w:before="0"/>
            </w:pPr>
            <w:r/>
            <w:r>
              <w:rPr>
                <w:rFonts w:ascii="Arial" w:hAnsi="Arial" w:cs="Arial"/>
                <w:b w:val="0"/>
                <w:sz w:val="17"/>
              </w:rPr>
              <w:t>None (unsecured)</w:t>
            </w:r>
          </w:p>
        </w:tc>
      </w:tr>
      <w:tr>
        <w:tc>
          <w:tcPr>
            <w:tcW w:w="1700" w:type="dxa"/>
          </w:tcPr>
          <w:p>
            <w:pPr>
              <w:spacing w:after="0" w:before="0"/>
            </w:pPr>
            <w:r/>
            <w:r>
              <w:rPr>
                <w:rFonts w:ascii="Arial" w:hAnsi="Arial" w:cs="Arial"/>
                <w:b w:val="0"/>
                <w:sz w:val="17"/>
              </w:rPr>
              <w:t>Key delta fields</w:t>
            </w:r>
          </w:p>
        </w:tc>
        <w:tc>
          <w:tcPr>
            <w:tcW w:w="2650" w:type="dxa"/>
          </w:tcPr>
          <w:p>
            <w:pPr>
              <w:spacing w:after="0" w:before="0"/>
            </w:pPr>
            <w:r/>
            <w:r>
              <w:rPr>
                <w:rFonts w:ascii="Arial" w:hAnsi="Arial" w:cs="Arial"/>
                <w:b w:val="0"/>
                <w:sz w:val="17"/>
              </w:rPr>
              <w:t>Property, EC, mortgage type, valuation</w:t>
            </w:r>
          </w:p>
        </w:tc>
        <w:tc>
          <w:tcPr>
            <w:tcW w:w="2450" w:type="dxa"/>
          </w:tcPr>
          <w:p>
            <w:pPr>
              <w:spacing w:after="0" w:before="0"/>
            </w:pPr>
            <w:r/>
            <w:r>
              <w:rPr>
                <w:rFonts w:ascii="Arial" w:hAnsi="Arial" w:cs="Arial"/>
                <w:b w:val="0"/>
                <w:sz w:val="17"/>
              </w:rPr>
              <w:t>Ornament grid, purity, vault, CCTV</w:t>
            </w:r>
          </w:p>
        </w:tc>
        <w:tc>
          <w:tcPr>
            <w:tcW w:w="2560" w:type="dxa"/>
          </w:tcPr>
          <w:p>
            <w:pPr>
              <w:spacing w:after="0" w:before="0"/>
            </w:pPr>
            <w:r/>
            <w:r>
              <w:rPr>
                <w:rFonts w:ascii="Arial" w:hAnsi="Arial" w:cs="Arial"/>
                <w:b w:val="0"/>
                <w:sz w:val="17"/>
              </w:rPr>
              <w:t>FOIR, references, e-NACH</w:t>
            </w:r>
          </w:p>
        </w:tc>
      </w:tr>
      <w:tr>
        <w:tc>
          <w:tcPr>
            <w:tcW w:w="1700" w:type="dxa"/>
          </w:tcPr>
          <w:p>
            <w:pPr>
              <w:spacing w:after="0" w:before="0"/>
            </w:pPr>
            <w:r/>
            <w:r>
              <w:rPr>
                <w:rFonts w:ascii="Arial" w:hAnsi="Arial" w:cs="Arial"/>
                <w:b w:val="0"/>
                <w:sz w:val="17"/>
              </w:rPr>
              <w:t>Docs</w:t>
            </w:r>
          </w:p>
        </w:tc>
        <w:tc>
          <w:tcPr>
            <w:tcW w:w="2650" w:type="dxa"/>
          </w:tcPr>
          <w:p>
            <w:pPr>
              <w:spacing w:after="0" w:before="0"/>
            </w:pPr>
            <w:r/>
            <w:r>
              <w:rPr>
                <w:rFonts w:ascii="Arial" w:hAnsi="Arial" w:cs="Arial"/>
                <w:b w:val="0"/>
                <w:sz w:val="17"/>
              </w:rPr>
              <w:t>Title deed, legal opinion, valuation, EC</w:t>
            </w:r>
          </w:p>
        </w:tc>
        <w:tc>
          <w:tcPr>
            <w:tcW w:w="2450" w:type="dxa"/>
          </w:tcPr>
          <w:p>
            <w:pPr>
              <w:spacing w:after="0" w:before="0"/>
            </w:pPr>
            <w:r/>
            <w:r>
              <w:rPr>
                <w:rFonts w:ascii="Arial" w:hAnsi="Arial" w:cs="Arial"/>
                <w:b w:val="0"/>
                <w:sz w:val="17"/>
              </w:rPr>
              <w:t>Appraisal cert, photos</w:t>
            </w:r>
          </w:p>
        </w:tc>
        <w:tc>
          <w:tcPr>
            <w:tcW w:w="2560" w:type="dxa"/>
          </w:tcPr>
          <w:p>
            <w:pPr>
              <w:spacing w:after="0" w:before="0"/>
            </w:pPr>
            <w:r/>
            <w:r>
              <w:rPr>
                <w:rFonts w:ascii="Arial" w:hAnsi="Arial" w:cs="Arial"/>
                <w:b w:val="0"/>
                <w:sz w:val="17"/>
              </w:rPr>
              <w:t>Payslips/ITR, bank statement</w:t>
            </w:r>
          </w:p>
        </w:tc>
      </w:tr>
      <w:tr>
        <w:tc>
          <w:tcPr>
            <w:tcW w:w="1700" w:type="dxa"/>
          </w:tcPr>
          <w:p>
            <w:pPr>
              <w:spacing w:after="0" w:before="0"/>
            </w:pPr>
            <w:r/>
            <w:r>
              <w:rPr>
                <w:rFonts w:ascii="Arial" w:hAnsi="Arial" w:cs="Arial"/>
                <w:b w:val="0"/>
                <w:sz w:val="17"/>
              </w:rPr>
              <w:t>Penalty</w:t>
            </w:r>
          </w:p>
        </w:tc>
        <w:tc>
          <w:tcPr>
            <w:tcW w:w="2650" w:type="dxa"/>
          </w:tcPr>
          <w:p>
            <w:pPr>
              <w:spacing w:after="0" w:before="0"/>
            </w:pPr>
            <w:r/>
            <w:r>
              <w:rPr>
                <w:rFonts w:ascii="Arial" w:hAnsi="Arial" w:cs="Arial"/>
                <w:b w:val="0"/>
                <w:sz w:val="17"/>
              </w:rPr>
              <w:t>Penal on overdue EMI</w:t>
            </w:r>
          </w:p>
        </w:tc>
        <w:tc>
          <w:tcPr>
            <w:tcW w:w="2450" w:type="dxa"/>
          </w:tcPr>
          <w:p>
            <w:pPr>
              <w:spacing w:after="0" w:before="0"/>
            </w:pPr>
            <w:r/>
            <w:r>
              <w:rPr>
                <w:rFonts w:ascii="Arial" w:hAnsi="Arial" w:cs="Arial"/>
                <w:b w:val="0"/>
                <w:sz w:val="17"/>
              </w:rPr>
              <w:t>Penal + auction</w:t>
            </w:r>
          </w:p>
        </w:tc>
        <w:tc>
          <w:tcPr>
            <w:tcW w:w="2560" w:type="dxa"/>
          </w:tcPr>
          <w:p>
            <w:pPr>
              <w:spacing w:after="0" w:before="0"/>
            </w:pPr>
            <w:r/>
            <w:r>
              <w:rPr>
                <w:rFonts w:ascii="Arial" w:hAnsi="Arial" w:cs="Arial"/>
                <w:b w:val="0"/>
                <w:sz w:val="17"/>
              </w:rPr>
              <w:t>Penal + bounce</w:t>
            </w:r>
          </w:p>
        </w:tc>
      </w:tr>
      <w:tr>
        <w:tc>
          <w:tcPr>
            <w:tcW w:w="1700" w:type="dxa"/>
          </w:tcPr>
          <w:p>
            <w:pPr>
              <w:spacing w:after="0" w:before="0"/>
            </w:pPr>
            <w:r/>
            <w:r>
              <w:rPr>
                <w:rFonts w:ascii="Arial" w:hAnsi="Arial" w:cs="Arial"/>
                <w:b w:val="0"/>
                <w:sz w:val="17"/>
              </w:rPr>
              <w:t>KFS</w:t>
            </w:r>
          </w:p>
        </w:tc>
        <w:tc>
          <w:tcPr>
            <w:tcW w:w="2650" w:type="dxa"/>
          </w:tcPr>
          <w:p>
            <w:pPr>
              <w:spacing w:after="0" w:before="0"/>
            </w:pPr>
            <w:r/>
            <w:r>
              <w:rPr>
                <w:rFonts w:ascii="Arial" w:hAnsi="Arial" w:cs="Arial"/>
                <w:b w:val="0"/>
                <w:sz w:val="17"/>
              </w:rPr>
              <w:t>APR incl. fees, cooling-off</w:t>
            </w:r>
          </w:p>
        </w:tc>
        <w:tc>
          <w:tcPr>
            <w:tcW w:w="2450" w:type="dxa"/>
          </w:tcPr>
          <w:p>
            <w:pPr>
              <w:spacing w:after="0" w:before="0"/>
            </w:pPr>
            <w:r/>
            <w:r>
              <w:rPr>
                <w:rFonts w:ascii="Arial" w:hAnsi="Arial" w:cs="Arial"/>
                <w:b w:val="0"/>
                <w:sz w:val="17"/>
              </w:rPr>
              <w:t>APR, auction terms</w:t>
            </w:r>
          </w:p>
        </w:tc>
        <w:tc>
          <w:tcPr>
            <w:tcW w:w="2560" w:type="dxa"/>
          </w:tcPr>
          <w:p>
            <w:pPr>
              <w:spacing w:after="0" w:before="0"/>
            </w:pPr>
            <w:r/>
            <w:r>
              <w:rPr>
                <w:rFonts w:ascii="Arial" w:hAnsi="Arial" w:cs="Arial"/>
                <w:b w:val="0"/>
                <w:sz w:val="17"/>
              </w:rPr>
              <w:t>APR, cooling-off</w:t>
            </w:r>
          </w:p>
        </w:tc>
      </w:tr>
    </w:tbl>
    <w:p/>
    <w:p>
      <w:pPr>
        <w:pStyle w:val="Heading2"/>
      </w:pPr>
      <w:r>
        <w:t>72.5 Validation &amp; Business Rules</w:t>
      </w:r>
    </w:p>
    <w:p>
      <w:pPr>
        <w:pStyle w:val="ListParagraph"/>
        <w:numPr>
          <w:ilvl w:val="0"/>
          <w:numId w:val="2"/>
        </w:numPr>
      </w:pPr>
      <w:r>
        <w:rPr>
          <w:rFonts w:ascii="Arial" w:hAnsi="Arial" w:cs="Arial"/>
          <w:sz w:val="22"/>
        </w:rPr>
        <w:t>Field formats: use the regex library (Section 25.1) plus the min/max ranges (Section 25.3).</w:t>
      </w:r>
    </w:p>
    <w:p>
      <w:pPr>
        <w:pStyle w:val="ListParagraph"/>
        <w:numPr>
          <w:ilvl w:val="0"/>
          <w:numId w:val="2"/>
        </w:numPr>
      </w:pPr>
      <w:r>
        <w:rPr>
          <w:rFonts w:ascii="Arial" w:hAnsi="Arial" w:cs="Arial"/>
          <w:sz w:val="22"/>
        </w:rPr>
        <w:t>Conditional fields carry a machine-evaluable trigger (Section 43.3); the engine renders/requires them deterministically.</w:t>
      </w:r>
    </w:p>
    <w:p>
      <w:pPr>
        <w:pStyle w:val="ListParagraph"/>
        <w:numPr>
          <w:ilvl w:val="0"/>
          <w:numId w:val="2"/>
        </w:numPr>
      </w:pPr>
      <w:r>
        <w:rPr>
          <w:rFonts w:ascii="Arial" w:hAnsi="Arial" w:cs="Arial"/>
          <w:sz w:val="22"/>
        </w:rPr>
        <w:t>State transitions follow the application/loan state machines (Section 25.2, diagrams §44.8–44.9).</w:t>
      </w:r>
    </w:p>
    <w:p>
      <w:pPr>
        <w:pStyle w:val="Heading2"/>
      </w:pPr>
      <w:r>
        <w:t>72.6 Companion Field-Catalog Spreadsheet</w:t>
      </w:r>
    </w:p>
    <w:p>
      <w:r>
        <w:rPr>
          <w:rFonts w:ascii="Arial" w:hAnsi="Arial" w:cs="Arial"/>
          <w:b w:val="0"/>
          <w:i w:val="0"/>
          <w:sz w:val="22"/>
        </w:rPr>
        <w:t>The complete, machine-readable field list for every product — field name, group, data type, mandatory rule, validation/regex, UI control, and source section — is delivered as the Field-Catalog spreadsheet accompanying this document. Developers should treat that spreadsheet as the authoritative field source and this section as its guide.</w:t>
      </w:r>
    </w:p>
    <w:p>
      <w:pPr>
        <w:pStyle w:val="Heading2"/>
      </w:pPr>
      <w:r>
        <w:t>72.7 Definition of Ready (per product)</w:t>
      </w:r>
    </w:p>
    <w:p>
      <w:pPr>
        <w:pStyle w:val="ListParagraph"/>
        <w:numPr>
          <w:ilvl w:val="0"/>
          <w:numId w:val="2"/>
        </w:numPr>
      </w:pPr>
      <w:r>
        <w:rPr>
          <w:rFonts w:ascii="Arial" w:hAnsi="Arial" w:cs="Arial"/>
          <w:sz w:val="22"/>
        </w:rPr>
        <w:t>Product-Master parameters signed off (limits, tenure, LTV, rate grid, fees).</w:t>
      </w:r>
    </w:p>
    <w:p>
      <w:pPr>
        <w:pStyle w:val="ListParagraph"/>
        <w:numPr>
          <w:ilvl w:val="0"/>
          <w:numId w:val="2"/>
        </w:numPr>
      </w:pPr>
      <w:r>
        <w:rPr>
          <w:rFonts w:ascii="Arial" w:hAnsi="Arial" w:cs="Arial"/>
          <w:sz w:val="22"/>
        </w:rPr>
        <w:t>Field schema finalised (common library + delta) with validations and UI controls.</w:t>
      </w:r>
    </w:p>
    <w:p>
      <w:pPr>
        <w:pStyle w:val="ListParagraph"/>
        <w:numPr>
          <w:ilvl w:val="0"/>
          <w:numId w:val="2"/>
        </w:numPr>
      </w:pPr>
      <w:r>
        <w:rPr>
          <w:rFonts w:ascii="Arial" w:hAnsi="Arial" w:cs="Arial"/>
          <w:sz w:val="22"/>
        </w:rPr>
        <w:t>Interest/charge/penalty method selected and unit-tested against the golden vectors (Section 45.10).</w:t>
      </w:r>
    </w:p>
    <w:p>
      <w:pPr>
        <w:pStyle w:val="ListParagraph"/>
        <w:numPr>
          <w:ilvl w:val="0"/>
          <w:numId w:val="2"/>
        </w:numPr>
      </w:pPr>
      <w:r>
        <w:rPr>
          <w:rFonts w:ascii="Arial" w:hAnsi="Arial" w:cs="Arial"/>
          <w:sz w:val="22"/>
        </w:rPr>
        <w:t>Document checklist, workflow/DOA, and KFS template configured.</w:t>
      </w:r>
    </w:p>
    <w:p>
      <w:pPr>
        <w:pStyle w:val="ListParagraph"/>
        <w:numPr>
          <w:ilvl w:val="0"/>
          <w:numId w:val="2"/>
        </w:numPr>
      </w:pPr>
      <w:r>
        <w:rPr>
          <w:rFonts w:ascii="Arial" w:hAnsi="Arial" w:cs="Arial"/>
          <w:sz w:val="22"/>
        </w:rPr>
        <w:t>Regulatory obligations for the product confirmed (Section 49).</w:t>
      </w:r>
    </w:p>
    <w:p>
      <w:r>
        <w:br w:type="page"/>
      </w:r>
    </w:p>
    <w:p>
      <w:r>
        <w:rPr>
          <w:rFonts w:ascii="Arial" w:hAnsi="Arial" w:cs="Arial"/>
          <w:b w:val="0"/>
          <w:i/>
          <w:sz w:val="22"/>
        </w:rPr>
        <w:t>Part III — Developer Build Kit (Sections 73–85) turns the specification into concrete build assets: screens, wireframes, permissions, validations, state tables, business rules, calculation pseudocode, code lists, events, configuration, print templates, tests and accessibility criteria. It is written so a web-development team can scaffold and start coding directly.</w:t>
      </w:r>
    </w:p>
    <w:p>
      <w:pPr>
        <w:pStyle w:val="Heading1"/>
      </w:pPr>
      <w:r>
        <w:t>73. Screen Inventory &amp; Navigation Map</w:t>
      </w:r>
    </w:p>
    <w:p>
      <w:r>
        <w:rPr>
          <w:rFonts w:ascii="Arial" w:hAnsi="Arial" w:cs="Arial"/>
          <w:b w:val="0"/>
          <w:i w:val="0"/>
          <w:sz w:val="22"/>
        </w:rPr>
        <w:t>The application is organised into modules, each a set of screens. Internal users share one workbench; borrowers use a separate self-service portal. The map below shows the primary navigation; the inventory lists every screen with its purpose and the roles that use it (Section 1.4).</w:t>
      </w:r>
    </w:p>
    <w:p>
      <w:pPr>
        <w:jc w:val="center"/>
      </w:pPr>
      <w:r>
        <w:drawing>
          <wp:inline xmlns:a="http://schemas.openxmlformats.org/drawingml/2006/main" xmlns:pic="http://schemas.openxmlformats.org/drawingml/2006/picture">
            <wp:extent cx="6309360" cy="13532734"/>
            <wp:docPr id="16" name="Picture 16"/>
            <wp:cNvGraphicFramePr>
              <a:graphicFrameLocks noChangeAspect="1"/>
            </wp:cNvGraphicFramePr>
            <a:graphic>
              <a:graphicData uri="http://schemas.openxmlformats.org/drawingml/2006/picture">
                <pic:pic>
                  <pic:nvPicPr>
                    <pic:cNvPr id="0" name="d15_nav.png"/>
                    <pic:cNvPicPr/>
                  </pic:nvPicPr>
                  <pic:blipFill>
                    <a:blip r:embed="rId28"/>
                    <a:stretch>
                      <a:fillRect/>
                    </a:stretch>
                  </pic:blipFill>
                  <pic:spPr>
                    <a:xfrm>
                      <a:off x="0" y="0"/>
                      <a:ext cx="6309360" cy="13532734"/>
                    </a:xfrm>
                    <a:prstGeom prst="rect"/>
                  </pic:spPr>
                </pic:pic>
              </a:graphicData>
            </a:graphic>
          </wp:inline>
        </w:drawing>
      </w:r>
    </w:p>
    <w:p>
      <w:pPr>
        <w:jc w:val="center"/>
      </w:pPr>
      <w:r>
        <w:rPr>
          <w:rFonts w:ascii="Arial" w:hAnsi="Arial" w:cs="Arial"/>
          <w:i/>
          <w:color w:val="404040"/>
          <w:sz w:val="18"/>
        </w:rPr>
        <w:t>Figure 73.1 — Primary navigation map (internal workbench + borrower portal).</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400"/>
        <w:gridCol w:w="1400"/>
        <w:gridCol w:w="3560"/>
        <w:gridCol w:w="2000"/>
      </w:tblGrid>
      <w:tr>
        <w:tc>
          <w:tcPr>
            <w:tcW w:w="2400" w:type="dxa"/>
            <w:shd w:val="clear" w:color="auto" w:fill="1F4E78"/>
          </w:tcPr>
          <w:p>
            <w:pPr>
              <w:spacing w:after="0" w:before="0"/>
            </w:pPr>
            <w:r/>
            <w:r>
              <w:rPr>
                <w:rFonts w:ascii="Arial" w:hAnsi="Arial" w:cs="Arial"/>
                <w:b/>
                <w:color w:val="FFFFFF"/>
                <w:sz w:val="17"/>
              </w:rPr>
              <w:t>Screen</w:t>
            </w:r>
          </w:p>
        </w:tc>
        <w:tc>
          <w:tcPr>
            <w:tcW w:w="1400" w:type="dxa"/>
            <w:shd w:val="clear" w:color="auto" w:fill="1F4E78"/>
          </w:tcPr>
          <w:p>
            <w:pPr>
              <w:spacing w:after="0" w:before="0"/>
            </w:pPr>
            <w:r/>
            <w:r>
              <w:rPr>
                <w:rFonts w:ascii="Arial" w:hAnsi="Arial" w:cs="Arial"/>
                <w:b/>
                <w:color w:val="FFFFFF"/>
                <w:sz w:val="17"/>
              </w:rPr>
              <w:t>Module</w:t>
            </w:r>
          </w:p>
        </w:tc>
        <w:tc>
          <w:tcPr>
            <w:tcW w:w="3560" w:type="dxa"/>
            <w:shd w:val="clear" w:color="auto" w:fill="1F4E78"/>
          </w:tcPr>
          <w:p>
            <w:pPr>
              <w:spacing w:after="0" w:before="0"/>
            </w:pPr>
            <w:r/>
            <w:r>
              <w:rPr>
                <w:rFonts w:ascii="Arial" w:hAnsi="Arial" w:cs="Arial"/>
                <w:b/>
                <w:color w:val="FFFFFF"/>
                <w:sz w:val="17"/>
              </w:rPr>
              <w:t>Purpose</w:t>
            </w:r>
          </w:p>
        </w:tc>
        <w:tc>
          <w:tcPr>
            <w:tcW w:w="2000" w:type="dxa"/>
            <w:shd w:val="clear" w:color="auto" w:fill="1F4E78"/>
          </w:tcPr>
          <w:p>
            <w:pPr>
              <w:spacing w:after="0" w:before="0"/>
            </w:pPr>
            <w:r/>
            <w:r>
              <w:rPr>
                <w:rFonts w:ascii="Arial" w:hAnsi="Arial" w:cs="Arial"/>
                <w:b/>
                <w:color w:val="FFFFFF"/>
                <w:sz w:val="17"/>
              </w:rPr>
              <w:t>Primary roles</w:t>
            </w:r>
          </w:p>
        </w:tc>
      </w:tr>
      <w:tr>
        <w:tc>
          <w:tcPr>
            <w:tcW w:w="2400" w:type="dxa"/>
          </w:tcPr>
          <w:p>
            <w:pPr>
              <w:spacing w:after="0" w:before="0"/>
            </w:pPr>
            <w:r/>
            <w:r>
              <w:rPr>
                <w:rFonts w:ascii="Arial" w:hAnsi="Arial" w:cs="Arial"/>
                <w:b w:val="0"/>
                <w:sz w:val="17"/>
              </w:rPr>
              <w:t>Workbench / Dashboard</w:t>
            </w:r>
          </w:p>
        </w:tc>
        <w:tc>
          <w:tcPr>
            <w:tcW w:w="1400" w:type="dxa"/>
          </w:tcPr>
          <w:p>
            <w:pPr>
              <w:spacing w:after="0" w:before="0"/>
            </w:pPr>
            <w:r/>
            <w:r>
              <w:rPr>
                <w:rFonts w:ascii="Arial" w:hAnsi="Arial" w:cs="Arial"/>
                <w:b w:val="0"/>
                <w:sz w:val="17"/>
              </w:rPr>
              <w:t>Home</w:t>
            </w:r>
          </w:p>
        </w:tc>
        <w:tc>
          <w:tcPr>
            <w:tcW w:w="3560" w:type="dxa"/>
          </w:tcPr>
          <w:p>
            <w:pPr>
              <w:spacing w:after="0" w:before="0"/>
            </w:pPr>
            <w:r/>
            <w:r>
              <w:rPr>
                <w:rFonts w:ascii="Arial" w:hAnsi="Arial" w:cs="Arial"/>
                <w:b w:val="0"/>
                <w:sz w:val="17"/>
              </w:rPr>
              <w:t>Portfolio KPIs, alerts, my-tasks</w:t>
            </w:r>
          </w:p>
        </w:tc>
        <w:tc>
          <w:tcPr>
            <w:tcW w:w="2000" w:type="dxa"/>
          </w:tcPr>
          <w:p>
            <w:pPr>
              <w:spacing w:after="0" w:before="0"/>
            </w:pPr>
            <w:r/>
            <w:r>
              <w:rPr>
                <w:rFonts w:ascii="Arial" w:hAnsi="Arial" w:cs="Arial"/>
                <w:b w:val="0"/>
                <w:sz w:val="17"/>
              </w:rPr>
              <w:t>All internal</w:t>
            </w:r>
          </w:p>
        </w:tc>
      </w:tr>
      <w:tr>
        <w:tc>
          <w:tcPr>
            <w:tcW w:w="2400" w:type="dxa"/>
          </w:tcPr>
          <w:p>
            <w:pPr>
              <w:spacing w:after="0" w:before="0"/>
            </w:pPr>
            <w:r/>
            <w:r>
              <w:rPr>
                <w:rFonts w:ascii="Arial" w:hAnsi="Arial" w:cs="Arial"/>
                <w:b w:val="0"/>
                <w:sz w:val="17"/>
              </w:rPr>
              <w:t>Applicant Onboarding Wizard</w:t>
            </w:r>
          </w:p>
        </w:tc>
        <w:tc>
          <w:tcPr>
            <w:tcW w:w="1400" w:type="dxa"/>
          </w:tcPr>
          <w:p>
            <w:pPr>
              <w:spacing w:after="0" w:before="0"/>
            </w:pPr>
            <w:r/>
            <w:r>
              <w:rPr>
                <w:rFonts w:ascii="Arial" w:hAnsi="Arial" w:cs="Arial"/>
                <w:b w:val="0"/>
                <w:sz w:val="17"/>
              </w:rPr>
              <w:t>Onboarding</w:t>
            </w:r>
          </w:p>
        </w:tc>
        <w:tc>
          <w:tcPr>
            <w:tcW w:w="3560" w:type="dxa"/>
          </w:tcPr>
          <w:p>
            <w:pPr>
              <w:spacing w:after="0" w:before="0"/>
            </w:pPr>
            <w:r/>
            <w:r>
              <w:rPr>
                <w:rFonts w:ascii="Arial" w:hAnsi="Arial" w:cs="Arial"/>
                <w:b w:val="0"/>
                <w:sz w:val="17"/>
              </w:rPr>
              <w:t>Stepwise KYC/income/consent capture</w:t>
            </w:r>
          </w:p>
        </w:tc>
        <w:tc>
          <w:tcPr>
            <w:tcW w:w="2000" w:type="dxa"/>
          </w:tcPr>
          <w:p>
            <w:pPr>
              <w:spacing w:after="0" w:before="0"/>
            </w:pPr>
            <w:r/>
            <w:r>
              <w:rPr>
                <w:rFonts w:ascii="Arial" w:hAnsi="Arial" w:cs="Arial"/>
                <w:b w:val="0"/>
                <w:sz w:val="17"/>
              </w:rPr>
              <w:t>Sales/RO, Credit</w:t>
            </w:r>
          </w:p>
        </w:tc>
      </w:tr>
      <w:tr>
        <w:tc>
          <w:tcPr>
            <w:tcW w:w="2400" w:type="dxa"/>
          </w:tcPr>
          <w:p>
            <w:pPr>
              <w:spacing w:after="0" w:before="0"/>
            </w:pPr>
            <w:r/>
            <w:r>
              <w:rPr>
                <w:rFonts w:ascii="Arial" w:hAnsi="Arial" w:cs="Arial"/>
                <w:b w:val="0"/>
                <w:sz w:val="17"/>
              </w:rPr>
              <w:t>Applications List &amp; Detail</w:t>
            </w:r>
          </w:p>
        </w:tc>
        <w:tc>
          <w:tcPr>
            <w:tcW w:w="1400" w:type="dxa"/>
          </w:tcPr>
          <w:p>
            <w:pPr>
              <w:spacing w:after="0" w:before="0"/>
            </w:pPr>
            <w:r/>
            <w:r>
              <w:rPr>
                <w:rFonts w:ascii="Arial" w:hAnsi="Arial" w:cs="Arial"/>
                <w:b w:val="0"/>
                <w:sz w:val="17"/>
              </w:rPr>
              <w:t>Origination</w:t>
            </w:r>
          </w:p>
        </w:tc>
        <w:tc>
          <w:tcPr>
            <w:tcW w:w="3560" w:type="dxa"/>
          </w:tcPr>
          <w:p>
            <w:pPr>
              <w:spacing w:after="0" w:before="0"/>
            </w:pPr>
            <w:r/>
            <w:r>
              <w:rPr>
                <w:rFonts w:ascii="Arial" w:hAnsi="Arial" w:cs="Arial"/>
                <w:b w:val="0"/>
                <w:sz w:val="17"/>
              </w:rPr>
              <w:t>Create/track applications</w:t>
            </w:r>
          </w:p>
        </w:tc>
        <w:tc>
          <w:tcPr>
            <w:tcW w:w="2000" w:type="dxa"/>
          </w:tcPr>
          <w:p>
            <w:pPr>
              <w:spacing w:after="0" w:before="0"/>
            </w:pPr>
            <w:r/>
            <w:r>
              <w:rPr>
                <w:rFonts w:ascii="Arial" w:hAnsi="Arial" w:cs="Arial"/>
                <w:b w:val="0"/>
                <w:sz w:val="17"/>
              </w:rPr>
              <w:t>Sales/RO, Credit</w:t>
            </w:r>
          </w:p>
        </w:tc>
      </w:tr>
      <w:tr>
        <w:tc>
          <w:tcPr>
            <w:tcW w:w="2400" w:type="dxa"/>
          </w:tcPr>
          <w:p>
            <w:pPr>
              <w:spacing w:after="0" w:before="0"/>
            </w:pPr>
            <w:r/>
            <w:r>
              <w:rPr>
                <w:rFonts w:ascii="Arial" w:hAnsi="Arial" w:cs="Arial"/>
                <w:b w:val="0"/>
                <w:sz w:val="17"/>
              </w:rPr>
              <w:t>Underwriting Queue</w:t>
            </w:r>
          </w:p>
        </w:tc>
        <w:tc>
          <w:tcPr>
            <w:tcW w:w="1400" w:type="dxa"/>
          </w:tcPr>
          <w:p>
            <w:pPr>
              <w:spacing w:after="0" w:before="0"/>
            </w:pPr>
            <w:r/>
            <w:r>
              <w:rPr>
                <w:rFonts w:ascii="Arial" w:hAnsi="Arial" w:cs="Arial"/>
                <w:b w:val="0"/>
                <w:sz w:val="17"/>
              </w:rPr>
              <w:t>Origination</w:t>
            </w:r>
          </w:p>
        </w:tc>
        <w:tc>
          <w:tcPr>
            <w:tcW w:w="3560" w:type="dxa"/>
          </w:tcPr>
          <w:p>
            <w:pPr>
              <w:spacing w:after="0" w:before="0"/>
            </w:pPr>
            <w:r/>
            <w:r>
              <w:rPr>
                <w:rFonts w:ascii="Arial" w:hAnsi="Arial" w:cs="Arial"/>
                <w:b w:val="0"/>
                <w:sz w:val="17"/>
              </w:rPr>
              <w:t>Bureau, rules, deviations, recommend</w:t>
            </w:r>
          </w:p>
        </w:tc>
        <w:tc>
          <w:tcPr>
            <w:tcW w:w="2000" w:type="dxa"/>
          </w:tcPr>
          <w:p>
            <w:pPr>
              <w:spacing w:after="0" w:before="0"/>
            </w:pPr>
            <w:r/>
            <w:r>
              <w:rPr>
                <w:rFonts w:ascii="Arial" w:hAnsi="Arial" w:cs="Arial"/>
                <w:b w:val="0"/>
                <w:sz w:val="17"/>
              </w:rPr>
              <w:t>Credit/Underwriter</w:t>
            </w:r>
          </w:p>
        </w:tc>
      </w:tr>
      <w:tr>
        <w:tc>
          <w:tcPr>
            <w:tcW w:w="2400" w:type="dxa"/>
          </w:tcPr>
          <w:p>
            <w:pPr>
              <w:spacing w:after="0" w:before="0"/>
            </w:pPr>
            <w:r/>
            <w:r>
              <w:rPr>
                <w:rFonts w:ascii="Arial" w:hAnsi="Arial" w:cs="Arial"/>
                <w:b w:val="0"/>
                <w:sz w:val="17"/>
              </w:rPr>
              <w:t>Sanction &amp; DOA</w:t>
            </w:r>
          </w:p>
        </w:tc>
        <w:tc>
          <w:tcPr>
            <w:tcW w:w="1400" w:type="dxa"/>
          </w:tcPr>
          <w:p>
            <w:pPr>
              <w:spacing w:after="0" w:before="0"/>
            </w:pPr>
            <w:r/>
            <w:r>
              <w:rPr>
                <w:rFonts w:ascii="Arial" w:hAnsi="Arial" w:cs="Arial"/>
                <w:b w:val="0"/>
                <w:sz w:val="17"/>
              </w:rPr>
              <w:t>Origination</w:t>
            </w:r>
          </w:p>
        </w:tc>
        <w:tc>
          <w:tcPr>
            <w:tcW w:w="3560" w:type="dxa"/>
          </w:tcPr>
          <w:p>
            <w:pPr>
              <w:spacing w:after="0" w:before="0"/>
            </w:pPr>
            <w:r/>
            <w:r>
              <w:rPr>
                <w:rFonts w:ascii="Arial" w:hAnsi="Arial" w:cs="Arial"/>
                <w:b w:val="0"/>
                <w:sz w:val="17"/>
              </w:rPr>
              <w:t>Approve within delegated authority</w:t>
            </w:r>
          </w:p>
        </w:tc>
        <w:tc>
          <w:tcPr>
            <w:tcW w:w="2000" w:type="dxa"/>
          </w:tcPr>
          <w:p>
            <w:pPr>
              <w:spacing w:after="0" w:before="0"/>
            </w:pPr>
            <w:r/>
            <w:r>
              <w:rPr>
                <w:rFonts w:ascii="Arial" w:hAnsi="Arial" w:cs="Arial"/>
                <w:b w:val="0"/>
                <w:sz w:val="17"/>
              </w:rPr>
              <w:t>Credit Approver</w:t>
            </w:r>
          </w:p>
        </w:tc>
      </w:tr>
      <w:tr>
        <w:tc>
          <w:tcPr>
            <w:tcW w:w="2400" w:type="dxa"/>
          </w:tcPr>
          <w:p>
            <w:pPr>
              <w:spacing w:after="0" w:before="0"/>
            </w:pPr>
            <w:r/>
            <w:r>
              <w:rPr>
                <w:rFonts w:ascii="Arial" w:hAnsi="Arial" w:cs="Arial"/>
                <w:b w:val="0"/>
                <w:sz w:val="17"/>
              </w:rPr>
              <w:t>Disbursement</w:t>
            </w:r>
          </w:p>
        </w:tc>
        <w:tc>
          <w:tcPr>
            <w:tcW w:w="1400" w:type="dxa"/>
          </w:tcPr>
          <w:p>
            <w:pPr>
              <w:spacing w:after="0" w:before="0"/>
            </w:pPr>
            <w:r/>
            <w:r>
              <w:rPr>
                <w:rFonts w:ascii="Arial" w:hAnsi="Arial" w:cs="Arial"/>
                <w:b w:val="0"/>
                <w:sz w:val="17"/>
              </w:rPr>
              <w:t>Origination</w:t>
            </w:r>
          </w:p>
        </w:tc>
        <w:tc>
          <w:tcPr>
            <w:tcW w:w="3560" w:type="dxa"/>
          </w:tcPr>
          <w:p>
            <w:pPr>
              <w:spacing w:after="0" w:before="0"/>
            </w:pPr>
            <w:r/>
            <w:r>
              <w:rPr>
                <w:rFonts w:ascii="Arial" w:hAnsi="Arial" w:cs="Arial"/>
                <w:b w:val="0"/>
                <w:sz w:val="17"/>
              </w:rPr>
              <w:t>Post-sanction docs, disburse</w:t>
            </w:r>
          </w:p>
        </w:tc>
        <w:tc>
          <w:tcPr>
            <w:tcW w:w="2000" w:type="dxa"/>
          </w:tcPr>
          <w:p>
            <w:pPr>
              <w:spacing w:after="0" w:before="0"/>
            </w:pPr>
            <w:r/>
            <w:r>
              <w:rPr>
                <w:rFonts w:ascii="Arial" w:hAnsi="Arial" w:cs="Arial"/>
                <w:b w:val="0"/>
                <w:sz w:val="17"/>
              </w:rPr>
              <w:t>Ops/Disbursement</w:t>
            </w:r>
          </w:p>
        </w:tc>
      </w:tr>
      <w:tr>
        <w:tc>
          <w:tcPr>
            <w:tcW w:w="2400" w:type="dxa"/>
          </w:tcPr>
          <w:p>
            <w:pPr>
              <w:spacing w:after="0" w:before="0"/>
            </w:pPr>
            <w:r/>
            <w:r>
              <w:rPr>
                <w:rFonts w:ascii="Arial" w:hAnsi="Arial" w:cs="Arial"/>
                <w:b w:val="0"/>
                <w:sz w:val="17"/>
              </w:rPr>
              <w:t>Loan Servicing 360</w:t>
            </w:r>
          </w:p>
        </w:tc>
        <w:tc>
          <w:tcPr>
            <w:tcW w:w="1400" w:type="dxa"/>
          </w:tcPr>
          <w:p>
            <w:pPr>
              <w:spacing w:after="0" w:before="0"/>
            </w:pPr>
            <w:r/>
            <w:r>
              <w:rPr>
                <w:rFonts w:ascii="Arial" w:hAnsi="Arial" w:cs="Arial"/>
                <w:b w:val="0"/>
                <w:sz w:val="17"/>
              </w:rPr>
              <w:t>Servicing</w:t>
            </w:r>
          </w:p>
        </w:tc>
        <w:tc>
          <w:tcPr>
            <w:tcW w:w="3560" w:type="dxa"/>
          </w:tcPr>
          <w:p>
            <w:pPr>
              <w:spacing w:after="0" w:before="0"/>
            </w:pPr>
            <w:r/>
            <w:r>
              <w:rPr>
                <w:rFonts w:ascii="Arial" w:hAnsi="Arial" w:cs="Arial"/>
                <w:b w:val="0"/>
                <w:sz w:val="17"/>
              </w:rPr>
              <w:t>Account summary, schedule, transactions, actions</w:t>
            </w:r>
          </w:p>
        </w:tc>
        <w:tc>
          <w:tcPr>
            <w:tcW w:w="2000" w:type="dxa"/>
          </w:tcPr>
          <w:p>
            <w:pPr>
              <w:spacing w:after="0" w:before="0"/>
            </w:pPr>
            <w:r/>
            <w:r>
              <w:rPr>
                <w:rFonts w:ascii="Arial" w:hAnsi="Arial" w:cs="Arial"/>
                <w:b w:val="0"/>
                <w:sz w:val="17"/>
              </w:rPr>
              <w:t>Ops, Servicing</w:t>
            </w:r>
          </w:p>
        </w:tc>
      </w:tr>
      <w:tr>
        <w:tc>
          <w:tcPr>
            <w:tcW w:w="2400" w:type="dxa"/>
          </w:tcPr>
          <w:p>
            <w:pPr>
              <w:spacing w:after="0" w:before="0"/>
            </w:pPr>
            <w:r/>
            <w:r>
              <w:rPr>
                <w:rFonts w:ascii="Arial" w:hAnsi="Arial" w:cs="Arial"/>
                <w:b w:val="0"/>
                <w:sz w:val="17"/>
              </w:rPr>
              <w:t>Collections Workbench</w:t>
            </w:r>
          </w:p>
        </w:tc>
        <w:tc>
          <w:tcPr>
            <w:tcW w:w="1400" w:type="dxa"/>
          </w:tcPr>
          <w:p>
            <w:pPr>
              <w:spacing w:after="0" w:before="0"/>
            </w:pPr>
            <w:r/>
            <w:r>
              <w:rPr>
                <w:rFonts w:ascii="Arial" w:hAnsi="Arial" w:cs="Arial"/>
                <w:b w:val="0"/>
                <w:sz w:val="17"/>
              </w:rPr>
              <w:t>Collections</w:t>
            </w:r>
          </w:p>
        </w:tc>
        <w:tc>
          <w:tcPr>
            <w:tcW w:w="3560" w:type="dxa"/>
          </w:tcPr>
          <w:p>
            <w:pPr>
              <w:spacing w:after="0" w:before="0"/>
            </w:pPr>
            <w:r/>
            <w:r>
              <w:rPr>
                <w:rFonts w:ascii="Arial" w:hAnsi="Arial" w:cs="Arial"/>
                <w:b w:val="0"/>
                <w:sz w:val="17"/>
              </w:rPr>
              <w:t>Buckets, PTP, field app, legal</w:t>
            </w:r>
          </w:p>
        </w:tc>
        <w:tc>
          <w:tcPr>
            <w:tcW w:w="2000" w:type="dxa"/>
          </w:tcPr>
          <w:p>
            <w:pPr>
              <w:spacing w:after="0" w:before="0"/>
            </w:pPr>
            <w:r/>
            <w:r>
              <w:rPr>
                <w:rFonts w:ascii="Arial" w:hAnsi="Arial" w:cs="Arial"/>
                <w:b w:val="0"/>
                <w:sz w:val="17"/>
              </w:rPr>
              <w:t>Collections</w:t>
            </w:r>
          </w:p>
        </w:tc>
      </w:tr>
      <w:tr>
        <w:tc>
          <w:tcPr>
            <w:tcW w:w="2400" w:type="dxa"/>
          </w:tcPr>
          <w:p>
            <w:pPr>
              <w:spacing w:after="0" w:before="0"/>
            </w:pPr>
            <w:r/>
            <w:r>
              <w:rPr>
                <w:rFonts w:ascii="Arial" w:hAnsi="Arial" w:cs="Arial"/>
                <w:b w:val="0"/>
                <w:sz w:val="17"/>
              </w:rPr>
              <w:t>GL / Journals / Reconciliation</w:t>
            </w:r>
          </w:p>
        </w:tc>
        <w:tc>
          <w:tcPr>
            <w:tcW w:w="1400" w:type="dxa"/>
          </w:tcPr>
          <w:p>
            <w:pPr>
              <w:spacing w:after="0" w:before="0"/>
            </w:pPr>
            <w:r/>
            <w:r>
              <w:rPr>
                <w:rFonts w:ascii="Arial" w:hAnsi="Arial" w:cs="Arial"/>
                <w:b w:val="0"/>
                <w:sz w:val="17"/>
              </w:rPr>
              <w:t>Accounting</w:t>
            </w:r>
          </w:p>
        </w:tc>
        <w:tc>
          <w:tcPr>
            <w:tcW w:w="3560" w:type="dxa"/>
          </w:tcPr>
          <w:p>
            <w:pPr>
              <w:spacing w:after="0" w:before="0"/>
            </w:pPr>
            <w:r/>
            <w:r>
              <w:rPr>
                <w:rFonts w:ascii="Arial" w:hAnsi="Arial" w:cs="Arial"/>
                <w:b w:val="0"/>
                <w:sz w:val="17"/>
              </w:rPr>
              <w:t>Ledgers, entries, BRS, statements</w:t>
            </w:r>
          </w:p>
        </w:tc>
        <w:tc>
          <w:tcPr>
            <w:tcW w:w="2000" w:type="dxa"/>
          </w:tcPr>
          <w:p>
            <w:pPr>
              <w:spacing w:after="0" w:before="0"/>
            </w:pPr>
            <w:r/>
            <w:r>
              <w:rPr>
                <w:rFonts w:ascii="Arial" w:hAnsi="Arial" w:cs="Arial"/>
                <w:b w:val="0"/>
                <w:sz w:val="17"/>
              </w:rPr>
              <w:t>Finance</w:t>
            </w:r>
          </w:p>
        </w:tc>
      </w:tr>
      <w:tr>
        <w:tc>
          <w:tcPr>
            <w:tcW w:w="2400" w:type="dxa"/>
          </w:tcPr>
          <w:p>
            <w:pPr>
              <w:spacing w:after="0" w:before="0"/>
            </w:pPr>
            <w:r/>
            <w:r>
              <w:rPr>
                <w:rFonts w:ascii="Arial" w:hAnsi="Arial" w:cs="Arial"/>
                <w:b w:val="0"/>
                <w:sz w:val="17"/>
              </w:rPr>
              <w:t>Reporting Console</w:t>
            </w:r>
          </w:p>
        </w:tc>
        <w:tc>
          <w:tcPr>
            <w:tcW w:w="1400" w:type="dxa"/>
          </w:tcPr>
          <w:p>
            <w:pPr>
              <w:spacing w:after="0" w:before="0"/>
            </w:pPr>
            <w:r/>
            <w:r>
              <w:rPr>
                <w:rFonts w:ascii="Arial" w:hAnsi="Arial" w:cs="Arial"/>
                <w:b w:val="0"/>
                <w:sz w:val="17"/>
              </w:rPr>
              <w:t>Reporting</w:t>
            </w:r>
          </w:p>
        </w:tc>
        <w:tc>
          <w:tcPr>
            <w:tcW w:w="3560" w:type="dxa"/>
          </w:tcPr>
          <w:p>
            <w:pPr>
              <w:spacing w:after="0" w:before="0"/>
            </w:pPr>
            <w:r/>
            <w:r>
              <w:rPr>
                <w:rFonts w:ascii="Arial" w:hAnsi="Arial" w:cs="Arial"/>
                <w:b w:val="0"/>
                <w:sz w:val="17"/>
              </w:rPr>
              <w:t>RBI returns, CIC files, MIS</w:t>
            </w:r>
          </w:p>
        </w:tc>
        <w:tc>
          <w:tcPr>
            <w:tcW w:w="2000" w:type="dxa"/>
          </w:tcPr>
          <w:p>
            <w:pPr>
              <w:spacing w:after="0" w:before="0"/>
            </w:pPr>
            <w:r/>
            <w:r>
              <w:rPr>
                <w:rFonts w:ascii="Arial" w:hAnsi="Arial" w:cs="Arial"/>
                <w:b w:val="0"/>
                <w:sz w:val="17"/>
              </w:rPr>
              <w:t>Compliance, Finance</w:t>
            </w:r>
          </w:p>
        </w:tc>
      </w:tr>
      <w:tr>
        <w:tc>
          <w:tcPr>
            <w:tcW w:w="2400" w:type="dxa"/>
          </w:tcPr>
          <w:p>
            <w:pPr>
              <w:spacing w:after="0" w:before="0"/>
            </w:pPr>
            <w:r/>
            <w:r>
              <w:rPr>
                <w:rFonts w:ascii="Arial" w:hAnsi="Arial" w:cs="Arial"/>
                <w:b w:val="0"/>
                <w:sz w:val="17"/>
              </w:rPr>
              <w:t>Admin — Product Config</w:t>
            </w:r>
          </w:p>
        </w:tc>
        <w:tc>
          <w:tcPr>
            <w:tcW w:w="1400" w:type="dxa"/>
          </w:tcPr>
          <w:p>
            <w:pPr>
              <w:spacing w:after="0" w:before="0"/>
            </w:pPr>
            <w:r/>
            <w:r>
              <w:rPr>
                <w:rFonts w:ascii="Arial" w:hAnsi="Arial" w:cs="Arial"/>
                <w:b w:val="0"/>
                <w:sz w:val="17"/>
              </w:rPr>
              <w:t>Admin</w:t>
            </w:r>
          </w:p>
        </w:tc>
        <w:tc>
          <w:tcPr>
            <w:tcW w:w="3560" w:type="dxa"/>
          </w:tcPr>
          <w:p>
            <w:pPr>
              <w:spacing w:after="0" w:before="0"/>
            </w:pPr>
            <w:r/>
            <w:r>
              <w:rPr>
                <w:rFonts w:ascii="Arial" w:hAnsi="Arial" w:cs="Arial"/>
                <w:b w:val="0"/>
                <w:sz w:val="17"/>
              </w:rPr>
              <w:t>Products, fields, rates, workflows</w:t>
            </w:r>
          </w:p>
        </w:tc>
        <w:tc>
          <w:tcPr>
            <w:tcW w:w="2000" w:type="dxa"/>
          </w:tcPr>
          <w:p>
            <w:pPr>
              <w:spacing w:after="0" w:before="0"/>
            </w:pPr>
            <w:r/>
            <w:r>
              <w:rPr>
                <w:rFonts w:ascii="Arial" w:hAnsi="Arial" w:cs="Arial"/>
                <w:b w:val="0"/>
                <w:sz w:val="17"/>
              </w:rPr>
              <w:t>Super Admin</w:t>
            </w:r>
          </w:p>
        </w:tc>
      </w:tr>
      <w:tr>
        <w:tc>
          <w:tcPr>
            <w:tcW w:w="2400" w:type="dxa"/>
          </w:tcPr>
          <w:p>
            <w:pPr>
              <w:spacing w:after="0" w:before="0"/>
            </w:pPr>
            <w:r/>
            <w:r>
              <w:rPr>
                <w:rFonts w:ascii="Arial" w:hAnsi="Arial" w:cs="Arial"/>
                <w:b w:val="0"/>
                <w:sz w:val="17"/>
              </w:rPr>
              <w:t>Admin — Roles/Users/Audit</w:t>
            </w:r>
          </w:p>
        </w:tc>
        <w:tc>
          <w:tcPr>
            <w:tcW w:w="1400" w:type="dxa"/>
          </w:tcPr>
          <w:p>
            <w:pPr>
              <w:spacing w:after="0" w:before="0"/>
            </w:pPr>
            <w:r/>
            <w:r>
              <w:rPr>
                <w:rFonts w:ascii="Arial" w:hAnsi="Arial" w:cs="Arial"/>
                <w:b w:val="0"/>
                <w:sz w:val="17"/>
              </w:rPr>
              <w:t>Admin</w:t>
            </w:r>
          </w:p>
        </w:tc>
        <w:tc>
          <w:tcPr>
            <w:tcW w:w="3560" w:type="dxa"/>
          </w:tcPr>
          <w:p>
            <w:pPr>
              <w:spacing w:after="0" w:before="0"/>
            </w:pPr>
            <w:r/>
            <w:r>
              <w:rPr>
                <w:rFonts w:ascii="Arial" w:hAnsi="Arial" w:cs="Arial"/>
                <w:b w:val="0"/>
                <w:sz w:val="17"/>
              </w:rPr>
              <w:t>RBAC, users, audit trail</w:t>
            </w:r>
          </w:p>
        </w:tc>
        <w:tc>
          <w:tcPr>
            <w:tcW w:w="2000" w:type="dxa"/>
          </w:tcPr>
          <w:p>
            <w:pPr>
              <w:spacing w:after="0" w:before="0"/>
            </w:pPr>
            <w:r/>
            <w:r>
              <w:rPr>
                <w:rFonts w:ascii="Arial" w:hAnsi="Arial" w:cs="Arial"/>
                <w:b w:val="0"/>
                <w:sz w:val="17"/>
              </w:rPr>
              <w:t>Super Admin, Auditor</w:t>
            </w:r>
          </w:p>
        </w:tc>
      </w:tr>
      <w:tr>
        <w:tc>
          <w:tcPr>
            <w:tcW w:w="2400" w:type="dxa"/>
          </w:tcPr>
          <w:p>
            <w:pPr>
              <w:spacing w:after="0" w:before="0"/>
            </w:pPr>
            <w:r/>
            <w:r>
              <w:rPr>
                <w:rFonts w:ascii="Arial" w:hAnsi="Arial" w:cs="Arial"/>
                <w:b w:val="0"/>
                <w:sz w:val="17"/>
              </w:rPr>
              <w:t>Borrower Self-Service Portal</w:t>
            </w:r>
          </w:p>
        </w:tc>
        <w:tc>
          <w:tcPr>
            <w:tcW w:w="1400" w:type="dxa"/>
          </w:tcPr>
          <w:p>
            <w:pPr>
              <w:spacing w:after="0" w:before="0"/>
            </w:pPr>
            <w:r/>
            <w:r>
              <w:rPr>
                <w:rFonts w:ascii="Arial" w:hAnsi="Arial" w:cs="Arial"/>
                <w:b w:val="0"/>
                <w:sz w:val="17"/>
              </w:rPr>
              <w:t>Portal</w:t>
            </w:r>
          </w:p>
        </w:tc>
        <w:tc>
          <w:tcPr>
            <w:tcW w:w="3560" w:type="dxa"/>
          </w:tcPr>
          <w:p>
            <w:pPr>
              <w:spacing w:after="0" w:before="0"/>
            </w:pPr>
            <w:r/>
            <w:r>
              <w:rPr>
                <w:rFonts w:ascii="Arial" w:hAnsi="Arial" w:cs="Arial"/>
                <w:b w:val="0"/>
                <w:sz w:val="17"/>
              </w:rPr>
              <w:t>Statements, pay EMI, requests, documents</w:t>
            </w:r>
          </w:p>
        </w:tc>
        <w:tc>
          <w:tcPr>
            <w:tcW w:w="2000" w:type="dxa"/>
          </w:tcPr>
          <w:p>
            <w:pPr>
              <w:spacing w:after="0" w:before="0"/>
            </w:pPr>
            <w:r/>
            <w:r>
              <w:rPr>
                <w:rFonts w:ascii="Arial" w:hAnsi="Arial" w:cs="Arial"/>
                <w:b w:val="0"/>
                <w:sz w:val="17"/>
              </w:rPr>
              <w:t>Borrower</w:t>
            </w:r>
          </w:p>
        </w:tc>
      </w:tr>
    </w:tbl>
    <w:p/>
    <w:p>
      <w:pPr>
        <w:pStyle w:val="Heading1"/>
      </w:pPr>
      <w:r>
        <w:t>74. Key Wireframes</w:t>
      </w:r>
    </w:p>
    <w:p>
      <w:r>
        <w:rPr>
          <w:rFonts w:ascii="Arial" w:hAnsi="Arial" w:cs="Arial"/>
          <w:b w:val="0"/>
          <w:i w:val="0"/>
          <w:sz w:val="22"/>
        </w:rPr>
        <w:t>Low-fidelity wireframes for the highest-traffic screens — indicative layout and controls, not final visual design. They pair with the field catalog (companion spreadsheet) and the UI-control mapping (Section 72.3).</w:t>
      </w:r>
    </w:p>
    <w:p>
      <w:pPr>
        <w:jc w:val="center"/>
      </w:pPr>
      <w:r>
        <w:drawing>
          <wp:inline xmlns:a="http://schemas.openxmlformats.org/drawingml/2006/main" xmlns:pic="http://schemas.openxmlformats.org/drawingml/2006/picture">
            <wp:extent cx="6126480" cy="3923757"/>
            <wp:docPr id="17" name="Picture 17"/>
            <wp:cNvGraphicFramePr>
              <a:graphicFrameLocks noChangeAspect="1"/>
            </wp:cNvGraphicFramePr>
            <a:graphic>
              <a:graphicData uri="http://schemas.openxmlformats.org/drawingml/2006/picture">
                <pic:pic>
                  <pic:nvPicPr>
                    <pic:cNvPr id="0" name="wf1_onboarding.png"/>
                    <pic:cNvPicPr/>
                  </pic:nvPicPr>
                  <pic:blipFill>
                    <a:blip r:embed="rId29"/>
                    <a:stretch>
                      <a:fillRect/>
                    </a:stretch>
                  </pic:blipFill>
                  <pic:spPr>
                    <a:xfrm>
                      <a:off x="0" y="0"/>
                      <a:ext cx="6126480" cy="3923757"/>
                    </a:xfrm>
                    <a:prstGeom prst="rect"/>
                  </pic:spPr>
                </pic:pic>
              </a:graphicData>
            </a:graphic>
          </wp:inline>
        </w:drawing>
      </w:r>
    </w:p>
    <w:p>
      <w:pPr>
        <w:jc w:val="center"/>
      </w:pPr>
      <w:r>
        <w:rPr>
          <w:rFonts w:ascii="Arial" w:hAnsi="Arial" w:cs="Arial"/>
          <w:i/>
          <w:color w:val="404040"/>
          <w:sz w:val="18"/>
        </w:rPr>
        <w:t>Figure 74.1 — Borrower onboarding wizard (stepper; validated fields; consent; live verification cards).</w:t>
      </w:r>
    </w:p>
    <w:p>
      <w:pPr>
        <w:jc w:val="center"/>
      </w:pPr>
      <w:r>
        <w:drawing>
          <wp:inline xmlns:a="http://schemas.openxmlformats.org/drawingml/2006/main" xmlns:pic="http://schemas.openxmlformats.org/drawingml/2006/picture">
            <wp:extent cx="6126480" cy="3923757"/>
            <wp:docPr id="18" name="Picture 18"/>
            <wp:cNvGraphicFramePr>
              <a:graphicFrameLocks noChangeAspect="1"/>
            </wp:cNvGraphicFramePr>
            <a:graphic>
              <a:graphicData uri="http://schemas.openxmlformats.org/drawingml/2006/picture">
                <pic:pic>
                  <pic:nvPicPr>
                    <pic:cNvPr id="0" name="wf2_las_application.png"/>
                    <pic:cNvPicPr/>
                  </pic:nvPicPr>
                  <pic:blipFill>
                    <a:blip r:embed="rId30"/>
                    <a:stretch>
                      <a:fillRect/>
                    </a:stretch>
                  </pic:blipFill>
                  <pic:spPr>
                    <a:xfrm>
                      <a:off x="0" y="0"/>
                      <a:ext cx="6126480" cy="3923757"/>
                    </a:xfrm>
                    <a:prstGeom prst="rect"/>
                  </pic:spPr>
                </pic:pic>
              </a:graphicData>
            </a:graphic>
          </wp:inline>
        </w:drawing>
      </w:r>
    </w:p>
    <w:p>
      <w:pPr>
        <w:jc w:val="center"/>
      </w:pPr>
      <w:r>
        <w:rPr>
          <w:rFonts w:ascii="Arial" w:hAnsi="Arial" w:cs="Arial"/>
          <w:i/>
          <w:color w:val="404040"/>
          <w:sz w:val="18"/>
        </w:rPr>
        <w:t>Figure 74.2 — LAS application (securities grid, auto drawing-power, sanctioned-limit ≤ DP, raise-pledge action).</w:t>
      </w:r>
    </w:p>
    <w:p>
      <w:pPr>
        <w:jc w:val="center"/>
      </w:pPr>
      <w:r>
        <w:drawing>
          <wp:inline xmlns:a="http://schemas.openxmlformats.org/drawingml/2006/main" xmlns:pic="http://schemas.openxmlformats.org/drawingml/2006/picture">
            <wp:extent cx="6126480" cy="3923757"/>
            <wp:docPr id="19" name="Picture 19"/>
            <wp:cNvGraphicFramePr>
              <a:graphicFrameLocks noChangeAspect="1"/>
            </wp:cNvGraphicFramePr>
            <a:graphic>
              <a:graphicData uri="http://schemas.openxmlformats.org/drawingml/2006/picture">
                <pic:pic>
                  <pic:nvPicPr>
                    <pic:cNvPr id="0" name="wf3_servicing360.png"/>
                    <pic:cNvPicPr/>
                  </pic:nvPicPr>
                  <pic:blipFill>
                    <a:blip r:embed="rId31"/>
                    <a:stretch>
                      <a:fillRect/>
                    </a:stretch>
                  </pic:blipFill>
                  <pic:spPr>
                    <a:xfrm>
                      <a:off x="0" y="0"/>
                      <a:ext cx="6126480" cy="3923757"/>
                    </a:xfrm>
                    <a:prstGeom prst="rect"/>
                  </pic:spPr>
                </pic:pic>
              </a:graphicData>
            </a:graphic>
          </wp:inline>
        </w:drawing>
      </w:r>
    </w:p>
    <w:p>
      <w:pPr>
        <w:jc w:val="center"/>
      </w:pPr>
      <w:r>
        <w:rPr>
          <w:rFonts w:ascii="Arial" w:hAnsi="Arial" w:cs="Arial"/>
          <w:i/>
          <w:color w:val="404040"/>
          <w:sz w:val="18"/>
        </w:rPr>
        <w:t>Figure 74.3 — Loan servicing 360 (balances, transactions, schedule, servicing actions).</w:t>
      </w:r>
    </w:p>
    <w:p>
      <w:pPr>
        <w:jc w:val="center"/>
      </w:pPr>
      <w:r>
        <w:drawing>
          <wp:inline xmlns:a="http://schemas.openxmlformats.org/drawingml/2006/main" xmlns:pic="http://schemas.openxmlformats.org/drawingml/2006/picture">
            <wp:extent cx="6126480" cy="3923757"/>
            <wp:docPr id="20" name="Picture 20"/>
            <wp:cNvGraphicFramePr>
              <a:graphicFrameLocks noChangeAspect="1"/>
            </wp:cNvGraphicFramePr>
            <a:graphic>
              <a:graphicData uri="http://schemas.openxmlformats.org/drawingml/2006/picture">
                <pic:pic>
                  <pic:nvPicPr>
                    <pic:cNvPr id="0" name="wf4_collections.png"/>
                    <pic:cNvPicPr/>
                  </pic:nvPicPr>
                  <pic:blipFill>
                    <a:blip r:embed="rId32"/>
                    <a:stretch>
                      <a:fillRect/>
                    </a:stretch>
                  </pic:blipFill>
                  <pic:spPr>
                    <a:xfrm>
                      <a:off x="0" y="0"/>
                      <a:ext cx="6126480" cy="3923757"/>
                    </a:xfrm>
                    <a:prstGeom prst="rect"/>
                  </pic:spPr>
                </pic:pic>
              </a:graphicData>
            </a:graphic>
          </wp:inline>
        </w:drawing>
      </w:r>
    </w:p>
    <w:p>
      <w:pPr>
        <w:jc w:val="center"/>
      </w:pPr>
      <w:r>
        <w:rPr>
          <w:rFonts w:ascii="Arial" w:hAnsi="Arial" w:cs="Arial"/>
          <w:i/>
          <w:color w:val="404040"/>
          <w:sz w:val="18"/>
        </w:rPr>
        <w:t>Figure 74.4 — Collections workbench (case queue, PTP, field visit, contact-window guardrail).</w:t>
      </w:r>
    </w:p>
    <w:p>
      <w:pPr>
        <w:pStyle w:val="Heading1"/>
      </w:pPr>
      <w:r>
        <w:t>75. RBAC Permission Matrix</w:t>
      </w:r>
    </w:p>
    <w:p>
      <w:r>
        <w:rPr>
          <w:rFonts w:ascii="Arial" w:hAnsi="Arial" w:cs="Arial"/>
          <w:b w:val="0"/>
          <w:i w:val="0"/>
          <w:sz w:val="22"/>
        </w:rPr>
        <w:t>Authorization is role × resource × action, scoped further by branch/region (Section 1.4). V = view, C = create/edit, A = approve, — = no access. Sample extract:</w:t>
      </w:r>
    </w:p>
    <w:tbl>
      <w:tblPr>
        <w:tblW w:w="920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900"/>
        <w:gridCol w:w="850"/>
        <w:gridCol w:w="950"/>
        <w:gridCol w:w="780"/>
        <w:gridCol w:w="850"/>
        <w:gridCol w:w="900"/>
        <w:gridCol w:w="1220"/>
        <w:gridCol w:w="650"/>
      </w:tblGrid>
      <w:tr>
        <w:tc>
          <w:tcPr>
            <w:tcW w:w="2100" w:type="dxa"/>
            <w:shd w:val="clear" w:color="auto" w:fill="1F4E78"/>
          </w:tcPr>
          <w:p>
            <w:pPr>
              <w:spacing w:after="0" w:before="0"/>
            </w:pPr>
            <w:r/>
            <w:r>
              <w:rPr>
                <w:rFonts w:ascii="Arial" w:hAnsi="Arial" w:cs="Arial"/>
                <w:b/>
                <w:color w:val="FFFFFF"/>
                <w:sz w:val="17"/>
              </w:rPr>
              <w:t>Resource / Action</w:t>
            </w:r>
          </w:p>
        </w:tc>
        <w:tc>
          <w:tcPr>
            <w:tcW w:w="900" w:type="dxa"/>
            <w:shd w:val="clear" w:color="auto" w:fill="1F4E78"/>
          </w:tcPr>
          <w:p>
            <w:pPr>
              <w:spacing w:after="0" w:before="0"/>
            </w:pPr>
            <w:r/>
            <w:r>
              <w:rPr>
                <w:rFonts w:ascii="Arial" w:hAnsi="Arial" w:cs="Arial"/>
                <w:b/>
                <w:color w:val="FFFFFF"/>
                <w:sz w:val="17"/>
              </w:rPr>
              <w:t>Sales/RO</w:t>
            </w:r>
          </w:p>
        </w:tc>
        <w:tc>
          <w:tcPr>
            <w:tcW w:w="850" w:type="dxa"/>
            <w:shd w:val="clear" w:color="auto" w:fill="1F4E78"/>
          </w:tcPr>
          <w:p>
            <w:pPr>
              <w:spacing w:after="0" w:before="0"/>
            </w:pPr>
            <w:r/>
            <w:r>
              <w:rPr>
                <w:rFonts w:ascii="Arial" w:hAnsi="Arial" w:cs="Arial"/>
                <w:b/>
                <w:color w:val="FFFFFF"/>
                <w:sz w:val="17"/>
              </w:rPr>
              <w:t>Credit</w:t>
            </w:r>
          </w:p>
        </w:tc>
        <w:tc>
          <w:tcPr>
            <w:tcW w:w="950" w:type="dxa"/>
            <w:shd w:val="clear" w:color="auto" w:fill="1F4E78"/>
          </w:tcPr>
          <w:p>
            <w:pPr>
              <w:spacing w:after="0" w:before="0"/>
            </w:pPr>
            <w:r/>
            <w:r>
              <w:rPr>
                <w:rFonts w:ascii="Arial" w:hAnsi="Arial" w:cs="Arial"/>
                <w:b/>
                <w:color w:val="FFFFFF"/>
                <w:sz w:val="17"/>
              </w:rPr>
              <w:t>Approver</w:t>
            </w:r>
          </w:p>
        </w:tc>
        <w:tc>
          <w:tcPr>
            <w:tcW w:w="780" w:type="dxa"/>
            <w:shd w:val="clear" w:color="auto" w:fill="1F4E78"/>
          </w:tcPr>
          <w:p>
            <w:pPr>
              <w:spacing w:after="0" w:before="0"/>
            </w:pPr>
            <w:r/>
            <w:r>
              <w:rPr>
                <w:rFonts w:ascii="Arial" w:hAnsi="Arial" w:cs="Arial"/>
                <w:b/>
                <w:color w:val="FFFFFF"/>
                <w:sz w:val="17"/>
              </w:rPr>
              <w:t>Ops</w:t>
            </w:r>
          </w:p>
        </w:tc>
        <w:tc>
          <w:tcPr>
            <w:tcW w:w="850" w:type="dxa"/>
            <w:shd w:val="clear" w:color="auto" w:fill="1F4E78"/>
          </w:tcPr>
          <w:p>
            <w:pPr>
              <w:spacing w:after="0" w:before="0"/>
            </w:pPr>
            <w:r/>
            <w:r>
              <w:rPr>
                <w:rFonts w:ascii="Arial" w:hAnsi="Arial" w:cs="Arial"/>
                <w:b/>
                <w:color w:val="FFFFFF"/>
                <w:sz w:val="17"/>
              </w:rPr>
              <w:t>Collections</w:t>
            </w:r>
          </w:p>
        </w:tc>
        <w:tc>
          <w:tcPr>
            <w:tcW w:w="900" w:type="dxa"/>
            <w:shd w:val="clear" w:color="auto" w:fill="1F4E78"/>
          </w:tcPr>
          <w:p>
            <w:pPr>
              <w:spacing w:after="0" w:before="0"/>
            </w:pPr>
            <w:r/>
            <w:r>
              <w:rPr>
                <w:rFonts w:ascii="Arial" w:hAnsi="Arial" w:cs="Arial"/>
                <w:b/>
                <w:color w:val="FFFFFF"/>
                <w:sz w:val="17"/>
              </w:rPr>
              <w:t>Finance</w:t>
            </w:r>
          </w:p>
        </w:tc>
        <w:tc>
          <w:tcPr>
            <w:tcW w:w="1220" w:type="dxa"/>
            <w:shd w:val="clear" w:color="auto" w:fill="1F4E78"/>
          </w:tcPr>
          <w:p>
            <w:pPr>
              <w:spacing w:after="0" w:before="0"/>
            </w:pPr>
            <w:r/>
            <w:r>
              <w:rPr>
                <w:rFonts w:ascii="Arial" w:hAnsi="Arial" w:cs="Arial"/>
                <w:b/>
                <w:color w:val="FFFFFF"/>
                <w:sz w:val="17"/>
              </w:rPr>
              <w:t>Compliance</w:t>
            </w:r>
          </w:p>
        </w:tc>
        <w:tc>
          <w:tcPr>
            <w:tcW w:w="650" w:type="dxa"/>
            <w:shd w:val="clear" w:color="auto" w:fill="1F4E78"/>
          </w:tcPr>
          <w:p>
            <w:pPr>
              <w:spacing w:after="0" w:before="0"/>
            </w:pPr>
            <w:r/>
            <w:r>
              <w:rPr>
                <w:rFonts w:ascii="Arial" w:hAnsi="Arial" w:cs="Arial"/>
                <w:b/>
                <w:color w:val="FFFFFF"/>
                <w:sz w:val="17"/>
              </w:rPr>
              <w:t>Admin</w:t>
            </w:r>
          </w:p>
        </w:tc>
      </w:tr>
      <w:tr>
        <w:tc>
          <w:tcPr>
            <w:tcW w:w="2100" w:type="dxa"/>
          </w:tcPr>
          <w:p>
            <w:pPr>
              <w:spacing w:after="0" w:before="0"/>
            </w:pPr>
            <w:r/>
            <w:r>
              <w:rPr>
                <w:rFonts w:ascii="Arial" w:hAnsi="Arial" w:cs="Arial"/>
                <w:b w:val="0"/>
                <w:sz w:val="17"/>
              </w:rPr>
              <w:t>Applications</w:t>
            </w:r>
          </w:p>
        </w:tc>
        <w:tc>
          <w:tcPr>
            <w:tcW w:w="900" w:type="dxa"/>
          </w:tcPr>
          <w:p>
            <w:pPr>
              <w:spacing w:after="0" w:before="0"/>
            </w:pPr>
            <w:r/>
            <w:r>
              <w:rPr>
                <w:rFonts w:ascii="Arial" w:hAnsi="Arial" w:cs="Arial"/>
                <w:b w:val="0"/>
                <w:sz w:val="17"/>
              </w:rPr>
              <w:t>C</w:t>
            </w:r>
          </w:p>
        </w:tc>
        <w:tc>
          <w:tcPr>
            <w:tcW w:w="850" w:type="dxa"/>
          </w:tcPr>
          <w:p>
            <w:pPr>
              <w:spacing w:after="0" w:before="0"/>
            </w:pPr>
            <w:r/>
            <w:r>
              <w:rPr>
                <w:rFonts w:ascii="Arial" w:hAnsi="Arial" w:cs="Arial"/>
                <w:b w:val="0"/>
                <w:sz w:val="17"/>
              </w:rPr>
              <w:t>V</w:t>
            </w:r>
          </w:p>
        </w:tc>
        <w:tc>
          <w:tcPr>
            <w:tcW w:w="950" w:type="dxa"/>
          </w:tcPr>
          <w:p>
            <w:pPr>
              <w:spacing w:after="0" w:before="0"/>
            </w:pPr>
            <w:r/>
            <w:r>
              <w:rPr>
                <w:rFonts w:ascii="Arial" w:hAnsi="Arial" w:cs="Arial"/>
                <w:b w:val="0"/>
                <w:sz w:val="17"/>
              </w:rPr>
              <w:t>V</w:t>
            </w:r>
          </w:p>
        </w:tc>
        <w:tc>
          <w:tcPr>
            <w:tcW w:w="780" w:type="dxa"/>
          </w:tcPr>
          <w:p>
            <w:pPr>
              <w:spacing w:after="0" w:before="0"/>
            </w:pPr>
            <w:r/>
            <w:r>
              <w:rPr>
                <w:rFonts w:ascii="Arial" w:hAnsi="Arial" w:cs="Arial"/>
                <w:b w:val="0"/>
                <w:sz w:val="17"/>
              </w:rPr>
              <w:t>V</w:t>
            </w:r>
          </w:p>
        </w:tc>
        <w:tc>
          <w:tcPr>
            <w:tcW w:w="85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w:t>
            </w:r>
          </w:p>
        </w:tc>
        <w:tc>
          <w:tcPr>
            <w:tcW w:w="1220" w:type="dxa"/>
          </w:tcPr>
          <w:p>
            <w:pPr>
              <w:spacing w:after="0" w:before="0"/>
            </w:pPr>
            <w:r/>
            <w:r>
              <w:rPr>
                <w:rFonts w:ascii="Arial" w:hAnsi="Arial" w:cs="Arial"/>
                <w:b w:val="0"/>
                <w:sz w:val="17"/>
              </w:rPr>
              <w:t>V</w:t>
            </w:r>
          </w:p>
        </w:tc>
        <w:tc>
          <w:tcPr>
            <w:tcW w:w="650" w:type="dxa"/>
          </w:tcPr>
          <w:p>
            <w:pPr>
              <w:spacing w:after="0" w:before="0"/>
            </w:pPr>
            <w:r/>
            <w:r>
              <w:rPr>
                <w:rFonts w:ascii="Arial" w:hAnsi="Arial" w:cs="Arial"/>
                <w:b w:val="0"/>
                <w:sz w:val="17"/>
              </w:rPr>
              <w:t>C</w:t>
            </w:r>
          </w:p>
        </w:tc>
      </w:tr>
      <w:tr>
        <w:tc>
          <w:tcPr>
            <w:tcW w:w="2100" w:type="dxa"/>
          </w:tcPr>
          <w:p>
            <w:pPr>
              <w:spacing w:after="0" w:before="0"/>
            </w:pPr>
            <w:r/>
            <w:r>
              <w:rPr>
                <w:rFonts w:ascii="Arial" w:hAnsi="Arial" w:cs="Arial"/>
                <w:b w:val="0"/>
                <w:sz w:val="17"/>
              </w:rPr>
              <w:t>Underwriting decision</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C</w:t>
            </w:r>
          </w:p>
        </w:tc>
        <w:tc>
          <w:tcPr>
            <w:tcW w:w="950" w:type="dxa"/>
          </w:tcPr>
          <w:p>
            <w:pPr>
              <w:spacing w:after="0" w:before="0"/>
            </w:pPr>
            <w:r/>
            <w:r>
              <w:rPr>
                <w:rFonts w:ascii="Arial" w:hAnsi="Arial" w:cs="Arial"/>
                <w:b w:val="0"/>
                <w:sz w:val="17"/>
              </w:rPr>
              <w:t>V</w:t>
            </w:r>
          </w:p>
        </w:tc>
        <w:tc>
          <w:tcPr>
            <w:tcW w:w="78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w:t>
            </w:r>
          </w:p>
        </w:tc>
        <w:tc>
          <w:tcPr>
            <w:tcW w:w="1220" w:type="dxa"/>
          </w:tcPr>
          <w:p>
            <w:pPr>
              <w:spacing w:after="0" w:before="0"/>
            </w:pPr>
            <w:r/>
            <w:r>
              <w:rPr>
                <w:rFonts w:ascii="Arial" w:hAnsi="Arial" w:cs="Arial"/>
                <w:b w:val="0"/>
                <w:sz w:val="17"/>
              </w:rPr>
              <w:t>V</w:t>
            </w:r>
          </w:p>
        </w:tc>
        <w:tc>
          <w:tcPr>
            <w:tcW w:w="650" w:type="dxa"/>
          </w:tcPr>
          <w:p>
            <w:pPr>
              <w:spacing w:after="0" w:before="0"/>
            </w:pPr>
            <w:r/>
            <w:r>
              <w:rPr>
                <w:rFonts w:ascii="Arial" w:hAnsi="Arial" w:cs="Arial"/>
                <w:b w:val="0"/>
                <w:sz w:val="17"/>
              </w:rPr>
              <w:t>C</w:t>
            </w:r>
          </w:p>
        </w:tc>
      </w:tr>
      <w:tr>
        <w:tc>
          <w:tcPr>
            <w:tcW w:w="2100" w:type="dxa"/>
          </w:tcPr>
          <w:p>
            <w:pPr>
              <w:spacing w:after="0" w:before="0"/>
            </w:pPr>
            <w:r/>
            <w:r>
              <w:rPr>
                <w:rFonts w:ascii="Arial" w:hAnsi="Arial" w:cs="Arial"/>
                <w:b w:val="0"/>
                <w:sz w:val="17"/>
              </w:rPr>
              <w:t>Sanction (within DOA)</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50" w:type="dxa"/>
          </w:tcPr>
          <w:p>
            <w:pPr>
              <w:spacing w:after="0" w:before="0"/>
            </w:pPr>
            <w:r/>
            <w:r>
              <w:rPr>
                <w:rFonts w:ascii="Arial" w:hAnsi="Arial" w:cs="Arial"/>
                <w:b w:val="0"/>
                <w:sz w:val="17"/>
              </w:rPr>
              <w:t>A</w:t>
            </w:r>
          </w:p>
        </w:tc>
        <w:tc>
          <w:tcPr>
            <w:tcW w:w="78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w:t>
            </w:r>
          </w:p>
        </w:tc>
        <w:tc>
          <w:tcPr>
            <w:tcW w:w="1220" w:type="dxa"/>
          </w:tcPr>
          <w:p>
            <w:pPr>
              <w:spacing w:after="0" w:before="0"/>
            </w:pPr>
            <w:r/>
            <w:r>
              <w:rPr>
                <w:rFonts w:ascii="Arial" w:hAnsi="Arial" w:cs="Arial"/>
                <w:b w:val="0"/>
                <w:sz w:val="17"/>
              </w:rPr>
              <w:t>—</w:t>
            </w:r>
          </w:p>
        </w:tc>
        <w:tc>
          <w:tcPr>
            <w:tcW w:w="650" w:type="dxa"/>
          </w:tcPr>
          <w:p>
            <w:pPr>
              <w:spacing w:after="0" w:before="0"/>
            </w:pPr>
            <w:r/>
            <w:r>
              <w:rPr>
                <w:rFonts w:ascii="Arial" w:hAnsi="Arial" w:cs="Arial"/>
                <w:b w:val="0"/>
                <w:sz w:val="17"/>
              </w:rPr>
              <w:t>C</w:t>
            </w:r>
          </w:p>
        </w:tc>
      </w:tr>
      <w:tr>
        <w:tc>
          <w:tcPr>
            <w:tcW w:w="2100" w:type="dxa"/>
          </w:tcPr>
          <w:p>
            <w:pPr>
              <w:spacing w:after="0" w:before="0"/>
            </w:pPr>
            <w:r/>
            <w:r>
              <w:rPr>
                <w:rFonts w:ascii="Arial" w:hAnsi="Arial" w:cs="Arial"/>
                <w:b w:val="0"/>
                <w:sz w:val="17"/>
              </w:rPr>
              <w:t>Disbursement</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50" w:type="dxa"/>
          </w:tcPr>
          <w:p>
            <w:pPr>
              <w:spacing w:after="0" w:before="0"/>
            </w:pPr>
            <w:r/>
            <w:r>
              <w:rPr>
                <w:rFonts w:ascii="Arial" w:hAnsi="Arial" w:cs="Arial"/>
                <w:b w:val="0"/>
                <w:sz w:val="17"/>
              </w:rPr>
              <w:t>—</w:t>
            </w:r>
          </w:p>
        </w:tc>
        <w:tc>
          <w:tcPr>
            <w:tcW w:w="780" w:type="dxa"/>
          </w:tcPr>
          <w:p>
            <w:pPr>
              <w:spacing w:after="0" w:before="0"/>
            </w:pPr>
            <w:r/>
            <w:r>
              <w:rPr>
                <w:rFonts w:ascii="Arial" w:hAnsi="Arial" w:cs="Arial"/>
                <w:b w:val="0"/>
                <w:sz w:val="17"/>
              </w:rPr>
              <w:t>A</w:t>
            </w:r>
          </w:p>
        </w:tc>
        <w:tc>
          <w:tcPr>
            <w:tcW w:w="85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V</w:t>
            </w:r>
          </w:p>
        </w:tc>
        <w:tc>
          <w:tcPr>
            <w:tcW w:w="1220" w:type="dxa"/>
          </w:tcPr>
          <w:p>
            <w:pPr>
              <w:spacing w:after="0" w:before="0"/>
            </w:pPr>
            <w:r/>
            <w:r>
              <w:rPr>
                <w:rFonts w:ascii="Arial" w:hAnsi="Arial" w:cs="Arial"/>
                <w:b w:val="0"/>
                <w:sz w:val="17"/>
              </w:rPr>
              <w:t>V</w:t>
            </w:r>
          </w:p>
        </w:tc>
        <w:tc>
          <w:tcPr>
            <w:tcW w:w="650" w:type="dxa"/>
          </w:tcPr>
          <w:p>
            <w:pPr>
              <w:spacing w:after="0" w:before="0"/>
            </w:pPr>
            <w:r/>
            <w:r>
              <w:rPr>
                <w:rFonts w:ascii="Arial" w:hAnsi="Arial" w:cs="Arial"/>
                <w:b w:val="0"/>
                <w:sz w:val="17"/>
              </w:rPr>
              <w:t>C</w:t>
            </w:r>
          </w:p>
        </w:tc>
      </w:tr>
      <w:tr>
        <w:tc>
          <w:tcPr>
            <w:tcW w:w="2100" w:type="dxa"/>
          </w:tcPr>
          <w:p>
            <w:pPr>
              <w:spacing w:after="0" w:before="0"/>
            </w:pPr>
            <w:r/>
            <w:r>
              <w:rPr>
                <w:rFonts w:ascii="Arial" w:hAnsi="Arial" w:cs="Arial"/>
                <w:b w:val="0"/>
                <w:sz w:val="17"/>
              </w:rPr>
              <w:t>Repayments / servicing</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50" w:type="dxa"/>
          </w:tcPr>
          <w:p>
            <w:pPr>
              <w:spacing w:after="0" w:before="0"/>
            </w:pPr>
            <w:r/>
            <w:r>
              <w:rPr>
                <w:rFonts w:ascii="Arial" w:hAnsi="Arial" w:cs="Arial"/>
                <w:b w:val="0"/>
                <w:sz w:val="17"/>
              </w:rPr>
              <w:t>—</w:t>
            </w:r>
          </w:p>
        </w:tc>
        <w:tc>
          <w:tcPr>
            <w:tcW w:w="780" w:type="dxa"/>
          </w:tcPr>
          <w:p>
            <w:pPr>
              <w:spacing w:after="0" w:before="0"/>
            </w:pPr>
            <w:r/>
            <w:r>
              <w:rPr>
                <w:rFonts w:ascii="Arial" w:hAnsi="Arial" w:cs="Arial"/>
                <w:b w:val="0"/>
                <w:sz w:val="17"/>
              </w:rPr>
              <w:t>C</w:t>
            </w:r>
          </w:p>
        </w:tc>
        <w:tc>
          <w:tcPr>
            <w:tcW w:w="850" w:type="dxa"/>
          </w:tcPr>
          <w:p>
            <w:pPr>
              <w:spacing w:after="0" w:before="0"/>
            </w:pPr>
            <w:r/>
            <w:r>
              <w:rPr>
                <w:rFonts w:ascii="Arial" w:hAnsi="Arial" w:cs="Arial"/>
                <w:b w:val="0"/>
                <w:sz w:val="17"/>
              </w:rPr>
              <w:t>V</w:t>
            </w:r>
          </w:p>
        </w:tc>
        <w:tc>
          <w:tcPr>
            <w:tcW w:w="900" w:type="dxa"/>
          </w:tcPr>
          <w:p>
            <w:pPr>
              <w:spacing w:after="0" w:before="0"/>
            </w:pPr>
            <w:r/>
            <w:r>
              <w:rPr>
                <w:rFonts w:ascii="Arial" w:hAnsi="Arial" w:cs="Arial"/>
                <w:b w:val="0"/>
                <w:sz w:val="17"/>
              </w:rPr>
              <w:t>V</w:t>
            </w:r>
          </w:p>
        </w:tc>
        <w:tc>
          <w:tcPr>
            <w:tcW w:w="1220" w:type="dxa"/>
          </w:tcPr>
          <w:p>
            <w:pPr>
              <w:spacing w:after="0" w:before="0"/>
            </w:pPr>
            <w:r/>
            <w:r>
              <w:rPr>
                <w:rFonts w:ascii="Arial" w:hAnsi="Arial" w:cs="Arial"/>
                <w:b w:val="0"/>
                <w:sz w:val="17"/>
              </w:rPr>
              <w:t>—</w:t>
            </w:r>
          </w:p>
        </w:tc>
        <w:tc>
          <w:tcPr>
            <w:tcW w:w="650" w:type="dxa"/>
          </w:tcPr>
          <w:p>
            <w:pPr>
              <w:spacing w:after="0" w:before="0"/>
            </w:pPr>
            <w:r/>
            <w:r>
              <w:rPr>
                <w:rFonts w:ascii="Arial" w:hAnsi="Arial" w:cs="Arial"/>
                <w:b w:val="0"/>
                <w:sz w:val="17"/>
              </w:rPr>
              <w:t>C</w:t>
            </w:r>
          </w:p>
        </w:tc>
      </w:tr>
      <w:tr>
        <w:tc>
          <w:tcPr>
            <w:tcW w:w="2100" w:type="dxa"/>
          </w:tcPr>
          <w:p>
            <w:pPr>
              <w:spacing w:after="0" w:before="0"/>
            </w:pPr>
            <w:r/>
            <w:r>
              <w:rPr>
                <w:rFonts w:ascii="Arial" w:hAnsi="Arial" w:cs="Arial"/>
                <w:b w:val="0"/>
                <w:sz w:val="17"/>
              </w:rPr>
              <w:t>Collections actions</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50" w:type="dxa"/>
          </w:tcPr>
          <w:p>
            <w:pPr>
              <w:spacing w:after="0" w:before="0"/>
            </w:pPr>
            <w:r/>
            <w:r>
              <w:rPr>
                <w:rFonts w:ascii="Arial" w:hAnsi="Arial" w:cs="Arial"/>
                <w:b w:val="0"/>
                <w:sz w:val="17"/>
              </w:rPr>
              <w:t>—</w:t>
            </w:r>
          </w:p>
        </w:tc>
        <w:tc>
          <w:tcPr>
            <w:tcW w:w="78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C</w:t>
            </w:r>
          </w:p>
        </w:tc>
        <w:tc>
          <w:tcPr>
            <w:tcW w:w="900" w:type="dxa"/>
          </w:tcPr>
          <w:p>
            <w:pPr>
              <w:spacing w:after="0" w:before="0"/>
            </w:pPr>
            <w:r/>
            <w:r>
              <w:rPr>
                <w:rFonts w:ascii="Arial" w:hAnsi="Arial" w:cs="Arial"/>
                <w:b w:val="0"/>
                <w:sz w:val="17"/>
              </w:rPr>
              <w:t>—</w:t>
            </w:r>
          </w:p>
        </w:tc>
        <w:tc>
          <w:tcPr>
            <w:tcW w:w="1220" w:type="dxa"/>
          </w:tcPr>
          <w:p>
            <w:pPr>
              <w:spacing w:after="0" w:before="0"/>
            </w:pPr>
            <w:r/>
            <w:r>
              <w:rPr>
                <w:rFonts w:ascii="Arial" w:hAnsi="Arial" w:cs="Arial"/>
                <w:b w:val="0"/>
                <w:sz w:val="17"/>
              </w:rPr>
              <w:t>V</w:t>
            </w:r>
          </w:p>
        </w:tc>
        <w:tc>
          <w:tcPr>
            <w:tcW w:w="650" w:type="dxa"/>
          </w:tcPr>
          <w:p>
            <w:pPr>
              <w:spacing w:after="0" w:before="0"/>
            </w:pPr>
            <w:r/>
            <w:r>
              <w:rPr>
                <w:rFonts w:ascii="Arial" w:hAnsi="Arial" w:cs="Arial"/>
                <w:b w:val="0"/>
                <w:sz w:val="17"/>
              </w:rPr>
              <w:t>C</w:t>
            </w:r>
          </w:p>
        </w:tc>
      </w:tr>
      <w:tr>
        <w:tc>
          <w:tcPr>
            <w:tcW w:w="2100" w:type="dxa"/>
          </w:tcPr>
          <w:p>
            <w:pPr>
              <w:spacing w:after="0" w:before="0"/>
            </w:pPr>
            <w:r/>
            <w:r>
              <w:rPr>
                <w:rFonts w:ascii="Arial" w:hAnsi="Arial" w:cs="Arial"/>
                <w:b w:val="0"/>
                <w:sz w:val="17"/>
              </w:rPr>
              <w:t>GL / journal entry</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50" w:type="dxa"/>
          </w:tcPr>
          <w:p>
            <w:pPr>
              <w:spacing w:after="0" w:before="0"/>
            </w:pPr>
            <w:r/>
            <w:r>
              <w:rPr>
                <w:rFonts w:ascii="Arial" w:hAnsi="Arial" w:cs="Arial"/>
                <w:b w:val="0"/>
                <w:sz w:val="17"/>
              </w:rPr>
              <w:t>—</w:t>
            </w:r>
          </w:p>
        </w:tc>
        <w:tc>
          <w:tcPr>
            <w:tcW w:w="78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C/A</w:t>
            </w:r>
          </w:p>
        </w:tc>
        <w:tc>
          <w:tcPr>
            <w:tcW w:w="1220" w:type="dxa"/>
          </w:tcPr>
          <w:p>
            <w:pPr>
              <w:spacing w:after="0" w:before="0"/>
            </w:pPr>
            <w:r/>
            <w:r>
              <w:rPr>
                <w:rFonts w:ascii="Arial" w:hAnsi="Arial" w:cs="Arial"/>
                <w:b w:val="0"/>
                <w:sz w:val="17"/>
              </w:rPr>
              <w:t>V</w:t>
            </w:r>
          </w:p>
        </w:tc>
        <w:tc>
          <w:tcPr>
            <w:tcW w:w="650" w:type="dxa"/>
          </w:tcPr>
          <w:p>
            <w:pPr>
              <w:spacing w:after="0" w:before="0"/>
            </w:pPr>
            <w:r/>
            <w:r>
              <w:rPr>
                <w:rFonts w:ascii="Arial" w:hAnsi="Arial" w:cs="Arial"/>
                <w:b w:val="0"/>
                <w:sz w:val="17"/>
              </w:rPr>
              <w:t>C</w:t>
            </w:r>
          </w:p>
        </w:tc>
      </w:tr>
      <w:tr>
        <w:tc>
          <w:tcPr>
            <w:tcW w:w="2100" w:type="dxa"/>
          </w:tcPr>
          <w:p>
            <w:pPr>
              <w:spacing w:after="0" w:before="0"/>
            </w:pPr>
            <w:r/>
            <w:r>
              <w:rPr>
                <w:rFonts w:ascii="Arial" w:hAnsi="Arial" w:cs="Arial"/>
                <w:b w:val="0"/>
                <w:sz w:val="17"/>
              </w:rPr>
              <w:t>Regulatory returns</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50" w:type="dxa"/>
          </w:tcPr>
          <w:p>
            <w:pPr>
              <w:spacing w:after="0" w:before="0"/>
            </w:pPr>
            <w:r/>
            <w:r>
              <w:rPr>
                <w:rFonts w:ascii="Arial" w:hAnsi="Arial" w:cs="Arial"/>
                <w:b w:val="0"/>
                <w:sz w:val="17"/>
              </w:rPr>
              <w:t>—</w:t>
            </w:r>
          </w:p>
        </w:tc>
        <w:tc>
          <w:tcPr>
            <w:tcW w:w="78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V</w:t>
            </w:r>
          </w:p>
        </w:tc>
        <w:tc>
          <w:tcPr>
            <w:tcW w:w="1220" w:type="dxa"/>
          </w:tcPr>
          <w:p>
            <w:pPr>
              <w:spacing w:after="0" w:before="0"/>
            </w:pPr>
            <w:r/>
            <w:r>
              <w:rPr>
                <w:rFonts w:ascii="Arial" w:hAnsi="Arial" w:cs="Arial"/>
                <w:b w:val="0"/>
                <w:sz w:val="17"/>
              </w:rPr>
              <w:t>A</w:t>
            </w:r>
          </w:p>
        </w:tc>
        <w:tc>
          <w:tcPr>
            <w:tcW w:w="650" w:type="dxa"/>
          </w:tcPr>
          <w:p>
            <w:pPr>
              <w:spacing w:after="0" w:before="0"/>
            </w:pPr>
            <w:r/>
            <w:r>
              <w:rPr>
                <w:rFonts w:ascii="Arial" w:hAnsi="Arial" w:cs="Arial"/>
                <w:b w:val="0"/>
                <w:sz w:val="17"/>
              </w:rPr>
              <w:t>C</w:t>
            </w:r>
          </w:p>
        </w:tc>
      </w:tr>
      <w:tr>
        <w:tc>
          <w:tcPr>
            <w:tcW w:w="2100" w:type="dxa"/>
          </w:tcPr>
          <w:p>
            <w:pPr>
              <w:spacing w:after="0" w:before="0"/>
            </w:pPr>
            <w:r/>
            <w:r>
              <w:rPr>
                <w:rFonts w:ascii="Arial" w:hAnsi="Arial" w:cs="Arial"/>
                <w:b w:val="0"/>
                <w:sz w:val="17"/>
              </w:rPr>
              <w:t>Product configuration</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50" w:type="dxa"/>
          </w:tcPr>
          <w:p>
            <w:pPr>
              <w:spacing w:after="0" w:before="0"/>
            </w:pPr>
            <w:r/>
            <w:r>
              <w:rPr>
                <w:rFonts w:ascii="Arial" w:hAnsi="Arial" w:cs="Arial"/>
                <w:b w:val="0"/>
                <w:sz w:val="17"/>
              </w:rPr>
              <w:t>—</w:t>
            </w:r>
          </w:p>
        </w:tc>
        <w:tc>
          <w:tcPr>
            <w:tcW w:w="78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w:t>
            </w:r>
          </w:p>
        </w:tc>
        <w:tc>
          <w:tcPr>
            <w:tcW w:w="1220" w:type="dxa"/>
          </w:tcPr>
          <w:p>
            <w:pPr>
              <w:spacing w:after="0" w:before="0"/>
            </w:pPr>
            <w:r/>
            <w:r>
              <w:rPr>
                <w:rFonts w:ascii="Arial" w:hAnsi="Arial" w:cs="Arial"/>
                <w:b w:val="0"/>
                <w:sz w:val="17"/>
              </w:rPr>
              <w:t>V</w:t>
            </w:r>
          </w:p>
        </w:tc>
        <w:tc>
          <w:tcPr>
            <w:tcW w:w="650" w:type="dxa"/>
          </w:tcPr>
          <w:p>
            <w:pPr>
              <w:spacing w:after="0" w:before="0"/>
            </w:pPr>
            <w:r/>
            <w:r>
              <w:rPr>
                <w:rFonts w:ascii="Arial" w:hAnsi="Arial" w:cs="Arial"/>
                <w:b w:val="0"/>
                <w:sz w:val="17"/>
              </w:rPr>
              <w:t>A</w:t>
            </w:r>
          </w:p>
        </w:tc>
      </w:tr>
      <w:tr>
        <w:tc>
          <w:tcPr>
            <w:tcW w:w="2100" w:type="dxa"/>
          </w:tcPr>
          <w:p>
            <w:pPr>
              <w:spacing w:after="0" w:before="0"/>
            </w:pPr>
            <w:r/>
            <w:r>
              <w:rPr>
                <w:rFonts w:ascii="Arial" w:hAnsi="Arial" w:cs="Arial"/>
                <w:b w:val="0"/>
                <w:sz w:val="17"/>
              </w:rPr>
              <w:t>User / role management</w:t>
            </w:r>
          </w:p>
        </w:tc>
        <w:tc>
          <w:tcPr>
            <w:tcW w:w="90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50" w:type="dxa"/>
          </w:tcPr>
          <w:p>
            <w:pPr>
              <w:spacing w:after="0" w:before="0"/>
            </w:pPr>
            <w:r/>
            <w:r>
              <w:rPr>
                <w:rFonts w:ascii="Arial" w:hAnsi="Arial" w:cs="Arial"/>
                <w:b w:val="0"/>
                <w:sz w:val="17"/>
              </w:rPr>
              <w:t>—</w:t>
            </w:r>
          </w:p>
        </w:tc>
        <w:tc>
          <w:tcPr>
            <w:tcW w:w="780" w:type="dxa"/>
          </w:tcPr>
          <w:p>
            <w:pPr>
              <w:spacing w:after="0" w:before="0"/>
            </w:pPr>
            <w:r/>
            <w:r>
              <w:rPr>
                <w:rFonts w:ascii="Arial" w:hAnsi="Arial" w:cs="Arial"/>
                <w:b w:val="0"/>
                <w:sz w:val="17"/>
              </w:rPr>
              <w:t>—</w:t>
            </w:r>
          </w:p>
        </w:tc>
        <w:tc>
          <w:tcPr>
            <w:tcW w:w="85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w:t>
            </w:r>
          </w:p>
        </w:tc>
        <w:tc>
          <w:tcPr>
            <w:tcW w:w="1220" w:type="dxa"/>
          </w:tcPr>
          <w:p>
            <w:pPr>
              <w:spacing w:after="0" w:before="0"/>
            </w:pPr>
            <w:r/>
            <w:r>
              <w:rPr>
                <w:rFonts w:ascii="Arial" w:hAnsi="Arial" w:cs="Arial"/>
                <w:b w:val="0"/>
                <w:sz w:val="17"/>
              </w:rPr>
              <w:t>—</w:t>
            </w:r>
          </w:p>
        </w:tc>
        <w:tc>
          <w:tcPr>
            <w:tcW w:w="650" w:type="dxa"/>
          </w:tcPr>
          <w:p>
            <w:pPr>
              <w:spacing w:after="0" w:before="0"/>
            </w:pPr>
            <w:r/>
            <w:r>
              <w:rPr>
                <w:rFonts w:ascii="Arial" w:hAnsi="Arial" w:cs="Arial"/>
                <w:b w:val="0"/>
                <w:sz w:val="17"/>
              </w:rPr>
              <w:t>A</w:t>
            </w:r>
          </w:p>
        </w:tc>
      </w:tr>
    </w:tbl>
    <w:p/>
    <w:p>
      <w:r>
        <w:rPr>
          <w:rFonts w:ascii="Arial" w:hAnsi="Arial" w:cs="Arial"/>
          <w:b w:val="0"/>
          <w:i w:val="0"/>
          <w:sz w:val="22"/>
        </w:rPr>
        <w:t>Maker-checker (segregation of duties, Section 14) applies to disbursement, GL adjustments, regulatory submission and configuration: the maker (C) and checker (A) must be different users.</w:t>
      </w:r>
    </w:p>
    <w:p>
      <w:pPr>
        <w:pStyle w:val="Heading1"/>
      </w:pPr>
      <w:r>
        <w:t>76. Validation &amp; Error-Message Catalog</w:t>
      </w:r>
    </w:p>
    <w:p>
      <w:r>
        <w:rPr>
          <w:rFonts w:ascii="Arial" w:hAnsi="Arial" w:cs="Arial"/>
          <w:b w:val="0"/>
          <w:i w:val="0"/>
          <w:sz w:val="22"/>
        </w:rPr>
        <w:t>Every field/rule failure returns a stable code and a user-facing message with an i18n key (supporting the vernacular requirement, Section 60). Backend and frontend share this catalog. Extract:</w:t>
      </w:r>
    </w:p>
    <w:tbl>
      <w:tblPr>
        <w:tblW w:w="821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700"/>
        <w:gridCol w:w="1700"/>
        <w:gridCol w:w="2760"/>
        <w:gridCol w:w="1400"/>
        <w:gridCol w:w="650"/>
      </w:tblGrid>
      <w:tr>
        <w:tc>
          <w:tcPr>
            <w:tcW w:w="1700" w:type="dxa"/>
            <w:shd w:val="clear" w:color="auto" w:fill="1F4E78"/>
          </w:tcPr>
          <w:p>
            <w:pPr>
              <w:spacing w:after="0" w:before="0"/>
            </w:pPr>
            <w:r/>
            <w:r>
              <w:rPr>
                <w:rFonts w:ascii="Arial" w:hAnsi="Arial" w:cs="Arial"/>
                <w:b/>
                <w:color w:val="FFFFFF"/>
                <w:sz w:val="17"/>
              </w:rPr>
              <w:t>Code</w:t>
            </w:r>
          </w:p>
        </w:tc>
        <w:tc>
          <w:tcPr>
            <w:tcW w:w="1700" w:type="dxa"/>
            <w:shd w:val="clear" w:color="auto" w:fill="1F4E78"/>
          </w:tcPr>
          <w:p>
            <w:pPr>
              <w:spacing w:after="0" w:before="0"/>
            </w:pPr>
            <w:r/>
            <w:r>
              <w:rPr>
                <w:rFonts w:ascii="Arial" w:hAnsi="Arial" w:cs="Arial"/>
                <w:b/>
                <w:color w:val="FFFFFF"/>
                <w:sz w:val="17"/>
              </w:rPr>
              <w:t>Field / rule</w:t>
            </w:r>
          </w:p>
        </w:tc>
        <w:tc>
          <w:tcPr>
            <w:tcW w:w="2760" w:type="dxa"/>
            <w:shd w:val="clear" w:color="auto" w:fill="1F4E78"/>
          </w:tcPr>
          <w:p>
            <w:pPr>
              <w:spacing w:after="0" w:before="0"/>
            </w:pPr>
            <w:r/>
            <w:r>
              <w:rPr>
                <w:rFonts w:ascii="Arial" w:hAnsi="Arial" w:cs="Arial"/>
                <w:b/>
                <w:color w:val="FFFFFF"/>
                <w:sz w:val="17"/>
              </w:rPr>
              <w:t>Message (English)</w:t>
            </w:r>
          </w:p>
        </w:tc>
        <w:tc>
          <w:tcPr>
            <w:tcW w:w="1400" w:type="dxa"/>
            <w:shd w:val="clear" w:color="auto" w:fill="1F4E78"/>
          </w:tcPr>
          <w:p>
            <w:pPr>
              <w:spacing w:after="0" w:before="0"/>
            </w:pPr>
            <w:r/>
            <w:r>
              <w:rPr>
                <w:rFonts w:ascii="Arial" w:hAnsi="Arial" w:cs="Arial"/>
                <w:b/>
                <w:color w:val="FFFFFF"/>
                <w:sz w:val="17"/>
              </w:rPr>
              <w:t>i18n key</w:t>
            </w:r>
          </w:p>
        </w:tc>
        <w:tc>
          <w:tcPr>
            <w:tcW w:w="650" w:type="dxa"/>
            <w:shd w:val="clear" w:color="auto" w:fill="1F4E78"/>
          </w:tcPr>
          <w:p>
            <w:pPr>
              <w:spacing w:after="0" w:before="0"/>
            </w:pPr>
            <w:r/>
            <w:r>
              <w:rPr>
                <w:rFonts w:ascii="Arial" w:hAnsi="Arial" w:cs="Arial"/>
                <w:b/>
                <w:color w:val="FFFFFF"/>
                <w:sz w:val="17"/>
              </w:rPr>
              <w:t>HTTP</w:t>
            </w:r>
          </w:p>
        </w:tc>
      </w:tr>
      <w:tr>
        <w:tc>
          <w:tcPr>
            <w:tcW w:w="1700" w:type="dxa"/>
          </w:tcPr>
          <w:p>
            <w:pPr>
              <w:spacing w:after="0" w:before="0"/>
            </w:pPr>
            <w:r/>
            <w:r>
              <w:rPr>
                <w:rFonts w:ascii="Arial" w:hAnsi="Arial" w:cs="Arial"/>
                <w:b w:val="0"/>
                <w:sz w:val="17"/>
              </w:rPr>
              <w:t>VAL_PAN</w:t>
            </w:r>
          </w:p>
        </w:tc>
        <w:tc>
          <w:tcPr>
            <w:tcW w:w="1700" w:type="dxa"/>
          </w:tcPr>
          <w:p>
            <w:pPr>
              <w:spacing w:after="0" w:before="0"/>
            </w:pPr>
            <w:r/>
            <w:r>
              <w:rPr>
                <w:rFonts w:ascii="Arial" w:hAnsi="Arial" w:cs="Arial"/>
                <w:b w:val="0"/>
                <w:sz w:val="17"/>
              </w:rPr>
              <w:t>PAN format</w:t>
            </w:r>
          </w:p>
        </w:tc>
        <w:tc>
          <w:tcPr>
            <w:tcW w:w="2760" w:type="dxa"/>
          </w:tcPr>
          <w:p>
            <w:pPr>
              <w:spacing w:after="0" w:before="0"/>
            </w:pPr>
            <w:r/>
            <w:r>
              <w:rPr>
                <w:rFonts w:ascii="Arial" w:hAnsi="Arial" w:cs="Arial"/>
                <w:b w:val="0"/>
                <w:sz w:val="17"/>
              </w:rPr>
              <w:t>Enter a valid PAN (AAAAA9999A).</w:t>
            </w:r>
          </w:p>
        </w:tc>
        <w:tc>
          <w:tcPr>
            <w:tcW w:w="1400" w:type="dxa"/>
          </w:tcPr>
          <w:p>
            <w:pPr>
              <w:spacing w:after="0" w:before="0"/>
            </w:pPr>
            <w:r/>
            <w:r>
              <w:rPr>
                <w:rFonts w:ascii="Arial" w:hAnsi="Arial" w:cs="Arial"/>
                <w:b w:val="0"/>
                <w:sz w:val="17"/>
              </w:rPr>
              <w:t>err.pan.format</w:t>
            </w:r>
          </w:p>
        </w:tc>
        <w:tc>
          <w:tcPr>
            <w:tcW w:w="650" w:type="dxa"/>
          </w:tcPr>
          <w:p>
            <w:pPr>
              <w:spacing w:after="0" w:before="0"/>
            </w:pPr>
            <w:r/>
            <w:r>
              <w:rPr>
                <w:rFonts w:ascii="Arial" w:hAnsi="Arial" w:cs="Arial"/>
                <w:b w:val="0"/>
                <w:sz w:val="17"/>
              </w:rPr>
              <w:t>422</w:t>
            </w:r>
          </w:p>
        </w:tc>
      </w:tr>
      <w:tr>
        <w:tc>
          <w:tcPr>
            <w:tcW w:w="1700" w:type="dxa"/>
          </w:tcPr>
          <w:p>
            <w:pPr>
              <w:spacing w:after="0" w:before="0"/>
            </w:pPr>
            <w:r/>
            <w:r>
              <w:rPr>
                <w:rFonts w:ascii="Arial" w:hAnsi="Arial" w:cs="Arial"/>
                <w:b w:val="0"/>
                <w:sz w:val="17"/>
              </w:rPr>
              <w:t>VAL_AADHAAR</w:t>
            </w:r>
          </w:p>
        </w:tc>
        <w:tc>
          <w:tcPr>
            <w:tcW w:w="1700" w:type="dxa"/>
          </w:tcPr>
          <w:p>
            <w:pPr>
              <w:spacing w:after="0" w:before="0"/>
            </w:pPr>
            <w:r/>
            <w:r>
              <w:rPr>
                <w:rFonts w:ascii="Arial" w:hAnsi="Arial" w:cs="Arial"/>
                <w:b w:val="0"/>
                <w:sz w:val="17"/>
              </w:rPr>
              <w:t>Aadhaar</w:t>
            </w:r>
          </w:p>
        </w:tc>
        <w:tc>
          <w:tcPr>
            <w:tcW w:w="2760" w:type="dxa"/>
          </w:tcPr>
          <w:p>
            <w:pPr>
              <w:spacing w:after="0" w:before="0"/>
            </w:pPr>
            <w:r/>
            <w:r>
              <w:rPr>
                <w:rFonts w:ascii="Arial" w:hAnsi="Arial" w:cs="Arial"/>
                <w:b w:val="0"/>
                <w:sz w:val="17"/>
              </w:rPr>
              <w:t>Enter a valid 12-digit Aadhaar.</w:t>
            </w:r>
          </w:p>
        </w:tc>
        <w:tc>
          <w:tcPr>
            <w:tcW w:w="1400" w:type="dxa"/>
          </w:tcPr>
          <w:p>
            <w:pPr>
              <w:spacing w:after="0" w:before="0"/>
            </w:pPr>
            <w:r/>
            <w:r>
              <w:rPr>
                <w:rFonts w:ascii="Arial" w:hAnsi="Arial" w:cs="Arial"/>
                <w:b w:val="0"/>
                <w:sz w:val="17"/>
              </w:rPr>
              <w:t>err.aadhaar.format</w:t>
            </w:r>
          </w:p>
        </w:tc>
        <w:tc>
          <w:tcPr>
            <w:tcW w:w="650" w:type="dxa"/>
          </w:tcPr>
          <w:p>
            <w:pPr>
              <w:spacing w:after="0" w:before="0"/>
            </w:pPr>
            <w:r/>
            <w:r>
              <w:rPr>
                <w:rFonts w:ascii="Arial" w:hAnsi="Arial" w:cs="Arial"/>
                <w:b w:val="0"/>
                <w:sz w:val="17"/>
              </w:rPr>
              <w:t>422</w:t>
            </w:r>
          </w:p>
        </w:tc>
      </w:tr>
      <w:tr>
        <w:tc>
          <w:tcPr>
            <w:tcW w:w="1700" w:type="dxa"/>
          </w:tcPr>
          <w:p>
            <w:pPr>
              <w:spacing w:after="0" w:before="0"/>
            </w:pPr>
            <w:r/>
            <w:r>
              <w:rPr>
                <w:rFonts w:ascii="Arial" w:hAnsi="Arial" w:cs="Arial"/>
                <w:b w:val="0"/>
                <w:sz w:val="17"/>
              </w:rPr>
              <w:t>VAL_IFSC</w:t>
            </w:r>
          </w:p>
        </w:tc>
        <w:tc>
          <w:tcPr>
            <w:tcW w:w="1700" w:type="dxa"/>
          </w:tcPr>
          <w:p>
            <w:pPr>
              <w:spacing w:after="0" w:before="0"/>
            </w:pPr>
            <w:r/>
            <w:r>
              <w:rPr>
                <w:rFonts w:ascii="Arial" w:hAnsi="Arial" w:cs="Arial"/>
                <w:b w:val="0"/>
                <w:sz w:val="17"/>
              </w:rPr>
              <w:t>IFSC</w:t>
            </w:r>
          </w:p>
        </w:tc>
        <w:tc>
          <w:tcPr>
            <w:tcW w:w="2760" w:type="dxa"/>
          </w:tcPr>
          <w:p>
            <w:pPr>
              <w:spacing w:after="0" w:before="0"/>
            </w:pPr>
            <w:r/>
            <w:r>
              <w:rPr>
                <w:rFonts w:ascii="Arial" w:hAnsi="Arial" w:cs="Arial"/>
                <w:b w:val="0"/>
                <w:sz w:val="17"/>
              </w:rPr>
              <w:t>Enter a valid IFSC.</w:t>
            </w:r>
          </w:p>
        </w:tc>
        <w:tc>
          <w:tcPr>
            <w:tcW w:w="1400" w:type="dxa"/>
          </w:tcPr>
          <w:p>
            <w:pPr>
              <w:spacing w:after="0" w:before="0"/>
            </w:pPr>
            <w:r/>
            <w:r>
              <w:rPr>
                <w:rFonts w:ascii="Arial" w:hAnsi="Arial" w:cs="Arial"/>
                <w:b w:val="0"/>
                <w:sz w:val="17"/>
              </w:rPr>
              <w:t>err.ifsc.format</w:t>
            </w:r>
          </w:p>
        </w:tc>
        <w:tc>
          <w:tcPr>
            <w:tcW w:w="650" w:type="dxa"/>
          </w:tcPr>
          <w:p>
            <w:pPr>
              <w:spacing w:after="0" w:before="0"/>
            </w:pPr>
            <w:r/>
            <w:r>
              <w:rPr>
                <w:rFonts w:ascii="Arial" w:hAnsi="Arial" w:cs="Arial"/>
                <w:b w:val="0"/>
                <w:sz w:val="17"/>
              </w:rPr>
              <w:t>422</w:t>
            </w:r>
          </w:p>
        </w:tc>
      </w:tr>
      <w:tr>
        <w:tc>
          <w:tcPr>
            <w:tcW w:w="1700" w:type="dxa"/>
          </w:tcPr>
          <w:p>
            <w:pPr>
              <w:spacing w:after="0" w:before="0"/>
            </w:pPr>
            <w:r/>
            <w:r>
              <w:rPr>
                <w:rFonts w:ascii="Arial" w:hAnsi="Arial" w:cs="Arial"/>
                <w:b w:val="0"/>
                <w:sz w:val="17"/>
              </w:rPr>
              <w:t>VAL_MOBILE_OTP</w:t>
            </w:r>
          </w:p>
        </w:tc>
        <w:tc>
          <w:tcPr>
            <w:tcW w:w="1700" w:type="dxa"/>
          </w:tcPr>
          <w:p>
            <w:pPr>
              <w:spacing w:after="0" w:before="0"/>
            </w:pPr>
            <w:r/>
            <w:r>
              <w:rPr>
                <w:rFonts w:ascii="Arial" w:hAnsi="Arial" w:cs="Arial"/>
                <w:b w:val="0"/>
                <w:sz w:val="17"/>
              </w:rPr>
              <w:t>Mobile OTP</w:t>
            </w:r>
          </w:p>
        </w:tc>
        <w:tc>
          <w:tcPr>
            <w:tcW w:w="2760" w:type="dxa"/>
          </w:tcPr>
          <w:p>
            <w:pPr>
              <w:spacing w:after="0" w:before="0"/>
            </w:pPr>
            <w:r/>
            <w:r>
              <w:rPr>
                <w:rFonts w:ascii="Arial" w:hAnsi="Arial" w:cs="Arial"/>
                <w:b w:val="0"/>
                <w:sz w:val="17"/>
              </w:rPr>
              <w:t>Mobile number not verified.</w:t>
            </w:r>
          </w:p>
        </w:tc>
        <w:tc>
          <w:tcPr>
            <w:tcW w:w="1400" w:type="dxa"/>
          </w:tcPr>
          <w:p>
            <w:pPr>
              <w:spacing w:after="0" w:before="0"/>
            </w:pPr>
            <w:r/>
            <w:r>
              <w:rPr>
                <w:rFonts w:ascii="Arial" w:hAnsi="Arial" w:cs="Arial"/>
                <w:b w:val="0"/>
                <w:sz w:val="17"/>
              </w:rPr>
              <w:t>err.mobile.otp</w:t>
            </w:r>
          </w:p>
        </w:tc>
        <w:tc>
          <w:tcPr>
            <w:tcW w:w="650" w:type="dxa"/>
          </w:tcPr>
          <w:p>
            <w:pPr>
              <w:spacing w:after="0" w:before="0"/>
            </w:pPr>
            <w:r/>
            <w:r>
              <w:rPr>
                <w:rFonts w:ascii="Arial" w:hAnsi="Arial" w:cs="Arial"/>
                <w:b w:val="0"/>
                <w:sz w:val="17"/>
              </w:rPr>
              <w:t>422</w:t>
            </w:r>
          </w:p>
        </w:tc>
      </w:tr>
      <w:tr>
        <w:tc>
          <w:tcPr>
            <w:tcW w:w="1700" w:type="dxa"/>
          </w:tcPr>
          <w:p>
            <w:pPr>
              <w:spacing w:after="0" w:before="0"/>
            </w:pPr>
            <w:r/>
            <w:r>
              <w:rPr>
                <w:rFonts w:ascii="Arial" w:hAnsi="Arial" w:cs="Arial"/>
                <w:b w:val="0"/>
                <w:sz w:val="17"/>
              </w:rPr>
              <w:t>BR_FOIR</w:t>
            </w:r>
          </w:p>
        </w:tc>
        <w:tc>
          <w:tcPr>
            <w:tcW w:w="1700" w:type="dxa"/>
          </w:tcPr>
          <w:p>
            <w:pPr>
              <w:spacing w:after="0" w:before="0"/>
            </w:pPr>
            <w:r/>
            <w:r>
              <w:rPr>
                <w:rFonts w:ascii="Arial" w:hAnsi="Arial" w:cs="Arial"/>
                <w:b w:val="0"/>
                <w:sz w:val="17"/>
              </w:rPr>
              <w:t>FOIR cap</w:t>
            </w:r>
          </w:p>
        </w:tc>
        <w:tc>
          <w:tcPr>
            <w:tcW w:w="2760" w:type="dxa"/>
          </w:tcPr>
          <w:p>
            <w:pPr>
              <w:spacing w:after="0" w:before="0"/>
            </w:pPr>
            <w:r/>
            <w:r>
              <w:rPr>
                <w:rFonts w:ascii="Arial" w:hAnsi="Arial" w:cs="Arial"/>
                <w:b w:val="0"/>
                <w:sz w:val="17"/>
              </w:rPr>
              <w:t>Obligations exceed the permitted FOIR.</w:t>
            </w:r>
          </w:p>
        </w:tc>
        <w:tc>
          <w:tcPr>
            <w:tcW w:w="1400" w:type="dxa"/>
          </w:tcPr>
          <w:p>
            <w:pPr>
              <w:spacing w:after="0" w:before="0"/>
            </w:pPr>
            <w:r/>
            <w:r>
              <w:rPr>
                <w:rFonts w:ascii="Arial" w:hAnsi="Arial" w:cs="Arial"/>
                <w:b w:val="0"/>
                <w:sz w:val="17"/>
              </w:rPr>
              <w:t>err.foir.exceeded</w:t>
            </w:r>
          </w:p>
        </w:tc>
        <w:tc>
          <w:tcPr>
            <w:tcW w:w="650" w:type="dxa"/>
          </w:tcPr>
          <w:p>
            <w:pPr>
              <w:spacing w:after="0" w:before="0"/>
            </w:pPr>
            <w:r/>
            <w:r>
              <w:rPr>
                <w:rFonts w:ascii="Arial" w:hAnsi="Arial" w:cs="Arial"/>
                <w:b w:val="0"/>
                <w:sz w:val="17"/>
              </w:rPr>
              <w:t>422</w:t>
            </w:r>
          </w:p>
        </w:tc>
      </w:tr>
      <w:tr>
        <w:tc>
          <w:tcPr>
            <w:tcW w:w="1700" w:type="dxa"/>
          </w:tcPr>
          <w:p>
            <w:pPr>
              <w:spacing w:after="0" w:before="0"/>
            </w:pPr>
            <w:r/>
            <w:r>
              <w:rPr>
                <w:rFonts w:ascii="Arial" w:hAnsi="Arial" w:cs="Arial"/>
                <w:b w:val="0"/>
                <w:sz w:val="17"/>
              </w:rPr>
              <w:t>BR_LTV</w:t>
            </w:r>
          </w:p>
        </w:tc>
        <w:tc>
          <w:tcPr>
            <w:tcW w:w="1700" w:type="dxa"/>
          </w:tcPr>
          <w:p>
            <w:pPr>
              <w:spacing w:after="0" w:before="0"/>
            </w:pPr>
            <w:r/>
            <w:r>
              <w:rPr>
                <w:rFonts w:ascii="Arial" w:hAnsi="Arial" w:cs="Arial"/>
                <w:b w:val="0"/>
                <w:sz w:val="17"/>
              </w:rPr>
              <w:t>LTV cap</w:t>
            </w:r>
          </w:p>
        </w:tc>
        <w:tc>
          <w:tcPr>
            <w:tcW w:w="2760" w:type="dxa"/>
          </w:tcPr>
          <w:p>
            <w:pPr>
              <w:spacing w:after="0" w:before="0"/>
            </w:pPr>
            <w:r/>
            <w:r>
              <w:rPr>
                <w:rFonts w:ascii="Arial" w:hAnsi="Arial" w:cs="Arial"/>
                <w:b w:val="0"/>
                <w:sz w:val="17"/>
              </w:rPr>
              <w:t>Requested amount exceeds the LTV limit.</w:t>
            </w:r>
          </w:p>
        </w:tc>
        <w:tc>
          <w:tcPr>
            <w:tcW w:w="1400" w:type="dxa"/>
          </w:tcPr>
          <w:p>
            <w:pPr>
              <w:spacing w:after="0" w:before="0"/>
            </w:pPr>
            <w:r/>
            <w:r>
              <w:rPr>
                <w:rFonts w:ascii="Arial" w:hAnsi="Arial" w:cs="Arial"/>
                <w:b w:val="0"/>
                <w:sz w:val="17"/>
              </w:rPr>
              <w:t>err.ltv.exceeded</w:t>
            </w:r>
          </w:p>
        </w:tc>
        <w:tc>
          <w:tcPr>
            <w:tcW w:w="650" w:type="dxa"/>
          </w:tcPr>
          <w:p>
            <w:pPr>
              <w:spacing w:after="0" w:before="0"/>
            </w:pPr>
            <w:r/>
            <w:r>
              <w:rPr>
                <w:rFonts w:ascii="Arial" w:hAnsi="Arial" w:cs="Arial"/>
                <w:b w:val="0"/>
                <w:sz w:val="17"/>
              </w:rPr>
              <w:t>422</w:t>
            </w:r>
          </w:p>
        </w:tc>
      </w:tr>
      <w:tr>
        <w:tc>
          <w:tcPr>
            <w:tcW w:w="1700" w:type="dxa"/>
          </w:tcPr>
          <w:p>
            <w:pPr>
              <w:spacing w:after="0" w:before="0"/>
            </w:pPr>
            <w:r/>
            <w:r>
              <w:rPr>
                <w:rFonts w:ascii="Arial" w:hAnsi="Arial" w:cs="Arial"/>
                <w:b w:val="0"/>
                <w:sz w:val="17"/>
              </w:rPr>
              <w:t>BR_DP</w:t>
            </w:r>
          </w:p>
        </w:tc>
        <w:tc>
          <w:tcPr>
            <w:tcW w:w="1700" w:type="dxa"/>
          </w:tcPr>
          <w:p>
            <w:pPr>
              <w:spacing w:after="0" w:before="0"/>
            </w:pPr>
            <w:r/>
            <w:r>
              <w:rPr>
                <w:rFonts w:ascii="Arial" w:hAnsi="Arial" w:cs="Arial"/>
                <w:b w:val="0"/>
                <w:sz w:val="17"/>
              </w:rPr>
              <w:t>Drawing power</w:t>
            </w:r>
          </w:p>
        </w:tc>
        <w:tc>
          <w:tcPr>
            <w:tcW w:w="2760" w:type="dxa"/>
          </w:tcPr>
          <w:p>
            <w:pPr>
              <w:spacing w:after="0" w:before="0"/>
            </w:pPr>
            <w:r/>
            <w:r>
              <w:rPr>
                <w:rFonts w:ascii="Arial" w:hAnsi="Arial" w:cs="Arial"/>
                <w:b w:val="0"/>
                <w:sz w:val="17"/>
              </w:rPr>
              <w:t>Requested limit exceeds drawing power.</w:t>
            </w:r>
          </w:p>
        </w:tc>
        <w:tc>
          <w:tcPr>
            <w:tcW w:w="1400" w:type="dxa"/>
          </w:tcPr>
          <w:p>
            <w:pPr>
              <w:spacing w:after="0" w:before="0"/>
            </w:pPr>
            <w:r/>
            <w:r>
              <w:rPr>
                <w:rFonts w:ascii="Arial" w:hAnsi="Arial" w:cs="Arial"/>
                <w:b w:val="0"/>
                <w:sz w:val="17"/>
              </w:rPr>
              <w:t>err.dp.exceeded</w:t>
            </w:r>
          </w:p>
        </w:tc>
        <w:tc>
          <w:tcPr>
            <w:tcW w:w="650" w:type="dxa"/>
          </w:tcPr>
          <w:p>
            <w:pPr>
              <w:spacing w:after="0" w:before="0"/>
            </w:pPr>
            <w:r/>
            <w:r>
              <w:rPr>
                <w:rFonts w:ascii="Arial" w:hAnsi="Arial" w:cs="Arial"/>
                <w:b w:val="0"/>
                <w:sz w:val="17"/>
              </w:rPr>
              <w:t>422</w:t>
            </w:r>
          </w:p>
        </w:tc>
      </w:tr>
      <w:tr>
        <w:tc>
          <w:tcPr>
            <w:tcW w:w="1700" w:type="dxa"/>
          </w:tcPr>
          <w:p>
            <w:pPr>
              <w:spacing w:after="0" w:before="0"/>
            </w:pPr>
            <w:r/>
            <w:r>
              <w:rPr>
                <w:rFonts w:ascii="Arial" w:hAnsi="Arial" w:cs="Arial"/>
                <w:b w:val="0"/>
                <w:sz w:val="17"/>
              </w:rPr>
              <w:t>BR_DOA</w:t>
            </w:r>
          </w:p>
        </w:tc>
        <w:tc>
          <w:tcPr>
            <w:tcW w:w="1700" w:type="dxa"/>
          </w:tcPr>
          <w:p>
            <w:pPr>
              <w:spacing w:after="0" w:before="0"/>
            </w:pPr>
            <w:r/>
            <w:r>
              <w:rPr>
                <w:rFonts w:ascii="Arial" w:hAnsi="Arial" w:cs="Arial"/>
                <w:b w:val="0"/>
                <w:sz w:val="17"/>
              </w:rPr>
              <w:t>Delegated authority</w:t>
            </w:r>
          </w:p>
        </w:tc>
        <w:tc>
          <w:tcPr>
            <w:tcW w:w="2760" w:type="dxa"/>
          </w:tcPr>
          <w:p>
            <w:pPr>
              <w:spacing w:after="0" w:before="0"/>
            </w:pPr>
            <w:r/>
            <w:r>
              <w:rPr>
                <w:rFonts w:ascii="Arial" w:hAnsi="Arial" w:cs="Arial"/>
                <w:b w:val="0"/>
                <w:sz w:val="17"/>
              </w:rPr>
              <w:t>Amount is beyond your approval authority.</w:t>
            </w:r>
          </w:p>
        </w:tc>
        <w:tc>
          <w:tcPr>
            <w:tcW w:w="1400" w:type="dxa"/>
          </w:tcPr>
          <w:p>
            <w:pPr>
              <w:spacing w:after="0" w:before="0"/>
            </w:pPr>
            <w:r/>
            <w:r>
              <w:rPr>
                <w:rFonts w:ascii="Arial" w:hAnsi="Arial" w:cs="Arial"/>
                <w:b w:val="0"/>
                <w:sz w:val="17"/>
              </w:rPr>
              <w:t>err.doa.exceeded</w:t>
            </w:r>
          </w:p>
        </w:tc>
        <w:tc>
          <w:tcPr>
            <w:tcW w:w="650" w:type="dxa"/>
          </w:tcPr>
          <w:p>
            <w:pPr>
              <w:spacing w:after="0" w:before="0"/>
            </w:pPr>
            <w:r/>
            <w:r>
              <w:rPr>
                <w:rFonts w:ascii="Arial" w:hAnsi="Arial" w:cs="Arial"/>
                <w:b w:val="0"/>
                <w:sz w:val="17"/>
              </w:rPr>
              <w:t>403</w:t>
            </w:r>
          </w:p>
        </w:tc>
      </w:tr>
      <w:tr>
        <w:tc>
          <w:tcPr>
            <w:tcW w:w="1700" w:type="dxa"/>
          </w:tcPr>
          <w:p>
            <w:pPr>
              <w:spacing w:after="0" w:before="0"/>
            </w:pPr>
            <w:r/>
            <w:r>
              <w:rPr>
                <w:rFonts w:ascii="Arial" w:hAnsi="Arial" w:cs="Arial"/>
                <w:b w:val="0"/>
                <w:sz w:val="17"/>
              </w:rPr>
              <w:t>BR_COND_PENDING</w:t>
            </w:r>
          </w:p>
        </w:tc>
        <w:tc>
          <w:tcPr>
            <w:tcW w:w="1700" w:type="dxa"/>
          </w:tcPr>
          <w:p>
            <w:pPr>
              <w:spacing w:after="0" w:before="0"/>
            </w:pPr>
            <w:r/>
            <w:r>
              <w:rPr>
                <w:rFonts w:ascii="Arial" w:hAnsi="Arial" w:cs="Arial"/>
                <w:b w:val="0"/>
                <w:sz w:val="17"/>
              </w:rPr>
              <w:t>Sanction condition</w:t>
            </w:r>
          </w:p>
        </w:tc>
        <w:tc>
          <w:tcPr>
            <w:tcW w:w="2760" w:type="dxa"/>
          </w:tcPr>
          <w:p>
            <w:pPr>
              <w:spacing w:after="0" w:before="0"/>
            </w:pPr>
            <w:r/>
            <w:r>
              <w:rPr>
                <w:rFonts w:ascii="Arial" w:hAnsi="Arial" w:cs="Arial"/>
                <w:b w:val="0"/>
                <w:sz w:val="17"/>
              </w:rPr>
              <w:t>Disbursement blocked: pending conditions.</w:t>
            </w:r>
          </w:p>
        </w:tc>
        <w:tc>
          <w:tcPr>
            <w:tcW w:w="1400" w:type="dxa"/>
          </w:tcPr>
          <w:p>
            <w:pPr>
              <w:spacing w:after="0" w:before="0"/>
            </w:pPr>
            <w:r/>
            <w:r>
              <w:rPr>
                <w:rFonts w:ascii="Arial" w:hAnsi="Arial" w:cs="Arial"/>
                <w:b w:val="0"/>
                <w:sz w:val="17"/>
              </w:rPr>
              <w:t>err.condition.pending</w:t>
            </w:r>
          </w:p>
        </w:tc>
        <w:tc>
          <w:tcPr>
            <w:tcW w:w="650" w:type="dxa"/>
          </w:tcPr>
          <w:p>
            <w:pPr>
              <w:spacing w:after="0" w:before="0"/>
            </w:pPr>
            <w:r/>
            <w:r>
              <w:rPr>
                <w:rFonts w:ascii="Arial" w:hAnsi="Arial" w:cs="Arial"/>
                <w:b w:val="0"/>
                <w:sz w:val="17"/>
              </w:rPr>
              <w:t>422</w:t>
            </w:r>
          </w:p>
        </w:tc>
      </w:tr>
      <w:tr>
        <w:tc>
          <w:tcPr>
            <w:tcW w:w="1700" w:type="dxa"/>
          </w:tcPr>
          <w:p>
            <w:pPr>
              <w:spacing w:after="0" w:before="0"/>
            </w:pPr>
            <w:r/>
            <w:r>
              <w:rPr>
                <w:rFonts w:ascii="Arial" w:hAnsi="Arial" w:cs="Arial"/>
                <w:b w:val="0"/>
                <w:sz w:val="17"/>
              </w:rPr>
              <w:t>IDEMPOTENT_CONFLICT</w:t>
            </w:r>
          </w:p>
        </w:tc>
        <w:tc>
          <w:tcPr>
            <w:tcW w:w="1700" w:type="dxa"/>
          </w:tcPr>
          <w:p>
            <w:pPr>
              <w:spacing w:after="0" w:before="0"/>
            </w:pPr>
            <w:r/>
            <w:r>
              <w:rPr>
                <w:rFonts w:ascii="Arial" w:hAnsi="Arial" w:cs="Arial"/>
                <w:b w:val="0"/>
                <w:sz w:val="17"/>
              </w:rPr>
              <w:t>Idempotency</w:t>
            </w:r>
          </w:p>
        </w:tc>
        <w:tc>
          <w:tcPr>
            <w:tcW w:w="2760" w:type="dxa"/>
          </w:tcPr>
          <w:p>
            <w:pPr>
              <w:spacing w:after="0" w:before="0"/>
            </w:pPr>
            <w:r/>
            <w:r>
              <w:rPr>
                <w:rFonts w:ascii="Arial" w:hAnsi="Arial" w:cs="Arial"/>
                <w:b w:val="0"/>
                <w:sz w:val="17"/>
              </w:rPr>
              <w:t>Duplicate request with a different body.</w:t>
            </w:r>
          </w:p>
        </w:tc>
        <w:tc>
          <w:tcPr>
            <w:tcW w:w="1400" w:type="dxa"/>
          </w:tcPr>
          <w:p>
            <w:pPr>
              <w:spacing w:after="0" w:before="0"/>
            </w:pPr>
            <w:r/>
            <w:r>
              <w:rPr>
                <w:rFonts w:ascii="Arial" w:hAnsi="Arial" w:cs="Arial"/>
                <w:b w:val="0"/>
                <w:sz w:val="17"/>
              </w:rPr>
              <w:t>err.idempotency.conflict</w:t>
            </w:r>
          </w:p>
        </w:tc>
        <w:tc>
          <w:tcPr>
            <w:tcW w:w="650" w:type="dxa"/>
          </w:tcPr>
          <w:p>
            <w:pPr>
              <w:spacing w:after="0" w:before="0"/>
            </w:pPr>
            <w:r/>
            <w:r>
              <w:rPr>
                <w:rFonts w:ascii="Arial" w:hAnsi="Arial" w:cs="Arial"/>
                <w:b w:val="0"/>
                <w:sz w:val="17"/>
              </w:rPr>
              <w:t>409</w:t>
            </w:r>
          </w:p>
        </w:tc>
      </w:tr>
      <w:tr>
        <w:tc>
          <w:tcPr>
            <w:tcW w:w="1700" w:type="dxa"/>
          </w:tcPr>
          <w:p>
            <w:pPr>
              <w:spacing w:after="0" w:before="0"/>
            </w:pPr>
            <w:r/>
            <w:r>
              <w:rPr>
                <w:rFonts w:ascii="Arial" w:hAnsi="Arial" w:cs="Arial"/>
                <w:b w:val="0"/>
                <w:sz w:val="17"/>
              </w:rPr>
              <w:t>RATE_LIMIT</w:t>
            </w:r>
          </w:p>
        </w:tc>
        <w:tc>
          <w:tcPr>
            <w:tcW w:w="1700" w:type="dxa"/>
          </w:tcPr>
          <w:p>
            <w:pPr>
              <w:spacing w:after="0" w:before="0"/>
            </w:pPr>
            <w:r/>
            <w:r>
              <w:rPr>
                <w:rFonts w:ascii="Arial" w:hAnsi="Arial" w:cs="Arial"/>
                <w:b w:val="0"/>
                <w:sz w:val="17"/>
              </w:rPr>
              <w:t>Throttling</w:t>
            </w:r>
          </w:p>
        </w:tc>
        <w:tc>
          <w:tcPr>
            <w:tcW w:w="2760" w:type="dxa"/>
          </w:tcPr>
          <w:p>
            <w:pPr>
              <w:spacing w:after="0" w:before="0"/>
            </w:pPr>
            <w:r/>
            <w:r>
              <w:rPr>
                <w:rFonts w:ascii="Arial" w:hAnsi="Arial" w:cs="Arial"/>
                <w:b w:val="0"/>
                <w:sz w:val="17"/>
              </w:rPr>
              <w:t>Too many requests; retry later.</w:t>
            </w:r>
          </w:p>
        </w:tc>
        <w:tc>
          <w:tcPr>
            <w:tcW w:w="1400" w:type="dxa"/>
          </w:tcPr>
          <w:p>
            <w:pPr>
              <w:spacing w:after="0" w:before="0"/>
            </w:pPr>
            <w:r/>
            <w:r>
              <w:rPr>
                <w:rFonts w:ascii="Arial" w:hAnsi="Arial" w:cs="Arial"/>
                <w:b w:val="0"/>
                <w:sz w:val="17"/>
              </w:rPr>
              <w:t>err.rate.limited</w:t>
            </w:r>
          </w:p>
        </w:tc>
        <w:tc>
          <w:tcPr>
            <w:tcW w:w="650" w:type="dxa"/>
          </w:tcPr>
          <w:p>
            <w:pPr>
              <w:spacing w:after="0" w:before="0"/>
            </w:pPr>
            <w:r/>
            <w:r>
              <w:rPr>
                <w:rFonts w:ascii="Arial" w:hAnsi="Arial" w:cs="Arial"/>
                <w:b w:val="0"/>
                <w:sz w:val="17"/>
              </w:rPr>
              <w:t>429</w:t>
            </w:r>
          </w:p>
        </w:tc>
      </w:tr>
    </w:tbl>
    <w:p/>
    <w:p>
      <w:pPr>
        <w:pStyle w:val="Heading1"/>
      </w:pPr>
      <w:r>
        <w:t>77. Entity State-Transition Tables</w:t>
      </w:r>
    </w:p>
    <w:p>
      <w:r>
        <w:rPr>
          <w:rFonts w:ascii="Arial" w:hAnsi="Arial" w:cs="Arial"/>
          <w:b w:val="0"/>
          <w:i w:val="0"/>
          <w:sz w:val="22"/>
        </w:rPr>
        <w:t>The state machines in Section 25.2 and diagrams §44.8–44.9, expressed as implementable transition tables. Each row: current state, event, guard (precondition), next state, side-effects. Illegal transitions are rejected.</w:t>
      </w:r>
    </w:p>
    <w:p>
      <w:pPr>
        <w:pStyle w:val="Heading2"/>
      </w:pPr>
      <w:r>
        <w:t>77.1 Application</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500"/>
        <w:gridCol w:w="1300"/>
        <w:gridCol w:w="2100"/>
        <w:gridCol w:w="1600"/>
        <w:gridCol w:w="2860"/>
      </w:tblGrid>
      <w:tr>
        <w:tc>
          <w:tcPr>
            <w:tcW w:w="1500" w:type="dxa"/>
            <w:shd w:val="clear" w:color="auto" w:fill="1F4E78"/>
          </w:tcPr>
          <w:p>
            <w:pPr>
              <w:spacing w:after="0" w:before="0"/>
            </w:pPr>
            <w:r/>
            <w:r>
              <w:rPr>
                <w:rFonts w:ascii="Arial" w:hAnsi="Arial" w:cs="Arial"/>
                <w:b/>
                <w:color w:val="FFFFFF"/>
                <w:sz w:val="17"/>
              </w:rPr>
              <w:t>From</w:t>
            </w:r>
          </w:p>
        </w:tc>
        <w:tc>
          <w:tcPr>
            <w:tcW w:w="1300" w:type="dxa"/>
            <w:shd w:val="clear" w:color="auto" w:fill="1F4E78"/>
          </w:tcPr>
          <w:p>
            <w:pPr>
              <w:spacing w:after="0" w:before="0"/>
            </w:pPr>
            <w:r/>
            <w:r>
              <w:rPr>
                <w:rFonts w:ascii="Arial" w:hAnsi="Arial" w:cs="Arial"/>
                <w:b/>
                <w:color w:val="FFFFFF"/>
                <w:sz w:val="17"/>
              </w:rPr>
              <w:t>Event</w:t>
            </w:r>
          </w:p>
        </w:tc>
        <w:tc>
          <w:tcPr>
            <w:tcW w:w="2100" w:type="dxa"/>
            <w:shd w:val="clear" w:color="auto" w:fill="1F4E78"/>
          </w:tcPr>
          <w:p>
            <w:pPr>
              <w:spacing w:after="0" w:before="0"/>
            </w:pPr>
            <w:r/>
            <w:r>
              <w:rPr>
                <w:rFonts w:ascii="Arial" w:hAnsi="Arial" w:cs="Arial"/>
                <w:b/>
                <w:color w:val="FFFFFF"/>
                <w:sz w:val="17"/>
              </w:rPr>
              <w:t>Guard</w:t>
            </w:r>
          </w:p>
        </w:tc>
        <w:tc>
          <w:tcPr>
            <w:tcW w:w="1600" w:type="dxa"/>
            <w:shd w:val="clear" w:color="auto" w:fill="1F4E78"/>
          </w:tcPr>
          <w:p>
            <w:pPr>
              <w:spacing w:after="0" w:before="0"/>
            </w:pPr>
            <w:r/>
            <w:r>
              <w:rPr>
                <w:rFonts w:ascii="Arial" w:hAnsi="Arial" w:cs="Arial"/>
                <w:b/>
                <w:color w:val="FFFFFF"/>
                <w:sz w:val="17"/>
              </w:rPr>
              <w:t>To</w:t>
            </w:r>
          </w:p>
        </w:tc>
        <w:tc>
          <w:tcPr>
            <w:tcW w:w="2860" w:type="dxa"/>
            <w:shd w:val="clear" w:color="auto" w:fill="1F4E78"/>
          </w:tcPr>
          <w:p>
            <w:pPr>
              <w:spacing w:after="0" w:before="0"/>
            </w:pPr>
            <w:r/>
            <w:r>
              <w:rPr>
                <w:rFonts w:ascii="Arial" w:hAnsi="Arial" w:cs="Arial"/>
                <w:b/>
                <w:color w:val="FFFFFF"/>
                <w:sz w:val="17"/>
              </w:rPr>
              <w:t>Side-effects</w:t>
            </w:r>
          </w:p>
        </w:tc>
      </w:tr>
      <w:tr>
        <w:tc>
          <w:tcPr>
            <w:tcW w:w="1500" w:type="dxa"/>
          </w:tcPr>
          <w:p>
            <w:pPr>
              <w:spacing w:after="0" w:before="0"/>
            </w:pPr>
            <w:r/>
            <w:r>
              <w:rPr>
                <w:rFonts w:ascii="Arial" w:hAnsi="Arial" w:cs="Arial"/>
                <w:b w:val="0"/>
                <w:sz w:val="17"/>
              </w:rPr>
              <w:t>DRAFT</w:t>
            </w:r>
          </w:p>
        </w:tc>
        <w:tc>
          <w:tcPr>
            <w:tcW w:w="1300" w:type="dxa"/>
          </w:tcPr>
          <w:p>
            <w:pPr>
              <w:spacing w:after="0" w:before="0"/>
            </w:pPr>
            <w:r/>
            <w:r>
              <w:rPr>
                <w:rFonts w:ascii="Arial" w:hAnsi="Arial" w:cs="Arial"/>
                <w:b w:val="0"/>
                <w:sz w:val="17"/>
              </w:rPr>
              <w:t>submit</w:t>
            </w:r>
          </w:p>
        </w:tc>
        <w:tc>
          <w:tcPr>
            <w:tcW w:w="2100" w:type="dxa"/>
          </w:tcPr>
          <w:p>
            <w:pPr>
              <w:spacing w:after="0" w:before="0"/>
            </w:pPr>
            <w:r/>
            <w:r>
              <w:rPr>
                <w:rFonts w:ascii="Arial" w:hAnsi="Arial" w:cs="Arial"/>
                <w:b w:val="0"/>
                <w:sz w:val="17"/>
              </w:rPr>
              <w:t>required fields valid</w:t>
            </w:r>
          </w:p>
        </w:tc>
        <w:tc>
          <w:tcPr>
            <w:tcW w:w="1600" w:type="dxa"/>
          </w:tcPr>
          <w:p>
            <w:pPr>
              <w:spacing w:after="0" w:before="0"/>
            </w:pPr>
            <w:r/>
            <w:r>
              <w:rPr>
                <w:rFonts w:ascii="Arial" w:hAnsi="Arial" w:cs="Arial"/>
                <w:b w:val="0"/>
                <w:sz w:val="17"/>
              </w:rPr>
              <w:t>SUBMITTED</w:t>
            </w:r>
          </w:p>
        </w:tc>
        <w:tc>
          <w:tcPr>
            <w:tcW w:w="2860" w:type="dxa"/>
          </w:tcPr>
          <w:p>
            <w:pPr>
              <w:spacing w:after="0" w:before="0"/>
            </w:pPr>
            <w:r/>
            <w:r>
              <w:rPr>
                <w:rFonts w:ascii="Arial" w:hAnsi="Arial" w:cs="Arial"/>
                <w:b w:val="0"/>
                <w:sz w:val="17"/>
              </w:rPr>
              <w:t>create application record</w:t>
            </w:r>
          </w:p>
        </w:tc>
      </w:tr>
      <w:tr>
        <w:tc>
          <w:tcPr>
            <w:tcW w:w="1500" w:type="dxa"/>
          </w:tcPr>
          <w:p>
            <w:pPr>
              <w:spacing w:after="0" w:before="0"/>
            </w:pPr>
            <w:r/>
            <w:r>
              <w:rPr>
                <w:rFonts w:ascii="Arial" w:hAnsi="Arial" w:cs="Arial"/>
                <w:b w:val="0"/>
                <w:sz w:val="17"/>
              </w:rPr>
              <w:t>SUBMITTED</w:t>
            </w:r>
          </w:p>
        </w:tc>
        <w:tc>
          <w:tcPr>
            <w:tcW w:w="1300" w:type="dxa"/>
          </w:tcPr>
          <w:p>
            <w:pPr>
              <w:spacing w:after="0" w:before="0"/>
            </w:pPr>
            <w:r/>
            <w:r>
              <w:rPr>
                <w:rFonts w:ascii="Arial" w:hAnsi="Arial" w:cs="Arial"/>
                <w:b w:val="0"/>
                <w:sz w:val="17"/>
              </w:rPr>
              <w:t>requestDocs</w:t>
            </w:r>
          </w:p>
        </w:tc>
        <w:tc>
          <w:tcPr>
            <w:tcW w:w="2100" w:type="dxa"/>
          </w:tcPr>
          <w:p>
            <w:pPr>
              <w:spacing w:after="0" w:before="0"/>
            </w:pPr>
            <w:r/>
            <w:r>
              <w:rPr>
                <w:rFonts w:ascii="Arial" w:hAnsi="Arial" w:cs="Arial"/>
                <w:b w:val="0"/>
                <w:sz w:val="17"/>
              </w:rPr>
              <w:t>—</w:t>
            </w:r>
          </w:p>
        </w:tc>
        <w:tc>
          <w:tcPr>
            <w:tcW w:w="1600" w:type="dxa"/>
          </w:tcPr>
          <w:p>
            <w:pPr>
              <w:spacing w:after="0" w:before="0"/>
            </w:pPr>
            <w:r/>
            <w:r>
              <w:rPr>
                <w:rFonts w:ascii="Arial" w:hAnsi="Arial" w:cs="Arial"/>
                <w:b w:val="0"/>
                <w:sz w:val="17"/>
              </w:rPr>
              <w:t>DOCS_PENDING</w:t>
            </w:r>
          </w:p>
        </w:tc>
        <w:tc>
          <w:tcPr>
            <w:tcW w:w="2860" w:type="dxa"/>
          </w:tcPr>
          <w:p>
            <w:pPr>
              <w:spacing w:after="0" w:before="0"/>
            </w:pPr>
            <w:r/>
            <w:r>
              <w:rPr>
                <w:rFonts w:ascii="Arial" w:hAnsi="Arial" w:cs="Arial"/>
                <w:b w:val="0"/>
                <w:sz w:val="17"/>
              </w:rPr>
              <w:t>generate checklist</w:t>
            </w:r>
          </w:p>
        </w:tc>
      </w:tr>
      <w:tr>
        <w:tc>
          <w:tcPr>
            <w:tcW w:w="1500" w:type="dxa"/>
          </w:tcPr>
          <w:p>
            <w:pPr>
              <w:spacing w:after="0" w:before="0"/>
            </w:pPr>
            <w:r/>
            <w:r>
              <w:rPr>
                <w:rFonts w:ascii="Arial" w:hAnsi="Arial" w:cs="Arial"/>
                <w:b w:val="0"/>
                <w:sz w:val="17"/>
              </w:rPr>
              <w:t>DOCS_PENDING</w:t>
            </w:r>
          </w:p>
        </w:tc>
        <w:tc>
          <w:tcPr>
            <w:tcW w:w="1300" w:type="dxa"/>
          </w:tcPr>
          <w:p>
            <w:pPr>
              <w:spacing w:after="0" w:before="0"/>
            </w:pPr>
            <w:r/>
            <w:r>
              <w:rPr>
                <w:rFonts w:ascii="Arial" w:hAnsi="Arial" w:cs="Arial"/>
                <w:b w:val="0"/>
                <w:sz w:val="17"/>
              </w:rPr>
              <w:t>docsComplete</w:t>
            </w:r>
          </w:p>
        </w:tc>
        <w:tc>
          <w:tcPr>
            <w:tcW w:w="2100" w:type="dxa"/>
          </w:tcPr>
          <w:p>
            <w:pPr>
              <w:spacing w:after="0" w:before="0"/>
            </w:pPr>
            <w:r/>
            <w:r>
              <w:rPr>
                <w:rFonts w:ascii="Arial" w:hAnsi="Arial" w:cs="Arial"/>
                <w:b w:val="0"/>
                <w:sz w:val="17"/>
              </w:rPr>
              <w:t>all mandatory docs</w:t>
            </w:r>
          </w:p>
        </w:tc>
        <w:tc>
          <w:tcPr>
            <w:tcW w:w="1600" w:type="dxa"/>
          </w:tcPr>
          <w:p>
            <w:pPr>
              <w:spacing w:after="0" w:before="0"/>
            </w:pPr>
            <w:r/>
            <w:r>
              <w:rPr>
                <w:rFonts w:ascii="Arial" w:hAnsi="Arial" w:cs="Arial"/>
                <w:b w:val="0"/>
                <w:sz w:val="17"/>
              </w:rPr>
              <w:t>UNDER_APPRAISAL</w:t>
            </w:r>
          </w:p>
        </w:tc>
        <w:tc>
          <w:tcPr>
            <w:tcW w:w="2860" w:type="dxa"/>
          </w:tcPr>
          <w:p>
            <w:pPr>
              <w:spacing w:after="0" w:before="0"/>
            </w:pPr>
            <w:r/>
            <w:r>
              <w:rPr>
                <w:rFonts w:ascii="Arial" w:hAnsi="Arial" w:cs="Arial"/>
                <w:b w:val="0"/>
                <w:sz w:val="17"/>
              </w:rPr>
              <w:t>trigger bureau pull</w:t>
            </w:r>
          </w:p>
        </w:tc>
      </w:tr>
      <w:tr>
        <w:tc>
          <w:tcPr>
            <w:tcW w:w="1500" w:type="dxa"/>
          </w:tcPr>
          <w:p>
            <w:pPr>
              <w:spacing w:after="0" w:before="0"/>
            </w:pPr>
            <w:r/>
            <w:r>
              <w:rPr>
                <w:rFonts w:ascii="Arial" w:hAnsi="Arial" w:cs="Arial"/>
                <w:b w:val="0"/>
                <w:sz w:val="17"/>
              </w:rPr>
              <w:t>UNDER_APPRAISAL</w:t>
            </w:r>
          </w:p>
        </w:tc>
        <w:tc>
          <w:tcPr>
            <w:tcW w:w="1300" w:type="dxa"/>
          </w:tcPr>
          <w:p>
            <w:pPr>
              <w:spacing w:after="0" w:before="0"/>
            </w:pPr>
            <w:r/>
            <w:r>
              <w:rPr>
                <w:rFonts w:ascii="Arial" w:hAnsi="Arial" w:cs="Arial"/>
                <w:b w:val="0"/>
                <w:sz w:val="17"/>
              </w:rPr>
              <w:t>approve</w:t>
            </w:r>
          </w:p>
        </w:tc>
        <w:tc>
          <w:tcPr>
            <w:tcW w:w="2100" w:type="dxa"/>
          </w:tcPr>
          <w:p>
            <w:pPr>
              <w:spacing w:after="0" w:before="0"/>
            </w:pPr>
            <w:r/>
            <w:r>
              <w:rPr>
                <w:rFonts w:ascii="Arial" w:hAnsi="Arial" w:cs="Arial"/>
                <w:b w:val="0"/>
                <w:sz w:val="17"/>
              </w:rPr>
              <w:t>rules pass / deviations approved</w:t>
            </w:r>
          </w:p>
        </w:tc>
        <w:tc>
          <w:tcPr>
            <w:tcW w:w="1600" w:type="dxa"/>
          </w:tcPr>
          <w:p>
            <w:pPr>
              <w:spacing w:after="0" w:before="0"/>
            </w:pPr>
            <w:r/>
            <w:r>
              <w:rPr>
                <w:rFonts w:ascii="Arial" w:hAnsi="Arial" w:cs="Arial"/>
                <w:b w:val="0"/>
                <w:sz w:val="17"/>
              </w:rPr>
              <w:t>APPROVED</w:t>
            </w:r>
          </w:p>
        </w:tc>
        <w:tc>
          <w:tcPr>
            <w:tcW w:w="2860" w:type="dxa"/>
          </w:tcPr>
          <w:p>
            <w:pPr>
              <w:spacing w:after="0" w:before="0"/>
            </w:pPr>
            <w:r/>
            <w:r>
              <w:rPr>
                <w:rFonts w:ascii="Arial" w:hAnsi="Arial" w:cs="Arial"/>
                <w:b w:val="0"/>
                <w:sz w:val="17"/>
              </w:rPr>
              <w:t>record decision</w:t>
            </w:r>
          </w:p>
        </w:tc>
      </w:tr>
      <w:tr>
        <w:tc>
          <w:tcPr>
            <w:tcW w:w="1500" w:type="dxa"/>
          </w:tcPr>
          <w:p>
            <w:pPr>
              <w:spacing w:after="0" w:before="0"/>
            </w:pPr>
            <w:r/>
            <w:r>
              <w:rPr>
                <w:rFonts w:ascii="Arial" w:hAnsi="Arial" w:cs="Arial"/>
                <w:b w:val="0"/>
                <w:sz w:val="17"/>
              </w:rPr>
              <w:t>UNDER_APPRAISAL</w:t>
            </w:r>
          </w:p>
        </w:tc>
        <w:tc>
          <w:tcPr>
            <w:tcW w:w="1300" w:type="dxa"/>
          </w:tcPr>
          <w:p>
            <w:pPr>
              <w:spacing w:after="0" w:before="0"/>
            </w:pPr>
            <w:r/>
            <w:r>
              <w:rPr>
                <w:rFonts w:ascii="Arial" w:hAnsi="Arial" w:cs="Arial"/>
                <w:b w:val="0"/>
                <w:sz w:val="17"/>
              </w:rPr>
              <w:t>reject</w:t>
            </w:r>
          </w:p>
        </w:tc>
        <w:tc>
          <w:tcPr>
            <w:tcW w:w="2100" w:type="dxa"/>
          </w:tcPr>
          <w:p>
            <w:pPr>
              <w:spacing w:after="0" w:before="0"/>
            </w:pPr>
            <w:r/>
            <w:r>
              <w:rPr>
                <w:rFonts w:ascii="Arial" w:hAnsi="Arial" w:cs="Arial"/>
                <w:b w:val="0"/>
                <w:sz w:val="17"/>
              </w:rPr>
              <w:t>—</w:t>
            </w:r>
          </w:p>
        </w:tc>
        <w:tc>
          <w:tcPr>
            <w:tcW w:w="1600" w:type="dxa"/>
          </w:tcPr>
          <w:p>
            <w:pPr>
              <w:spacing w:after="0" w:before="0"/>
            </w:pPr>
            <w:r/>
            <w:r>
              <w:rPr>
                <w:rFonts w:ascii="Arial" w:hAnsi="Arial" w:cs="Arial"/>
                <w:b w:val="0"/>
                <w:sz w:val="17"/>
              </w:rPr>
              <w:t>REJECTED</w:t>
            </w:r>
          </w:p>
        </w:tc>
        <w:tc>
          <w:tcPr>
            <w:tcW w:w="2860" w:type="dxa"/>
          </w:tcPr>
          <w:p>
            <w:pPr>
              <w:spacing w:after="0" w:before="0"/>
            </w:pPr>
            <w:r/>
            <w:r>
              <w:rPr>
                <w:rFonts w:ascii="Arial" w:hAnsi="Arial" w:cs="Arial"/>
                <w:b w:val="0"/>
                <w:sz w:val="17"/>
              </w:rPr>
              <w:t>notify borrower</w:t>
            </w:r>
          </w:p>
        </w:tc>
      </w:tr>
      <w:tr>
        <w:tc>
          <w:tcPr>
            <w:tcW w:w="1500" w:type="dxa"/>
          </w:tcPr>
          <w:p>
            <w:pPr>
              <w:spacing w:after="0" w:before="0"/>
            </w:pPr>
            <w:r/>
            <w:r>
              <w:rPr>
                <w:rFonts w:ascii="Arial" w:hAnsi="Arial" w:cs="Arial"/>
                <w:b w:val="0"/>
                <w:sz w:val="17"/>
              </w:rPr>
              <w:t>APPROVED</w:t>
            </w:r>
          </w:p>
        </w:tc>
        <w:tc>
          <w:tcPr>
            <w:tcW w:w="1300" w:type="dxa"/>
          </w:tcPr>
          <w:p>
            <w:pPr>
              <w:spacing w:after="0" w:before="0"/>
            </w:pPr>
            <w:r/>
            <w:r>
              <w:rPr>
                <w:rFonts w:ascii="Arial" w:hAnsi="Arial" w:cs="Arial"/>
                <w:b w:val="0"/>
                <w:sz w:val="17"/>
              </w:rPr>
              <w:t>sanction</w:t>
            </w:r>
          </w:p>
        </w:tc>
        <w:tc>
          <w:tcPr>
            <w:tcW w:w="2100" w:type="dxa"/>
          </w:tcPr>
          <w:p>
            <w:pPr>
              <w:spacing w:after="0" w:before="0"/>
            </w:pPr>
            <w:r/>
            <w:r>
              <w:rPr>
                <w:rFonts w:ascii="Arial" w:hAnsi="Arial" w:cs="Arial"/>
                <w:b w:val="0"/>
                <w:sz w:val="17"/>
              </w:rPr>
              <w:t>within DOA</w:t>
            </w:r>
          </w:p>
        </w:tc>
        <w:tc>
          <w:tcPr>
            <w:tcW w:w="1600" w:type="dxa"/>
          </w:tcPr>
          <w:p>
            <w:pPr>
              <w:spacing w:after="0" w:before="0"/>
            </w:pPr>
            <w:r/>
            <w:r>
              <w:rPr>
                <w:rFonts w:ascii="Arial" w:hAnsi="Arial" w:cs="Arial"/>
                <w:b w:val="0"/>
                <w:sz w:val="17"/>
              </w:rPr>
              <w:t>SANCTIONED</w:t>
            </w:r>
          </w:p>
        </w:tc>
        <w:tc>
          <w:tcPr>
            <w:tcW w:w="2860" w:type="dxa"/>
          </w:tcPr>
          <w:p>
            <w:pPr>
              <w:spacing w:after="0" w:before="0"/>
            </w:pPr>
            <w:r/>
            <w:r>
              <w:rPr>
                <w:rFonts w:ascii="Arial" w:hAnsi="Arial" w:cs="Arial"/>
                <w:b w:val="0"/>
                <w:sz w:val="17"/>
              </w:rPr>
              <w:t>generate sanction letter, KFS</w:t>
            </w:r>
          </w:p>
        </w:tc>
      </w:tr>
      <w:tr>
        <w:tc>
          <w:tcPr>
            <w:tcW w:w="1500" w:type="dxa"/>
          </w:tcPr>
          <w:p>
            <w:pPr>
              <w:spacing w:after="0" w:before="0"/>
            </w:pPr>
            <w:r/>
            <w:r>
              <w:rPr>
                <w:rFonts w:ascii="Arial" w:hAnsi="Arial" w:cs="Arial"/>
                <w:b w:val="0"/>
                <w:sz w:val="17"/>
              </w:rPr>
              <w:t>SANCTIONED</w:t>
            </w:r>
          </w:p>
        </w:tc>
        <w:tc>
          <w:tcPr>
            <w:tcW w:w="1300" w:type="dxa"/>
          </w:tcPr>
          <w:p>
            <w:pPr>
              <w:spacing w:after="0" w:before="0"/>
            </w:pPr>
            <w:r/>
            <w:r>
              <w:rPr>
                <w:rFonts w:ascii="Arial" w:hAnsi="Arial" w:cs="Arial"/>
                <w:b w:val="0"/>
                <w:sz w:val="17"/>
              </w:rPr>
              <w:t>execute</w:t>
            </w:r>
          </w:p>
        </w:tc>
        <w:tc>
          <w:tcPr>
            <w:tcW w:w="2100" w:type="dxa"/>
          </w:tcPr>
          <w:p>
            <w:pPr>
              <w:spacing w:after="0" w:before="0"/>
            </w:pPr>
            <w:r/>
            <w:r>
              <w:rPr>
                <w:rFonts w:ascii="Arial" w:hAnsi="Arial" w:cs="Arial"/>
                <w:b w:val="0"/>
                <w:sz w:val="17"/>
              </w:rPr>
              <w:t>agreement e-signed</w:t>
            </w:r>
          </w:p>
        </w:tc>
        <w:tc>
          <w:tcPr>
            <w:tcW w:w="1600" w:type="dxa"/>
          </w:tcPr>
          <w:p>
            <w:pPr>
              <w:spacing w:after="0" w:before="0"/>
            </w:pPr>
            <w:r/>
            <w:r>
              <w:rPr>
                <w:rFonts w:ascii="Arial" w:hAnsi="Arial" w:cs="Arial"/>
                <w:b w:val="0"/>
                <w:sz w:val="17"/>
              </w:rPr>
              <w:t>AGREEMENT_PENDING</w:t>
            </w:r>
          </w:p>
        </w:tc>
        <w:tc>
          <w:tcPr>
            <w:tcW w:w="2860" w:type="dxa"/>
          </w:tcPr>
          <w:p>
            <w:pPr>
              <w:spacing w:after="0" w:before="0"/>
            </w:pPr>
            <w:r/>
            <w:r>
              <w:rPr>
                <w:rFonts w:ascii="Arial" w:hAnsi="Arial" w:cs="Arial"/>
                <w:b w:val="0"/>
                <w:sz w:val="17"/>
              </w:rPr>
              <w:t>e-sign/e-stamp</w:t>
            </w:r>
          </w:p>
        </w:tc>
      </w:tr>
      <w:tr>
        <w:tc>
          <w:tcPr>
            <w:tcW w:w="1500" w:type="dxa"/>
          </w:tcPr>
          <w:p>
            <w:pPr>
              <w:spacing w:after="0" w:before="0"/>
            </w:pPr>
            <w:r/>
            <w:r>
              <w:rPr>
                <w:rFonts w:ascii="Arial" w:hAnsi="Arial" w:cs="Arial"/>
                <w:b w:val="0"/>
                <w:sz w:val="17"/>
              </w:rPr>
              <w:t>AGREEMENT_PENDING</w:t>
            </w:r>
          </w:p>
        </w:tc>
        <w:tc>
          <w:tcPr>
            <w:tcW w:w="1300" w:type="dxa"/>
          </w:tcPr>
          <w:p>
            <w:pPr>
              <w:spacing w:after="0" w:before="0"/>
            </w:pPr>
            <w:r/>
            <w:r>
              <w:rPr>
                <w:rFonts w:ascii="Arial" w:hAnsi="Arial" w:cs="Arial"/>
                <w:b w:val="0"/>
                <w:sz w:val="17"/>
              </w:rPr>
              <w:t>disburse</w:t>
            </w:r>
          </w:p>
        </w:tc>
        <w:tc>
          <w:tcPr>
            <w:tcW w:w="2100" w:type="dxa"/>
          </w:tcPr>
          <w:p>
            <w:pPr>
              <w:spacing w:after="0" w:before="0"/>
            </w:pPr>
            <w:r/>
            <w:r>
              <w:rPr>
                <w:rFonts w:ascii="Arial" w:hAnsi="Arial" w:cs="Arial"/>
                <w:b w:val="0"/>
                <w:sz w:val="17"/>
              </w:rPr>
              <w:t>conditions cleared</w:t>
            </w:r>
          </w:p>
        </w:tc>
        <w:tc>
          <w:tcPr>
            <w:tcW w:w="1600" w:type="dxa"/>
          </w:tcPr>
          <w:p>
            <w:pPr>
              <w:spacing w:after="0" w:before="0"/>
            </w:pPr>
            <w:r/>
            <w:r>
              <w:rPr>
                <w:rFonts w:ascii="Arial" w:hAnsi="Arial" w:cs="Arial"/>
                <w:b w:val="0"/>
                <w:sz w:val="17"/>
              </w:rPr>
              <w:t>DISBURSED</w:t>
            </w:r>
          </w:p>
        </w:tc>
        <w:tc>
          <w:tcPr>
            <w:tcW w:w="2860" w:type="dxa"/>
          </w:tcPr>
          <w:p>
            <w:pPr>
              <w:spacing w:after="0" w:before="0"/>
            </w:pPr>
            <w:r/>
            <w:r>
              <w:rPr>
                <w:rFonts w:ascii="Arial" w:hAnsi="Arial" w:cs="Arial"/>
                <w:b w:val="0"/>
                <w:sz w:val="17"/>
              </w:rPr>
              <w:t>create loan account, GL posting</w:t>
            </w:r>
          </w:p>
        </w:tc>
      </w:tr>
    </w:tbl>
    <w:p/>
    <w:p>
      <w:pPr>
        <w:pStyle w:val="Heading2"/>
      </w:pPr>
      <w:r>
        <w:t>77.2 Loan Account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500"/>
        <w:gridCol w:w="1300"/>
        <w:gridCol w:w="1700"/>
        <w:gridCol w:w="1700"/>
        <w:gridCol w:w="3160"/>
      </w:tblGrid>
      <w:tr>
        <w:tc>
          <w:tcPr>
            <w:tcW w:w="1500" w:type="dxa"/>
            <w:shd w:val="clear" w:color="auto" w:fill="1F4E78"/>
          </w:tcPr>
          <w:p>
            <w:pPr>
              <w:spacing w:after="0" w:before="0"/>
            </w:pPr>
            <w:r/>
            <w:r>
              <w:rPr>
                <w:rFonts w:ascii="Arial" w:hAnsi="Arial" w:cs="Arial"/>
                <w:b/>
                <w:color w:val="FFFFFF"/>
                <w:sz w:val="17"/>
              </w:rPr>
              <w:t>From</w:t>
            </w:r>
          </w:p>
        </w:tc>
        <w:tc>
          <w:tcPr>
            <w:tcW w:w="1300" w:type="dxa"/>
            <w:shd w:val="clear" w:color="auto" w:fill="1F4E78"/>
          </w:tcPr>
          <w:p>
            <w:pPr>
              <w:spacing w:after="0" w:before="0"/>
            </w:pPr>
            <w:r/>
            <w:r>
              <w:rPr>
                <w:rFonts w:ascii="Arial" w:hAnsi="Arial" w:cs="Arial"/>
                <w:b/>
                <w:color w:val="FFFFFF"/>
                <w:sz w:val="17"/>
              </w:rPr>
              <w:t>Event</w:t>
            </w:r>
          </w:p>
        </w:tc>
        <w:tc>
          <w:tcPr>
            <w:tcW w:w="1700" w:type="dxa"/>
            <w:shd w:val="clear" w:color="auto" w:fill="1F4E78"/>
          </w:tcPr>
          <w:p>
            <w:pPr>
              <w:spacing w:after="0" w:before="0"/>
            </w:pPr>
            <w:r/>
            <w:r>
              <w:rPr>
                <w:rFonts w:ascii="Arial" w:hAnsi="Arial" w:cs="Arial"/>
                <w:b/>
                <w:color w:val="FFFFFF"/>
                <w:sz w:val="17"/>
              </w:rPr>
              <w:t>Guard</w:t>
            </w:r>
          </w:p>
        </w:tc>
        <w:tc>
          <w:tcPr>
            <w:tcW w:w="1700" w:type="dxa"/>
            <w:shd w:val="clear" w:color="auto" w:fill="1F4E78"/>
          </w:tcPr>
          <w:p>
            <w:pPr>
              <w:spacing w:after="0" w:before="0"/>
            </w:pPr>
            <w:r/>
            <w:r>
              <w:rPr>
                <w:rFonts w:ascii="Arial" w:hAnsi="Arial" w:cs="Arial"/>
                <w:b/>
                <w:color w:val="FFFFFF"/>
                <w:sz w:val="17"/>
              </w:rPr>
              <w:t>To</w:t>
            </w:r>
          </w:p>
        </w:tc>
        <w:tc>
          <w:tcPr>
            <w:tcW w:w="3160" w:type="dxa"/>
            <w:shd w:val="clear" w:color="auto" w:fill="1F4E78"/>
          </w:tcPr>
          <w:p>
            <w:pPr>
              <w:spacing w:after="0" w:before="0"/>
            </w:pPr>
            <w:r/>
            <w:r>
              <w:rPr>
                <w:rFonts w:ascii="Arial" w:hAnsi="Arial" w:cs="Arial"/>
                <w:b/>
                <w:color w:val="FFFFFF"/>
                <w:sz w:val="17"/>
              </w:rPr>
              <w:t>Side-effects</w:t>
            </w:r>
          </w:p>
        </w:tc>
      </w:tr>
      <w:tr>
        <w:tc>
          <w:tcPr>
            <w:tcW w:w="1500" w:type="dxa"/>
          </w:tcPr>
          <w:p>
            <w:pPr>
              <w:spacing w:after="0" w:before="0"/>
            </w:pPr>
            <w:r/>
            <w:r>
              <w:rPr>
                <w:rFonts w:ascii="Arial" w:hAnsi="Arial" w:cs="Arial"/>
                <w:b w:val="0"/>
                <w:sz w:val="17"/>
              </w:rPr>
              <w:t>ACTIVE</w:t>
            </w:r>
          </w:p>
        </w:tc>
        <w:tc>
          <w:tcPr>
            <w:tcW w:w="1300" w:type="dxa"/>
          </w:tcPr>
          <w:p>
            <w:pPr>
              <w:spacing w:after="0" w:before="0"/>
            </w:pPr>
            <w:r/>
            <w:r>
              <w:rPr>
                <w:rFonts w:ascii="Arial" w:hAnsi="Arial" w:cs="Arial"/>
                <w:b w:val="0"/>
                <w:sz w:val="17"/>
              </w:rPr>
              <w:t>dpd≥1</w:t>
            </w:r>
          </w:p>
        </w:tc>
        <w:tc>
          <w:tcPr>
            <w:tcW w:w="1700" w:type="dxa"/>
          </w:tcPr>
          <w:p>
            <w:pPr>
              <w:spacing w:after="0" w:before="0"/>
            </w:pPr>
            <w:r/>
            <w:r>
              <w:rPr>
                <w:rFonts w:ascii="Arial" w:hAnsi="Arial" w:cs="Arial"/>
                <w:b w:val="0"/>
                <w:sz w:val="17"/>
              </w:rPr>
              <w:t>missed due date</w:t>
            </w:r>
          </w:p>
        </w:tc>
        <w:tc>
          <w:tcPr>
            <w:tcW w:w="1700" w:type="dxa"/>
          </w:tcPr>
          <w:p>
            <w:pPr>
              <w:spacing w:after="0" w:before="0"/>
            </w:pPr>
            <w:r/>
            <w:r>
              <w:rPr>
                <w:rFonts w:ascii="Arial" w:hAnsi="Arial" w:cs="Arial"/>
                <w:b w:val="0"/>
                <w:sz w:val="17"/>
              </w:rPr>
              <w:t>OVERDUE_1</w:t>
            </w:r>
          </w:p>
        </w:tc>
        <w:tc>
          <w:tcPr>
            <w:tcW w:w="3160" w:type="dxa"/>
          </w:tcPr>
          <w:p>
            <w:pPr>
              <w:spacing w:after="0" w:before="0"/>
            </w:pPr>
            <w:r/>
            <w:r>
              <w:rPr>
                <w:rFonts w:ascii="Arial" w:hAnsi="Arial" w:cs="Arial"/>
                <w:b w:val="0"/>
                <w:sz w:val="17"/>
              </w:rPr>
              <w:t>start penal accrual, collections case</w:t>
            </w:r>
          </w:p>
        </w:tc>
      </w:tr>
      <w:tr>
        <w:tc>
          <w:tcPr>
            <w:tcW w:w="1500" w:type="dxa"/>
          </w:tcPr>
          <w:p>
            <w:pPr>
              <w:spacing w:after="0" w:before="0"/>
            </w:pPr>
            <w:r/>
            <w:r>
              <w:rPr>
                <w:rFonts w:ascii="Arial" w:hAnsi="Arial" w:cs="Arial"/>
                <w:b w:val="0"/>
                <w:sz w:val="17"/>
              </w:rPr>
              <w:t>OVERDUE_1..3</w:t>
            </w:r>
          </w:p>
        </w:tc>
        <w:tc>
          <w:tcPr>
            <w:tcW w:w="1300" w:type="dxa"/>
          </w:tcPr>
          <w:p>
            <w:pPr>
              <w:spacing w:after="0" w:before="0"/>
            </w:pPr>
            <w:r/>
            <w:r>
              <w:rPr>
                <w:rFonts w:ascii="Arial" w:hAnsi="Arial" w:cs="Arial"/>
                <w:b w:val="0"/>
                <w:sz w:val="17"/>
              </w:rPr>
              <w:t>payment</w:t>
            </w:r>
          </w:p>
        </w:tc>
        <w:tc>
          <w:tcPr>
            <w:tcW w:w="1700" w:type="dxa"/>
          </w:tcPr>
          <w:p>
            <w:pPr>
              <w:spacing w:after="0" w:before="0"/>
            </w:pPr>
            <w:r/>
            <w:r>
              <w:rPr>
                <w:rFonts w:ascii="Arial" w:hAnsi="Arial" w:cs="Arial"/>
                <w:b w:val="0"/>
                <w:sz w:val="17"/>
              </w:rPr>
              <w:t>cleared arrears</w:t>
            </w:r>
          </w:p>
        </w:tc>
        <w:tc>
          <w:tcPr>
            <w:tcW w:w="1700" w:type="dxa"/>
          </w:tcPr>
          <w:p>
            <w:pPr>
              <w:spacing w:after="0" w:before="0"/>
            </w:pPr>
            <w:r/>
            <w:r>
              <w:rPr>
                <w:rFonts w:ascii="Arial" w:hAnsi="Arial" w:cs="Arial"/>
                <w:b w:val="0"/>
                <w:sz w:val="17"/>
              </w:rPr>
              <w:t>ACTIVE</w:t>
            </w:r>
          </w:p>
        </w:tc>
        <w:tc>
          <w:tcPr>
            <w:tcW w:w="3160" w:type="dxa"/>
          </w:tcPr>
          <w:p>
            <w:pPr>
              <w:spacing w:after="0" w:before="0"/>
            </w:pPr>
            <w:r/>
            <w:r>
              <w:rPr>
                <w:rFonts w:ascii="Arial" w:hAnsi="Arial" w:cs="Arial"/>
                <w:b w:val="0"/>
                <w:sz w:val="17"/>
              </w:rPr>
              <w:t>close case</w:t>
            </w:r>
          </w:p>
        </w:tc>
      </w:tr>
      <w:tr>
        <w:tc>
          <w:tcPr>
            <w:tcW w:w="1500" w:type="dxa"/>
          </w:tcPr>
          <w:p>
            <w:pPr>
              <w:spacing w:after="0" w:before="0"/>
            </w:pPr>
            <w:r/>
            <w:r>
              <w:rPr>
                <w:rFonts w:ascii="Arial" w:hAnsi="Arial" w:cs="Arial"/>
                <w:b w:val="0"/>
                <w:sz w:val="17"/>
              </w:rPr>
              <w:t>OVERDUE_3</w:t>
            </w:r>
          </w:p>
        </w:tc>
        <w:tc>
          <w:tcPr>
            <w:tcW w:w="1300" w:type="dxa"/>
          </w:tcPr>
          <w:p>
            <w:pPr>
              <w:spacing w:after="0" w:before="0"/>
            </w:pPr>
            <w:r/>
            <w:r>
              <w:rPr>
                <w:rFonts w:ascii="Arial" w:hAnsi="Arial" w:cs="Arial"/>
                <w:b w:val="0"/>
                <w:sz w:val="17"/>
              </w:rPr>
              <w:t>dpd&gt;90</w:t>
            </w:r>
          </w:p>
        </w:tc>
        <w:tc>
          <w:tcPr>
            <w:tcW w:w="1700" w:type="dxa"/>
          </w:tcPr>
          <w:p>
            <w:pPr>
              <w:spacing w:after="0" w:before="0"/>
            </w:pPr>
            <w:r/>
            <w:r>
              <w:rPr>
                <w:rFonts w:ascii="Arial" w:hAnsi="Arial" w:cs="Arial"/>
                <w:b w:val="0"/>
                <w:sz w:val="17"/>
              </w:rPr>
              <w:t>—</w:t>
            </w:r>
          </w:p>
        </w:tc>
        <w:tc>
          <w:tcPr>
            <w:tcW w:w="1700" w:type="dxa"/>
          </w:tcPr>
          <w:p>
            <w:pPr>
              <w:spacing w:after="0" w:before="0"/>
            </w:pPr>
            <w:r/>
            <w:r>
              <w:rPr>
                <w:rFonts w:ascii="Arial" w:hAnsi="Arial" w:cs="Arial"/>
                <w:b w:val="0"/>
                <w:sz w:val="17"/>
              </w:rPr>
              <w:t>NPA_SUBSTANDARD</w:t>
            </w:r>
          </w:p>
        </w:tc>
        <w:tc>
          <w:tcPr>
            <w:tcW w:w="3160" w:type="dxa"/>
          </w:tcPr>
          <w:p>
            <w:pPr>
              <w:spacing w:after="0" w:before="0"/>
            </w:pPr>
            <w:r/>
            <w:r>
              <w:rPr>
                <w:rFonts w:ascii="Arial" w:hAnsi="Arial" w:cs="Arial"/>
                <w:b w:val="0"/>
                <w:sz w:val="17"/>
              </w:rPr>
              <w:t>reverse unrealised interest (§33), provision</w:t>
            </w:r>
          </w:p>
        </w:tc>
      </w:tr>
      <w:tr>
        <w:tc>
          <w:tcPr>
            <w:tcW w:w="1500" w:type="dxa"/>
          </w:tcPr>
          <w:p>
            <w:pPr>
              <w:spacing w:after="0" w:before="0"/>
            </w:pPr>
            <w:r/>
            <w:r>
              <w:rPr>
                <w:rFonts w:ascii="Arial" w:hAnsi="Arial" w:cs="Arial"/>
                <w:b w:val="0"/>
                <w:sz w:val="17"/>
              </w:rPr>
              <w:t>NPA_*</w:t>
            </w:r>
          </w:p>
        </w:tc>
        <w:tc>
          <w:tcPr>
            <w:tcW w:w="1300" w:type="dxa"/>
          </w:tcPr>
          <w:p>
            <w:pPr>
              <w:spacing w:after="0" w:before="0"/>
            </w:pPr>
            <w:r/>
            <w:r>
              <w:rPr>
                <w:rFonts w:ascii="Arial" w:hAnsi="Arial" w:cs="Arial"/>
                <w:b w:val="0"/>
                <w:sz w:val="17"/>
              </w:rPr>
              <w:t>restructure</w:t>
            </w:r>
          </w:p>
        </w:tc>
        <w:tc>
          <w:tcPr>
            <w:tcW w:w="1700" w:type="dxa"/>
          </w:tcPr>
          <w:p>
            <w:pPr>
              <w:spacing w:after="0" w:before="0"/>
            </w:pPr>
            <w:r/>
            <w:r>
              <w:rPr>
                <w:rFonts w:ascii="Arial" w:hAnsi="Arial" w:cs="Arial"/>
                <w:b w:val="0"/>
                <w:sz w:val="17"/>
              </w:rPr>
              <w:t>approved</w:t>
            </w:r>
          </w:p>
        </w:tc>
        <w:tc>
          <w:tcPr>
            <w:tcW w:w="1700" w:type="dxa"/>
          </w:tcPr>
          <w:p>
            <w:pPr>
              <w:spacing w:after="0" w:before="0"/>
            </w:pPr>
            <w:r/>
            <w:r>
              <w:rPr>
                <w:rFonts w:ascii="Arial" w:hAnsi="Arial" w:cs="Arial"/>
                <w:b w:val="0"/>
                <w:sz w:val="17"/>
              </w:rPr>
              <w:t>RESTRUCTURED</w:t>
            </w:r>
          </w:p>
        </w:tc>
        <w:tc>
          <w:tcPr>
            <w:tcW w:w="3160" w:type="dxa"/>
          </w:tcPr>
          <w:p>
            <w:pPr>
              <w:spacing w:after="0" w:before="0"/>
            </w:pPr>
            <w:r/>
            <w:r>
              <w:rPr>
                <w:rFonts w:ascii="Arial" w:hAnsi="Arial" w:cs="Arial"/>
                <w:b w:val="0"/>
                <w:sz w:val="17"/>
              </w:rPr>
              <w:t>regenerate schedule (§32.2), flag</w:t>
            </w:r>
          </w:p>
        </w:tc>
      </w:tr>
      <w:tr>
        <w:tc>
          <w:tcPr>
            <w:tcW w:w="1500" w:type="dxa"/>
          </w:tcPr>
          <w:p>
            <w:pPr>
              <w:spacing w:after="0" w:before="0"/>
            </w:pPr>
            <w:r/>
            <w:r>
              <w:rPr>
                <w:rFonts w:ascii="Arial" w:hAnsi="Arial" w:cs="Arial"/>
                <w:b w:val="0"/>
                <w:sz w:val="17"/>
              </w:rPr>
              <w:t>ACTIVE</w:t>
            </w:r>
          </w:p>
        </w:tc>
        <w:tc>
          <w:tcPr>
            <w:tcW w:w="1300" w:type="dxa"/>
          </w:tcPr>
          <w:p>
            <w:pPr>
              <w:spacing w:after="0" w:before="0"/>
            </w:pPr>
            <w:r/>
            <w:r>
              <w:rPr>
                <w:rFonts w:ascii="Arial" w:hAnsi="Arial" w:cs="Arial"/>
                <w:b w:val="0"/>
                <w:sz w:val="17"/>
              </w:rPr>
              <w:t>foreclose</w:t>
            </w:r>
          </w:p>
        </w:tc>
        <w:tc>
          <w:tcPr>
            <w:tcW w:w="1700" w:type="dxa"/>
          </w:tcPr>
          <w:p>
            <w:pPr>
              <w:spacing w:after="0" w:before="0"/>
            </w:pPr>
            <w:r/>
            <w:r>
              <w:rPr>
                <w:rFonts w:ascii="Arial" w:hAnsi="Arial" w:cs="Arial"/>
                <w:b w:val="0"/>
                <w:sz w:val="17"/>
              </w:rPr>
              <w:t>payoff received</w:t>
            </w:r>
          </w:p>
        </w:tc>
        <w:tc>
          <w:tcPr>
            <w:tcW w:w="1700" w:type="dxa"/>
          </w:tcPr>
          <w:p>
            <w:pPr>
              <w:spacing w:after="0" w:before="0"/>
            </w:pPr>
            <w:r/>
            <w:r>
              <w:rPr>
                <w:rFonts w:ascii="Arial" w:hAnsi="Arial" w:cs="Arial"/>
                <w:b w:val="0"/>
                <w:sz w:val="17"/>
              </w:rPr>
              <w:t>FORECLOSED</w:t>
            </w:r>
          </w:p>
        </w:tc>
        <w:tc>
          <w:tcPr>
            <w:tcW w:w="3160" w:type="dxa"/>
          </w:tcPr>
          <w:p>
            <w:pPr>
              <w:spacing w:after="0" w:before="0"/>
            </w:pPr>
            <w:r/>
            <w:r>
              <w:rPr>
                <w:rFonts w:ascii="Arial" w:hAnsi="Arial" w:cs="Arial"/>
                <w:b w:val="0"/>
                <w:sz w:val="17"/>
              </w:rPr>
              <w:t>NOC, release collateral</w:t>
            </w:r>
          </w:p>
        </w:tc>
      </w:tr>
      <w:tr>
        <w:tc>
          <w:tcPr>
            <w:tcW w:w="1500" w:type="dxa"/>
          </w:tcPr>
          <w:p>
            <w:pPr>
              <w:spacing w:after="0" w:before="0"/>
            </w:pPr>
            <w:r/>
            <w:r>
              <w:rPr>
                <w:rFonts w:ascii="Arial" w:hAnsi="Arial" w:cs="Arial"/>
                <w:b w:val="0"/>
                <w:sz w:val="17"/>
              </w:rPr>
              <w:t>ACTIVE</w:t>
            </w:r>
          </w:p>
        </w:tc>
        <w:tc>
          <w:tcPr>
            <w:tcW w:w="1300" w:type="dxa"/>
          </w:tcPr>
          <w:p>
            <w:pPr>
              <w:spacing w:after="0" w:before="0"/>
            </w:pPr>
            <w:r/>
            <w:r>
              <w:rPr>
                <w:rFonts w:ascii="Arial" w:hAnsi="Arial" w:cs="Arial"/>
                <w:b w:val="0"/>
                <w:sz w:val="17"/>
              </w:rPr>
              <w:t>maturity</w:t>
            </w:r>
          </w:p>
        </w:tc>
        <w:tc>
          <w:tcPr>
            <w:tcW w:w="1700" w:type="dxa"/>
          </w:tcPr>
          <w:p>
            <w:pPr>
              <w:spacing w:after="0" w:before="0"/>
            </w:pPr>
            <w:r/>
            <w:r>
              <w:rPr>
                <w:rFonts w:ascii="Arial" w:hAnsi="Arial" w:cs="Arial"/>
                <w:b w:val="0"/>
                <w:sz w:val="17"/>
              </w:rPr>
              <w:t>balance = 0</w:t>
            </w:r>
          </w:p>
        </w:tc>
        <w:tc>
          <w:tcPr>
            <w:tcW w:w="1700" w:type="dxa"/>
          </w:tcPr>
          <w:p>
            <w:pPr>
              <w:spacing w:after="0" w:before="0"/>
            </w:pPr>
            <w:r/>
            <w:r>
              <w:rPr>
                <w:rFonts w:ascii="Arial" w:hAnsi="Arial" w:cs="Arial"/>
                <w:b w:val="0"/>
                <w:sz w:val="17"/>
              </w:rPr>
              <w:t>CLOSED</w:t>
            </w:r>
          </w:p>
        </w:tc>
        <w:tc>
          <w:tcPr>
            <w:tcW w:w="3160" w:type="dxa"/>
          </w:tcPr>
          <w:p>
            <w:pPr>
              <w:spacing w:after="0" w:before="0"/>
            </w:pPr>
            <w:r/>
            <w:r>
              <w:rPr>
                <w:rFonts w:ascii="Arial" w:hAnsi="Arial" w:cs="Arial"/>
                <w:b w:val="0"/>
                <w:sz w:val="17"/>
              </w:rPr>
              <w:t>NOC</w:t>
            </w:r>
          </w:p>
        </w:tc>
      </w:tr>
      <w:tr>
        <w:tc>
          <w:tcPr>
            <w:tcW w:w="1500" w:type="dxa"/>
          </w:tcPr>
          <w:p>
            <w:pPr>
              <w:spacing w:after="0" w:before="0"/>
            </w:pPr>
            <w:r/>
            <w:r>
              <w:rPr>
                <w:rFonts w:ascii="Arial" w:hAnsi="Arial" w:cs="Arial"/>
                <w:b w:val="0"/>
                <w:sz w:val="17"/>
              </w:rPr>
              <w:t>NPA_*</w:t>
            </w:r>
          </w:p>
        </w:tc>
        <w:tc>
          <w:tcPr>
            <w:tcW w:w="1300" w:type="dxa"/>
          </w:tcPr>
          <w:p>
            <w:pPr>
              <w:spacing w:after="0" w:before="0"/>
            </w:pPr>
            <w:r/>
            <w:r>
              <w:rPr>
                <w:rFonts w:ascii="Arial" w:hAnsi="Arial" w:cs="Arial"/>
                <w:b w:val="0"/>
                <w:sz w:val="17"/>
              </w:rPr>
              <w:t>writeOff</w:t>
            </w:r>
          </w:p>
        </w:tc>
        <w:tc>
          <w:tcPr>
            <w:tcW w:w="1700" w:type="dxa"/>
          </w:tcPr>
          <w:p>
            <w:pPr>
              <w:spacing w:after="0" w:before="0"/>
            </w:pPr>
            <w:r/>
            <w:r>
              <w:rPr>
                <w:rFonts w:ascii="Arial" w:hAnsi="Arial" w:cs="Arial"/>
                <w:b w:val="0"/>
                <w:sz w:val="17"/>
              </w:rPr>
              <w:t>approved</w:t>
            </w:r>
          </w:p>
        </w:tc>
        <w:tc>
          <w:tcPr>
            <w:tcW w:w="1700" w:type="dxa"/>
          </w:tcPr>
          <w:p>
            <w:pPr>
              <w:spacing w:after="0" w:before="0"/>
            </w:pPr>
            <w:r/>
            <w:r>
              <w:rPr>
                <w:rFonts w:ascii="Arial" w:hAnsi="Arial" w:cs="Arial"/>
                <w:b w:val="0"/>
                <w:sz w:val="17"/>
              </w:rPr>
              <w:t>WRITTEN_OFF</w:t>
            </w:r>
          </w:p>
        </w:tc>
        <w:tc>
          <w:tcPr>
            <w:tcW w:w="3160" w:type="dxa"/>
          </w:tcPr>
          <w:p>
            <w:pPr>
              <w:spacing w:after="0" w:before="0"/>
            </w:pPr>
            <w:r/>
            <w:r>
              <w:rPr>
                <w:rFonts w:ascii="Arial" w:hAnsi="Arial" w:cs="Arial"/>
                <w:b w:val="0"/>
                <w:sz w:val="17"/>
              </w:rPr>
              <w:t>utilise provision, memorandum register</w:t>
            </w:r>
          </w:p>
        </w:tc>
      </w:tr>
    </w:tbl>
    <w:p/>
    <w:p>
      <w:pPr>
        <w:pStyle w:val="Heading1"/>
      </w:pPr>
      <w:r>
        <w:t>78. Business-Rule Catalog</w:t>
      </w:r>
    </w:p>
    <w:p>
      <w:r>
        <w:rPr>
          <w:rFonts w:ascii="Arial" w:hAnsi="Arial" w:cs="Arial"/>
          <w:b w:val="0"/>
          <w:i w:val="0"/>
          <w:sz w:val="22"/>
        </w:rPr>
        <w:t>Rules the engine enforces, with a stable ID for traceability (Section 48). Thresholds are product-configured (Section 3).</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100"/>
        <w:gridCol w:w="3200"/>
        <w:gridCol w:w="2100"/>
        <w:gridCol w:w="2960"/>
      </w:tblGrid>
      <w:tr>
        <w:tc>
          <w:tcPr>
            <w:tcW w:w="1100" w:type="dxa"/>
            <w:shd w:val="clear" w:color="auto" w:fill="1F4E78"/>
          </w:tcPr>
          <w:p>
            <w:pPr>
              <w:spacing w:after="0" w:before="0"/>
            </w:pPr>
            <w:r/>
            <w:r>
              <w:rPr>
                <w:rFonts w:ascii="Arial" w:hAnsi="Arial" w:cs="Arial"/>
                <w:b/>
                <w:color w:val="FFFFFF"/>
                <w:sz w:val="17"/>
              </w:rPr>
              <w:t>Rule ID</w:t>
            </w:r>
          </w:p>
        </w:tc>
        <w:tc>
          <w:tcPr>
            <w:tcW w:w="3200" w:type="dxa"/>
            <w:shd w:val="clear" w:color="auto" w:fill="1F4E78"/>
          </w:tcPr>
          <w:p>
            <w:pPr>
              <w:spacing w:after="0" w:before="0"/>
            </w:pPr>
            <w:r/>
            <w:r>
              <w:rPr>
                <w:rFonts w:ascii="Arial" w:hAnsi="Arial" w:cs="Arial"/>
                <w:b/>
                <w:color w:val="FFFFFF"/>
                <w:sz w:val="17"/>
              </w:rPr>
              <w:t>Rule</w:t>
            </w:r>
          </w:p>
        </w:tc>
        <w:tc>
          <w:tcPr>
            <w:tcW w:w="2100" w:type="dxa"/>
            <w:shd w:val="clear" w:color="auto" w:fill="1F4E78"/>
          </w:tcPr>
          <w:p>
            <w:pPr>
              <w:spacing w:after="0" w:before="0"/>
            </w:pPr>
            <w:r/>
            <w:r>
              <w:rPr>
                <w:rFonts w:ascii="Arial" w:hAnsi="Arial" w:cs="Arial"/>
                <w:b/>
                <w:color w:val="FFFFFF"/>
                <w:sz w:val="17"/>
              </w:rPr>
              <w:t>Trigger</w:t>
            </w:r>
          </w:p>
        </w:tc>
        <w:tc>
          <w:tcPr>
            <w:tcW w:w="2960" w:type="dxa"/>
            <w:shd w:val="clear" w:color="auto" w:fill="1F4E78"/>
          </w:tcPr>
          <w:p>
            <w:pPr>
              <w:spacing w:after="0" w:before="0"/>
            </w:pPr>
            <w:r/>
            <w:r>
              <w:rPr>
                <w:rFonts w:ascii="Arial" w:hAnsi="Arial" w:cs="Arial"/>
                <w:b/>
                <w:color w:val="FFFFFF"/>
                <w:sz w:val="17"/>
              </w:rPr>
              <w:t>Error / action</w:t>
            </w:r>
          </w:p>
        </w:tc>
      </w:tr>
      <w:tr>
        <w:tc>
          <w:tcPr>
            <w:tcW w:w="1100" w:type="dxa"/>
          </w:tcPr>
          <w:p>
            <w:pPr>
              <w:spacing w:after="0" w:before="0"/>
            </w:pPr>
            <w:r/>
            <w:r>
              <w:rPr>
                <w:rFonts w:ascii="Arial" w:hAnsi="Arial" w:cs="Arial"/>
                <w:b w:val="0"/>
                <w:sz w:val="17"/>
              </w:rPr>
              <w:t>BR-001</w:t>
            </w:r>
          </w:p>
        </w:tc>
        <w:tc>
          <w:tcPr>
            <w:tcW w:w="3200" w:type="dxa"/>
          </w:tcPr>
          <w:p>
            <w:pPr>
              <w:spacing w:after="0" w:before="0"/>
            </w:pPr>
            <w:r/>
            <w:r>
              <w:rPr>
                <w:rFonts w:ascii="Arial" w:hAnsi="Arial" w:cs="Arial"/>
                <w:b w:val="0"/>
                <w:sz w:val="17"/>
              </w:rPr>
              <w:t>Requested amount ≤ eligible amount (LTV/DP/income)</w:t>
            </w:r>
          </w:p>
        </w:tc>
        <w:tc>
          <w:tcPr>
            <w:tcW w:w="2100" w:type="dxa"/>
          </w:tcPr>
          <w:p>
            <w:pPr>
              <w:spacing w:after="0" w:before="0"/>
            </w:pPr>
            <w:r/>
            <w:r>
              <w:rPr>
                <w:rFonts w:ascii="Arial" w:hAnsi="Arial" w:cs="Arial"/>
                <w:b w:val="0"/>
                <w:sz w:val="17"/>
              </w:rPr>
              <w:t>Application submit</w:t>
            </w:r>
          </w:p>
        </w:tc>
        <w:tc>
          <w:tcPr>
            <w:tcW w:w="2960" w:type="dxa"/>
          </w:tcPr>
          <w:p>
            <w:pPr>
              <w:spacing w:after="0" w:before="0"/>
            </w:pPr>
            <w:r/>
            <w:r>
              <w:rPr>
                <w:rFonts w:ascii="Arial" w:hAnsi="Arial" w:cs="Arial"/>
                <w:b w:val="0"/>
                <w:sz w:val="17"/>
              </w:rPr>
              <w:t>Block; BR_LTV/BR_DP/BR_FOIR</w:t>
            </w:r>
          </w:p>
        </w:tc>
      </w:tr>
      <w:tr>
        <w:tc>
          <w:tcPr>
            <w:tcW w:w="1100" w:type="dxa"/>
          </w:tcPr>
          <w:p>
            <w:pPr>
              <w:spacing w:after="0" w:before="0"/>
            </w:pPr>
            <w:r/>
            <w:r>
              <w:rPr>
                <w:rFonts w:ascii="Arial" w:hAnsi="Arial" w:cs="Arial"/>
                <w:b w:val="0"/>
                <w:sz w:val="17"/>
              </w:rPr>
              <w:t>BR-002</w:t>
            </w:r>
          </w:p>
        </w:tc>
        <w:tc>
          <w:tcPr>
            <w:tcW w:w="3200" w:type="dxa"/>
          </w:tcPr>
          <w:p>
            <w:pPr>
              <w:spacing w:after="0" w:before="0"/>
            </w:pPr>
            <w:r/>
            <w:r>
              <w:rPr>
                <w:rFonts w:ascii="Arial" w:hAnsi="Arial" w:cs="Arial"/>
                <w:b w:val="0"/>
                <w:sz w:val="17"/>
              </w:rPr>
              <w:t>FOIR ≤ product cap</w:t>
            </w:r>
          </w:p>
        </w:tc>
        <w:tc>
          <w:tcPr>
            <w:tcW w:w="2100" w:type="dxa"/>
          </w:tcPr>
          <w:p>
            <w:pPr>
              <w:spacing w:after="0" w:before="0"/>
            </w:pPr>
            <w:r/>
            <w:r>
              <w:rPr>
                <w:rFonts w:ascii="Arial" w:hAnsi="Arial" w:cs="Arial"/>
                <w:b w:val="0"/>
                <w:sz w:val="17"/>
              </w:rPr>
              <w:t>Underwriting</w:t>
            </w:r>
          </w:p>
        </w:tc>
        <w:tc>
          <w:tcPr>
            <w:tcW w:w="2960" w:type="dxa"/>
          </w:tcPr>
          <w:p>
            <w:pPr>
              <w:spacing w:after="0" w:before="0"/>
            </w:pPr>
            <w:r/>
            <w:r>
              <w:rPr>
                <w:rFonts w:ascii="Arial" w:hAnsi="Arial" w:cs="Arial"/>
                <w:b w:val="0"/>
                <w:sz w:val="17"/>
              </w:rPr>
              <w:t>Block or route to deviation</w:t>
            </w:r>
          </w:p>
        </w:tc>
      </w:tr>
      <w:tr>
        <w:tc>
          <w:tcPr>
            <w:tcW w:w="1100" w:type="dxa"/>
          </w:tcPr>
          <w:p>
            <w:pPr>
              <w:spacing w:after="0" w:before="0"/>
            </w:pPr>
            <w:r/>
            <w:r>
              <w:rPr>
                <w:rFonts w:ascii="Arial" w:hAnsi="Arial" w:cs="Arial"/>
                <w:b w:val="0"/>
                <w:sz w:val="17"/>
              </w:rPr>
              <w:t>BR-003</w:t>
            </w:r>
          </w:p>
        </w:tc>
        <w:tc>
          <w:tcPr>
            <w:tcW w:w="3200" w:type="dxa"/>
          </w:tcPr>
          <w:p>
            <w:pPr>
              <w:spacing w:after="0" w:before="0"/>
            </w:pPr>
            <w:r/>
            <w:r>
              <w:rPr>
                <w:rFonts w:ascii="Arial" w:hAnsi="Arial" w:cs="Arial"/>
                <w:b w:val="0"/>
                <w:sz w:val="17"/>
              </w:rPr>
              <w:t>Bureau score ≥ minimum (or deviation)</w:t>
            </w:r>
          </w:p>
        </w:tc>
        <w:tc>
          <w:tcPr>
            <w:tcW w:w="2100" w:type="dxa"/>
          </w:tcPr>
          <w:p>
            <w:pPr>
              <w:spacing w:after="0" w:before="0"/>
            </w:pPr>
            <w:r/>
            <w:r>
              <w:rPr>
                <w:rFonts w:ascii="Arial" w:hAnsi="Arial" w:cs="Arial"/>
                <w:b w:val="0"/>
                <w:sz w:val="17"/>
              </w:rPr>
              <w:t>Underwriting</w:t>
            </w:r>
          </w:p>
        </w:tc>
        <w:tc>
          <w:tcPr>
            <w:tcW w:w="2960" w:type="dxa"/>
          </w:tcPr>
          <w:p>
            <w:pPr>
              <w:spacing w:after="0" w:before="0"/>
            </w:pPr>
            <w:r/>
            <w:r>
              <w:rPr>
                <w:rFonts w:ascii="Arial" w:hAnsi="Arial" w:cs="Arial"/>
                <w:b w:val="0"/>
                <w:sz w:val="17"/>
              </w:rPr>
              <w:t>Route to deviation approver</w:t>
            </w:r>
          </w:p>
        </w:tc>
      </w:tr>
      <w:tr>
        <w:tc>
          <w:tcPr>
            <w:tcW w:w="1100" w:type="dxa"/>
          </w:tcPr>
          <w:p>
            <w:pPr>
              <w:spacing w:after="0" w:before="0"/>
            </w:pPr>
            <w:r/>
            <w:r>
              <w:rPr>
                <w:rFonts w:ascii="Arial" w:hAnsi="Arial" w:cs="Arial"/>
                <w:b w:val="0"/>
                <w:sz w:val="17"/>
              </w:rPr>
              <w:t>BR-004</w:t>
            </w:r>
          </w:p>
        </w:tc>
        <w:tc>
          <w:tcPr>
            <w:tcW w:w="3200" w:type="dxa"/>
          </w:tcPr>
          <w:p>
            <w:pPr>
              <w:spacing w:after="0" w:before="0"/>
            </w:pPr>
            <w:r/>
            <w:r>
              <w:rPr>
                <w:rFonts w:ascii="Arial" w:hAnsi="Arial" w:cs="Arial"/>
                <w:b w:val="0"/>
                <w:sz w:val="17"/>
              </w:rPr>
              <w:t>Sanction within delegated authority</w:t>
            </w:r>
          </w:p>
        </w:tc>
        <w:tc>
          <w:tcPr>
            <w:tcW w:w="2100" w:type="dxa"/>
          </w:tcPr>
          <w:p>
            <w:pPr>
              <w:spacing w:after="0" w:before="0"/>
            </w:pPr>
            <w:r/>
            <w:r>
              <w:rPr>
                <w:rFonts w:ascii="Arial" w:hAnsi="Arial" w:cs="Arial"/>
                <w:b w:val="0"/>
                <w:sz w:val="17"/>
              </w:rPr>
              <w:t>Sanction</w:t>
            </w:r>
          </w:p>
        </w:tc>
        <w:tc>
          <w:tcPr>
            <w:tcW w:w="2960" w:type="dxa"/>
          </w:tcPr>
          <w:p>
            <w:pPr>
              <w:spacing w:after="0" w:before="0"/>
            </w:pPr>
            <w:r/>
            <w:r>
              <w:rPr>
                <w:rFonts w:ascii="Arial" w:hAnsi="Arial" w:cs="Arial"/>
                <w:b w:val="0"/>
                <w:sz w:val="17"/>
              </w:rPr>
              <w:t>Block; escalate tier (BR_DOA)</w:t>
            </w:r>
          </w:p>
        </w:tc>
      </w:tr>
      <w:tr>
        <w:tc>
          <w:tcPr>
            <w:tcW w:w="1100" w:type="dxa"/>
          </w:tcPr>
          <w:p>
            <w:pPr>
              <w:spacing w:after="0" w:before="0"/>
            </w:pPr>
            <w:r/>
            <w:r>
              <w:rPr>
                <w:rFonts w:ascii="Arial" w:hAnsi="Arial" w:cs="Arial"/>
                <w:b w:val="0"/>
                <w:sz w:val="17"/>
              </w:rPr>
              <w:t>BR-005</w:t>
            </w:r>
          </w:p>
        </w:tc>
        <w:tc>
          <w:tcPr>
            <w:tcW w:w="3200" w:type="dxa"/>
          </w:tcPr>
          <w:p>
            <w:pPr>
              <w:spacing w:after="0" w:before="0"/>
            </w:pPr>
            <w:r/>
            <w:r>
              <w:rPr>
                <w:rFonts w:ascii="Arial" w:hAnsi="Arial" w:cs="Arial"/>
                <w:b w:val="0"/>
                <w:sz w:val="17"/>
              </w:rPr>
              <w:t>All mandatory sanction conditions cleared</w:t>
            </w:r>
          </w:p>
        </w:tc>
        <w:tc>
          <w:tcPr>
            <w:tcW w:w="2100" w:type="dxa"/>
          </w:tcPr>
          <w:p>
            <w:pPr>
              <w:spacing w:after="0" w:before="0"/>
            </w:pPr>
            <w:r/>
            <w:r>
              <w:rPr>
                <w:rFonts w:ascii="Arial" w:hAnsi="Arial" w:cs="Arial"/>
                <w:b w:val="0"/>
                <w:sz w:val="17"/>
              </w:rPr>
              <w:t>Disburse</w:t>
            </w:r>
          </w:p>
        </w:tc>
        <w:tc>
          <w:tcPr>
            <w:tcW w:w="2960" w:type="dxa"/>
          </w:tcPr>
          <w:p>
            <w:pPr>
              <w:spacing w:after="0" w:before="0"/>
            </w:pPr>
            <w:r/>
            <w:r>
              <w:rPr>
                <w:rFonts w:ascii="Arial" w:hAnsi="Arial" w:cs="Arial"/>
                <w:b w:val="0"/>
                <w:sz w:val="17"/>
              </w:rPr>
              <w:t>Block (BR_COND_PENDING)</w:t>
            </w:r>
          </w:p>
        </w:tc>
      </w:tr>
      <w:tr>
        <w:tc>
          <w:tcPr>
            <w:tcW w:w="1100" w:type="dxa"/>
          </w:tcPr>
          <w:p>
            <w:pPr>
              <w:spacing w:after="0" w:before="0"/>
            </w:pPr>
            <w:r/>
            <w:r>
              <w:rPr>
                <w:rFonts w:ascii="Arial" w:hAnsi="Arial" w:cs="Arial"/>
                <w:b w:val="0"/>
                <w:sz w:val="17"/>
              </w:rPr>
              <w:t>BR-006</w:t>
            </w:r>
          </w:p>
        </w:tc>
        <w:tc>
          <w:tcPr>
            <w:tcW w:w="3200" w:type="dxa"/>
          </w:tcPr>
          <w:p>
            <w:pPr>
              <w:spacing w:after="0" w:before="0"/>
            </w:pPr>
            <w:r/>
            <w:r>
              <w:rPr>
                <w:rFonts w:ascii="Arial" w:hAnsi="Arial" w:cs="Arial"/>
                <w:b w:val="0"/>
                <w:sz w:val="17"/>
              </w:rPr>
              <w:t>Every disbursement/repayment is idempotent</w:t>
            </w:r>
          </w:p>
        </w:tc>
        <w:tc>
          <w:tcPr>
            <w:tcW w:w="2100" w:type="dxa"/>
          </w:tcPr>
          <w:p>
            <w:pPr>
              <w:spacing w:after="0" w:before="0"/>
            </w:pPr>
            <w:r/>
            <w:r>
              <w:rPr>
                <w:rFonts w:ascii="Arial" w:hAnsi="Arial" w:cs="Arial"/>
                <w:b w:val="0"/>
                <w:sz w:val="17"/>
              </w:rPr>
              <w:t>Money API</w:t>
            </w:r>
          </w:p>
        </w:tc>
        <w:tc>
          <w:tcPr>
            <w:tcW w:w="2960" w:type="dxa"/>
          </w:tcPr>
          <w:p>
            <w:pPr>
              <w:spacing w:after="0" w:before="0"/>
            </w:pPr>
            <w:r/>
            <w:r>
              <w:rPr>
                <w:rFonts w:ascii="Arial" w:hAnsi="Arial" w:cs="Arial"/>
                <w:b w:val="0"/>
                <w:sz w:val="17"/>
              </w:rPr>
              <w:t>Replay stored result (409 on conflict)</w:t>
            </w:r>
          </w:p>
        </w:tc>
      </w:tr>
      <w:tr>
        <w:tc>
          <w:tcPr>
            <w:tcW w:w="1100" w:type="dxa"/>
          </w:tcPr>
          <w:p>
            <w:pPr>
              <w:spacing w:after="0" w:before="0"/>
            </w:pPr>
            <w:r/>
            <w:r>
              <w:rPr>
                <w:rFonts w:ascii="Arial" w:hAnsi="Arial" w:cs="Arial"/>
                <w:b w:val="0"/>
                <w:sz w:val="17"/>
              </w:rPr>
              <w:t>BR-007</w:t>
            </w:r>
          </w:p>
        </w:tc>
        <w:tc>
          <w:tcPr>
            <w:tcW w:w="3200" w:type="dxa"/>
          </w:tcPr>
          <w:p>
            <w:pPr>
              <w:spacing w:after="0" w:before="0"/>
            </w:pPr>
            <w:r/>
            <w:r>
              <w:rPr>
                <w:rFonts w:ascii="Arial" w:hAnsi="Arial" w:cs="Arial"/>
                <w:b w:val="0"/>
                <w:sz w:val="17"/>
              </w:rPr>
              <w:t>Penal charge = fee, non-compounding</w:t>
            </w:r>
          </w:p>
        </w:tc>
        <w:tc>
          <w:tcPr>
            <w:tcW w:w="2100" w:type="dxa"/>
          </w:tcPr>
          <w:p>
            <w:pPr>
              <w:spacing w:after="0" w:before="0"/>
            </w:pPr>
            <w:r/>
            <w:r>
              <w:rPr>
                <w:rFonts w:ascii="Arial" w:hAnsi="Arial" w:cs="Arial"/>
                <w:b w:val="0"/>
                <w:sz w:val="17"/>
              </w:rPr>
              <w:t>Overdue</w:t>
            </w:r>
          </w:p>
        </w:tc>
        <w:tc>
          <w:tcPr>
            <w:tcW w:w="2960" w:type="dxa"/>
          </w:tcPr>
          <w:p>
            <w:pPr>
              <w:spacing w:after="0" w:before="0"/>
            </w:pPr>
            <w:r/>
            <w:r>
              <w:rPr>
                <w:rFonts w:ascii="Arial" w:hAnsi="Arial" w:cs="Arial"/>
                <w:b w:val="0"/>
                <w:sz w:val="17"/>
              </w:rPr>
              <w:t>Post to penal-charge ledger only (§24.7)</w:t>
            </w:r>
          </w:p>
        </w:tc>
      </w:tr>
      <w:tr>
        <w:tc>
          <w:tcPr>
            <w:tcW w:w="1100" w:type="dxa"/>
          </w:tcPr>
          <w:p>
            <w:pPr>
              <w:spacing w:after="0" w:before="0"/>
            </w:pPr>
            <w:r/>
            <w:r>
              <w:rPr>
                <w:rFonts w:ascii="Arial" w:hAnsi="Arial" w:cs="Arial"/>
                <w:b w:val="0"/>
                <w:sz w:val="17"/>
              </w:rPr>
              <w:t>BR-008</w:t>
            </w:r>
          </w:p>
        </w:tc>
        <w:tc>
          <w:tcPr>
            <w:tcW w:w="3200" w:type="dxa"/>
          </w:tcPr>
          <w:p>
            <w:pPr>
              <w:spacing w:after="0" w:before="0"/>
            </w:pPr>
            <w:r/>
            <w:r>
              <w:rPr>
                <w:rFonts w:ascii="Arial" w:hAnsi="Arial" w:cs="Arial"/>
                <w:b w:val="0"/>
                <w:sz w:val="17"/>
              </w:rPr>
              <w:t>NPA at 90+ DPD; income on realisation</w:t>
            </w:r>
          </w:p>
        </w:tc>
        <w:tc>
          <w:tcPr>
            <w:tcW w:w="2100" w:type="dxa"/>
          </w:tcPr>
          <w:p>
            <w:pPr>
              <w:spacing w:after="0" w:before="0"/>
            </w:pPr>
            <w:r/>
            <w:r>
              <w:rPr>
                <w:rFonts w:ascii="Arial" w:hAnsi="Arial" w:cs="Arial"/>
                <w:b w:val="0"/>
                <w:sz w:val="17"/>
              </w:rPr>
              <w:t>Day-end classification</w:t>
            </w:r>
          </w:p>
        </w:tc>
        <w:tc>
          <w:tcPr>
            <w:tcW w:w="2960" w:type="dxa"/>
          </w:tcPr>
          <w:p>
            <w:pPr>
              <w:spacing w:after="0" w:before="0"/>
            </w:pPr>
            <w:r/>
            <w:r>
              <w:rPr>
                <w:rFonts w:ascii="Arial" w:hAnsi="Arial" w:cs="Arial"/>
                <w:b w:val="0"/>
                <w:sz w:val="17"/>
              </w:rPr>
              <w:t>Reverse interest (§33), provision</w:t>
            </w:r>
          </w:p>
        </w:tc>
      </w:tr>
      <w:tr>
        <w:tc>
          <w:tcPr>
            <w:tcW w:w="1100" w:type="dxa"/>
          </w:tcPr>
          <w:p>
            <w:pPr>
              <w:spacing w:after="0" w:before="0"/>
            </w:pPr>
            <w:r/>
            <w:r>
              <w:rPr>
                <w:rFonts w:ascii="Arial" w:hAnsi="Arial" w:cs="Arial"/>
                <w:b w:val="0"/>
                <w:sz w:val="17"/>
              </w:rPr>
              <w:t>BR-009</w:t>
            </w:r>
          </w:p>
        </w:tc>
        <w:tc>
          <w:tcPr>
            <w:tcW w:w="3200" w:type="dxa"/>
          </w:tcPr>
          <w:p>
            <w:pPr>
              <w:spacing w:after="0" w:before="0"/>
            </w:pPr>
            <w:r/>
            <w:r>
              <w:rPr>
                <w:rFonts w:ascii="Arial" w:hAnsi="Arial" w:cs="Arial"/>
                <w:b w:val="0"/>
                <w:sz w:val="17"/>
              </w:rPr>
              <w:t>LAS: 50% LTV maintained at all times</w:t>
            </w:r>
          </w:p>
        </w:tc>
        <w:tc>
          <w:tcPr>
            <w:tcW w:w="2100" w:type="dxa"/>
          </w:tcPr>
          <w:p>
            <w:pPr>
              <w:spacing w:after="0" w:before="0"/>
            </w:pPr>
            <w:r/>
            <w:r>
              <w:rPr>
                <w:rFonts w:ascii="Arial" w:hAnsi="Arial" w:cs="Arial"/>
                <w:b w:val="0"/>
                <w:sz w:val="17"/>
              </w:rPr>
              <w:t>Daily revaluation</w:t>
            </w:r>
          </w:p>
        </w:tc>
        <w:tc>
          <w:tcPr>
            <w:tcW w:w="2960" w:type="dxa"/>
          </w:tcPr>
          <w:p>
            <w:pPr>
              <w:spacing w:after="0" w:before="0"/>
            </w:pPr>
            <w:r/>
            <w:r>
              <w:rPr>
                <w:rFonts w:ascii="Arial" w:hAnsi="Arial" w:cs="Arial"/>
                <w:b w:val="0"/>
                <w:sz w:val="17"/>
              </w:rPr>
              <w:t>Margin call; cure 7 working days (§86)</w:t>
            </w:r>
          </w:p>
        </w:tc>
      </w:tr>
      <w:tr>
        <w:tc>
          <w:tcPr>
            <w:tcW w:w="1100" w:type="dxa"/>
          </w:tcPr>
          <w:p>
            <w:pPr>
              <w:spacing w:after="0" w:before="0"/>
            </w:pPr>
            <w:r/>
            <w:r>
              <w:rPr>
                <w:rFonts w:ascii="Arial" w:hAnsi="Arial" w:cs="Arial"/>
                <w:b w:val="0"/>
                <w:sz w:val="17"/>
              </w:rPr>
              <w:t>BR-010</w:t>
            </w:r>
          </w:p>
        </w:tc>
        <w:tc>
          <w:tcPr>
            <w:tcW w:w="3200" w:type="dxa"/>
          </w:tcPr>
          <w:p>
            <w:pPr>
              <w:spacing w:after="0" w:before="0"/>
            </w:pPr>
            <w:r/>
            <w:r>
              <w:rPr>
                <w:rFonts w:ascii="Arial" w:hAnsi="Arial" w:cs="Arial"/>
                <w:b w:val="0"/>
                <w:sz w:val="17"/>
              </w:rPr>
              <w:t>KFS with APR shown before acceptance</w:t>
            </w:r>
          </w:p>
        </w:tc>
        <w:tc>
          <w:tcPr>
            <w:tcW w:w="2100" w:type="dxa"/>
          </w:tcPr>
          <w:p>
            <w:pPr>
              <w:spacing w:after="0" w:before="0"/>
            </w:pPr>
            <w:r/>
            <w:r>
              <w:rPr>
                <w:rFonts w:ascii="Arial" w:hAnsi="Arial" w:cs="Arial"/>
                <w:b w:val="0"/>
                <w:sz w:val="17"/>
              </w:rPr>
              <w:t>Sanction</w:t>
            </w:r>
          </w:p>
        </w:tc>
        <w:tc>
          <w:tcPr>
            <w:tcW w:w="2960" w:type="dxa"/>
          </w:tcPr>
          <w:p>
            <w:pPr>
              <w:spacing w:after="0" w:before="0"/>
            </w:pPr>
            <w:r/>
            <w:r>
              <w:rPr>
                <w:rFonts w:ascii="Arial" w:hAnsi="Arial" w:cs="Arial"/>
                <w:b w:val="0"/>
                <w:sz w:val="17"/>
              </w:rPr>
              <w:t>Block acceptance without KFS (§17.1)</w:t>
            </w:r>
          </w:p>
        </w:tc>
      </w:tr>
    </w:tbl>
    <w:p/>
    <w:p>
      <w:pPr>
        <w:pStyle w:val="Heading1"/>
      </w:pPr>
      <w:r>
        <w:t>79. Calculation Pseudocode &amp; Reference Snippets</w:t>
      </w:r>
    </w:p>
    <w:p>
      <w:r>
        <w:rPr>
          <w:rFonts w:ascii="Arial" w:hAnsi="Arial" w:cs="Arial"/>
          <w:b w:val="0"/>
          <w:i w:val="0"/>
          <w:sz w:val="22"/>
        </w:rPr>
        <w:t>Language-agnostic reference logic for the core computations (Section 45), so developers implement them identically. Money is DECIMAL; round only at boundaries (Section 28).</w:t>
      </w:r>
    </w:p>
    <w:p>
      <w:pPr>
        <w:pStyle w:val="Heading2"/>
      </w:pPr>
      <w:r>
        <w:t>79.1 EMI &amp; Amortisation Schedule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function emi(P, annualRatePct, n):</w:t>
            </w:r>
            <w:r>
              <w:rPr>
                <w:rFonts w:ascii="Consolas" w:hAnsi="Consolas" w:cs="Consolas"/>
                <w:b w:val="0"/>
                <w:sz w:val="19"/>
              </w:rPr>
              <w:br/>
              <w:t xml:space="preserve">    r = (annualRatePct / 12) / 100</w:t>
            </w:r>
            <w:r>
              <w:rPr>
                <w:rFonts w:ascii="Consolas" w:hAnsi="Consolas" w:cs="Consolas"/>
                <w:b w:val="0"/>
                <w:sz w:val="19"/>
              </w:rPr>
              <w:br/>
              <w:t xml:space="preserve">    if r == 0: return P / n</w:t>
            </w:r>
            <w:r>
              <w:rPr>
                <w:rFonts w:ascii="Consolas" w:hAnsi="Consolas" w:cs="Consolas"/>
                <w:b w:val="0"/>
                <w:sz w:val="19"/>
              </w:rPr>
              <w:br/>
              <w:t xml:space="preserve">    return P * r * (1+r)^n / ((1+r)^n - 1)</w:t>
            </w:r>
            <w:r>
              <w:rPr>
                <w:rFonts w:ascii="Consolas" w:hAnsi="Consolas" w:cs="Consolas"/>
                <w:b w:val="0"/>
                <w:sz w:val="19"/>
              </w:rPr>
              <w:br/>
              <w:t/>
            </w:r>
            <w:r>
              <w:rPr>
                <w:rFonts w:ascii="Consolas" w:hAnsi="Consolas" w:cs="Consolas"/>
                <w:b w:val="0"/>
                <w:sz w:val="19"/>
              </w:rPr>
              <w:br/>
              <w:t>function schedule(P, annualRatePct, n):</w:t>
            </w:r>
            <w:r>
              <w:rPr>
                <w:rFonts w:ascii="Consolas" w:hAnsi="Consolas" w:cs="Consolas"/>
                <w:b w:val="0"/>
                <w:sz w:val="19"/>
              </w:rPr>
              <w:br/>
              <w:t xml:space="preserve">    r = (annualRatePct/12)/100</w:t>
            </w:r>
            <w:r>
              <w:rPr>
                <w:rFonts w:ascii="Consolas" w:hAnsi="Consolas" w:cs="Consolas"/>
                <w:b w:val="0"/>
                <w:sz w:val="19"/>
              </w:rPr>
              <w:br/>
              <w:t xml:space="preserve">    emiAmt = round2(emi(P, annualRatePct, n))</w:t>
            </w:r>
            <w:r>
              <w:rPr>
                <w:rFonts w:ascii="Consolas" w:hAnsi="Consolas" w:cs="Consolas"/>
                <w:b w:val="0"/>
                <w:sz w:val="19"/>
              </w:rPr>
              <w:br/>
              <w:t xml:space="preserve">    bal = P; rows = []</w:t>
            </w:r>
            <w:r>
              <w:rPr>
                <w:rFonts w:ascii="Consolas" w:hAnsi="Consolas" w:cs="Consolas"/>
                <w:b w:val="0"/>
                <w:sz w:val="19"/>
              </w:rPr>
              <w:br/>
              <w:t xml:space="preserve">    for i in 1..n:</w:t>
            </w:r>
            <w:r>
              <w:rPr>
                <w:rFonts w:ascii="Consolas" w:hAnsi="Consolas" w:cs="Consolas"/>
                <w:b w:val="0"/>
                <w:sz w:val="19"/>
              </w:rPr>
              <w:br/>
              <w:t xml:space="preserve">        interest = round2(bal * r)</w:t>
            </w:r>
            <w:r>
              <w:rPr>
                <w:rFonts w:ascii="Consolas" w:hAnsi="Consolas" w:cs="Consolas"/>
                <w:b w:val="0"/>
                <w:sz w:val="19"/>
              </w:rPr>
              <w:br/>
              <w:t xml:space="preserve">        principal = emiAmt - interest</w:t>
            </w:r>
            <w:r>
              <w:rPr>
                <w:rFonts w:ascii="Consolas" w:hAnsi="Consolas" w:cs="Consolas"/>
                <w:b w:val="0"/>
                <w:sz w:val="19"/>
              </w:rPr>
              <w:br/>
              <w:t xml:space="preserve">        if i == n: principal = bal; emiAmt = principal + interest   # last EMI absorbs residual</w:t>
            </w:r>
            <w:r>
              <w:rPr>
                <w:rFonts w:ascii="Consolas" w:hAnsi="Consolas" w:cs="Consolas"/>
                <w:b w:val="0"/>
                <w:sz w:val="19"/>
              </w:rPr>
              <w:br/>
              <w:t xml:space="preserve">        bal = bal - principal</w:t>
            </w:r>
            <w:r>
              <w:rPr>
                <w:rFonts w:ascii="Consolas" w:hAnsi="Consolas" w:cs="Consolas"/>
                <w:b w:val="0"/>
                <w:sz w:val="19"/>
              </w:rPr>
              <w:br/>
              <w:t xml:space="preserve">        rows.add({i, emiAmt, principal, interest, balance: max(bal,0)})</w:t>
            </w:r>
            <w:r>
              <w:rPr>
                <w:rFonts w:ascii="Consolas" w:hAnsi="Consolas" w:cs="Consolas"/>
                <w:b w:val="0"/>
                <w:sz w:val="19"/>
              </w:rPr>
              <w:br/>
              <w:t xml:space="preserve">    return rows</w:t>
            </w:r>
          </w:p>
        </w:tc>
      </w:tr>
    </w:tbl>
    <w:p/>
    <w:p>
      <w:pPr>
        <w:pStyle w:val="Heading2"/>
      </w:pPr>
      <w:r>
        <w:t>79.2 Daily Interest Accrual (reducing/daily-rest)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function dailyAccrual(outstanding, annualRatePct, dayCountBasis):</w:t>
            </w:r>
            <w:r>
              <w:rPr>
                <w:rFonts w:ascii="Consolas" w:hAnsi="Consolas" w:cs="Consolas"/>
                <w:b w:val="0"/>
                <w:sz w:val="19"/>
              </w:rPr>
              <w:br/>
              <w:t xml:space="preserve">    dailyRate = (annualRatePct/100) / dayCountBasis    # 365 or 360 per product</w:t>
            </w:r>
            <w:r>
              <w:rPr>
                <w:rFonts w:ascii="Consolas" w:hAnsi="Consolas" w:cs="Consolas"/>
                <w:b w:val="0"/>
                <w:sz w:val="19"/>
              </w:rPr>
              <w:br/>
              <w:t xml:space="preserve">    return round4(outstanding * dailyRate)             # accrue at 4dp, post monthly</w:t>
            </w:r>
          </w:p>
        </w:tc>
      </w:tr>
    </w:tbl>
    <w:p/>
    <w:p>
      <w:pPr>
        <w:pStyle w:val="Heading2"/>
      </w:pPr>
      <w:r>
        <w:t>79.3 APR / EIR (iterative IRR)</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function irrMonthly(cashflows):        # cashflows[0] = -(net disbursed), then +EMIs</w:t>
            </w:r>
            <w:r>
              <w:rPr>
                <w:rFonts w:ascii="Consolas" w:hAnsi="Consolas" w:cs="Consolas"/>
                <w:b w:val="0"/>
                <w:sz w:val="19"/>
              </w:rPr>
              <w:br/>
              <w:t xml:space="preserve">    lo = -0.95; hi = 2.0</w:t>
            </w:r>
            <w:r>
              <w:rPr>
                <w:rFonts w:ascii="Consolas" w:hAnsi="Consolas" w:cs="Consolas"/>
                <w:b w:val="0"/>
                <w:sz w:val="19"/>
              </w:rPr>
              <w:br/>
              <w:t xml:space="preserve">    repeat 200 times:</w:t>
            </w:r>
            <w:r>
              <w:rPr>
                <w:rFonts w:ascii="Consolas" w:hAnsi="Consolas" w:cs="Consolas"/>
                <w:b w:val="0"/>
                <w:sz w:val="19"/>
              </w:rPr>
              <w:br/>
              <w:t xml:space="preserve">        mid = (lo+hi)/2</w:t>
            </w:r>
            <w:r>
              <w:rPr>
                <w:rFonts w:ascii="Consolas" w:hAnsi="Consolas" w:cs="Consolas"/>
                <w:b w:val="0"/>
                <w:sz w:val="19"/>
              </w:rPr>
              <w:br/>
              <w:t xml:space="preserve">        if npv(cashflows, mid) &gt; 0: lo = mid else: hi = mid</w:t>
            </w:r>
            <w:r>
              <w:rPr>
                <w:rFonts w:ascii="Consolas" w:hAnsi="Consolas" w:cs="Consolas"/>
                <w:b w:val="0"/>
                <w:sz w:val="19"/>
              </w:rPr>
              <w:br/>
              <w:t xml:space="preserve">    return (lo+hi)/2</w:t>
            </w:r>
            <w:r>
              <w:rPr>
                <w:rFonts w:ascii="Consolas" w:hAnsi="Consolas" w:cs="Consolas"/>
                <w:b w:val="0"/>
                <w:sz w:val="19"/>
              </w:rPr>
              <w:br/>
              <w:t>function aprPct(cashflows): return ((1 + irrMonthly(cashflows))^12 - 1) * 100</w:t>
            </w:r>
          </w:p>
        </w:tc>
      </w:tr>
    </w:tbl>
    <w:p/>
    <w:p>
      <w:pPr>
        <w:pStyle w:val="Heading2"/>
      </w:pPr>
      <w:r>
        <w:t>79.4 Provisioning (IRAC) &amp; higher-of-ECL</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provision = 0</w:t>
            </w:r>
            <w:r>
              <w:rPr>
                <w:rFonts w:ascii="Consolas" w:hAnsi="Consolas" w:cs="Consolas"/>
                <w:b w:val="0"/>
                <w:sz w:val="19"/>
              </w:rPr>
              <w:br/>
              <w:t>for bucket in [STANDARD, SUBSTANDARD, DOUBTFUL, LOSS]:</w:t>
            </w:r>
            <w:r>
              <w:rPr>
                <w:rFonts w:ascii="Consolas" w:hAnsi="Consolas" w:cs="Consolas"/>
                <w:b w:val="0"/>
                <w:sz w:val="19"/>
              </w:rPr>
              <w:br/>
              <w:t xml:space="preserve">    provision += outstanding[bucket] * ratePct[bucket] / 100     # rates from config (§9.4)</w:t>
            </w:r>
            <w:r>
              <w:rPr>
                <w:rFonts w:ascii="Consolas" w:hAnsi="Consolas" w:cs="Consolas"/>
                <w:b w:val="0"/>
                <w:sz w:val="19"/>
              </w:rPr>
              <w:br/>
              <w:t>finalImpairment = max(provision, eclLifetimeOr12m)               # Ind AS 109 floor (§30)</w:t>
            </w:r>
          </w:p>
        </w:tc>
      </w:tr>
    </w:tbl>
    <w:p/>
    <w:p>
      <w:pPr>
        <w:pStyle w:val="Heading1"/>
      </w:pPr>
      <w:r>
        <w:t>80. Master Code Lists / Enumerations</w:t>
      </w:r>
    </w:p>
    <w:p>
      <w:r>
        <w:rPr>
          <w:rFonts w:ascii="Arial" w:hAnsi="Arial" w:cs="Arial"/>
          <w:b w:val="0"/>
          <w:i w:val="0"/>
          <w:sz w:val="22"/>
        </w:rPr>
        <w:t>Canonical code sets used across the platform. The complete, machine-readable list is delivered as the Code-List companion spreadsheet; key sets are shown here.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7160"/>
      </w:tblGrid>
      <w:tr>
        <w:tc>
          <w:tcPr>
            <w:tcW w:w="2200" w:type="dxa"/>
            <w:shd w:val="clear" w:color="auto" w:fill="1F4E78"/>
          </w:tcPr>
          <w:p>
            <w:pPr>
              <w:spacing w:after="0" w:before="0"/>
            </w:pPr>
            <w:r/>
            <w:r>
              <w:rPr>
                <w:rFonts w:ascii="Arial" w:hAnsi="Arial" w:cs="Arial"/>
                <w:b/>
                <w:color w:val="FFFFFF"/>
                <w:sz w:val="17"/>
              </w:rPr>
              <w:t>Code set</w:t>
            </w:r>
          </w:p>
        </w:tc>
        <w:tc>
          <w:tcPr>
            <w:tcW w:w="7160" w:type="dxa"/>
            <w:shd w:val="clear" w:color="auto" w:fill="1F4E78"/>
          </w:tcPr>
          <w:p>
            <w:pPr>
              <w:spacing w:after="0" w:before="0"/>
            </w:pPr>
            <w:r/>
            <w:r>
              <w:rPr>
                <w:rFonts w:ascii="Arial" w:hAnsi="Arial" w:cs="Arial"/>
                <w:b/>
                <w:color w:val="FFFFFF"/>
                <w:sz w:val="17"/>
              </w:rPr>
              <w:t>Values (illustrative)</w:t>
            </w:r>
          </w:p>
        </w:tc>
      </w:tr>
      <w:tr>
        <w:tc>
          <w:tcPr>
            <w:tcW w:w="2200" w:type="dxa"/>
          </w:tcPr>
          <w:p>
            <w:pPr>
              <w:spacing w:after="0" w:before="0"/>
            </w:pPr>
            <w:r/>
            <w:r>
              <w:rPr>
                <w:rFonts w:ascii="Arial" w:hAnsi="Arial" w:cs="Arial"/>
                <w:b w:val="0"/>
                <w:sz w:val="17"/>
              </w:rPr>
              <w:t>Application status</w:t>
            </w:r>
          </w:p>
        </w:tc>
        <w:tc>
          <w:tcPr>
            <w:tcW w:w="7160" w:type="dxa"/>
          </w:tcPr>
          <w:p>
            <w:pPr>
              <w:spacing w:after="0" w:before="0"/>
            </w:pPr>
            <w:r/>
            <w:r>
              <w:rPr>
                <w:rFonts w:ascii="Arial" w:hAnsi="Arial" w:cs="Arial"/>
                <w:b w:val="0"/>
                <w:sz w:val="17"/>
              </w:rPr>
              <w:t>DRAFT, SUBMITTED, DOCS_PENDING, UNDER_APPRAISAL, APPROVED, SANCTIONED, AGREEMENT_PENDING, DISBURSED, REJECTED, WITHDRAWN, CANCELLED</w:t>
            </w:r>
          </w:p>
        </w:tc>
      </w:tr>
      <w:tr>
        <w:tc>
          <w:tcPr>
            <w:tcW w:w="2200" w:type="dxa"/>
          </w:tcPr>
          <w:p>
            <w:pPr>
              <w:spacing w:after="0" w:before="0"/>
            </w:pPr>
            <w:r/>
            <w:r>
              <w:rPr>
                <w:rFonts w:ascii="Arial" w:hAnsi="Arial" w:cs="Arial"/>
                <w:b w:val="0"/>
                <w:sz w:val="17"/>
              </w:rPr>
              <w:t>Loan status</w:t>
            </w:r>
          </w:p>
        </w:tc>
        <w:tc>
          <w:tcPr>
            <w:tcW w:w="7160" w:type="dxa"/>
          </w:tcPr>
          <w:p>
            <w:pPr>
              <w:spacing w:after="0" w:before="0"/>
            </w:pPr>
            <w:r/>
            <w:r>
              <w:rPr>
                <w:rFonts w:ascii="Arial" w:hAnsi="Arial" w:cs="Arial"/>
                <w:b w:val="0"/>
                <w:sz w:val="17"/>
              </w:rPr>
              <w:t>ACTIVE, OVERDUE_1, OVERDUE_2, OVERDUE_3, NPA_SUBSTANDARD, NPA_DOUBTFUL, NPA_LOSS, RESTRUCTURED, WRITTEN_OFF, SETTLED, FORECLOSED, CLOSED</w:t>
            </w:r>
          </w:p>
        </w:tc>
      </w:tr>
      <w:tr>
        <w:tc>
          <w:tcPr>
            <w:tcW w:w="2200" w:type="dxa"/>
          </w:tcPr>
          <w:p>
            <w:pPr>
              <w:spacing w:after="0" w:before="0"/>
            </w:pPr>
            <w:r/>
            <w:r>
              <w:rPr>
                <w:rFonts w:ascii="Arial" w:hAnsi="Arial" w:cs="Arial"/>
                <w:b w:val="0"/>
                <w:sz w:val="17"/>
              </w:rPr>
              <w:t>Collateral status</w:t>
            </w:r>
          </w:p>
        </w:tc>
        <w:tc>
          <w:tcPr>
            <w:tcW w:w="7160" w:type="dxa"/>
          </w:tcPr>
          <w:p>
            <w:pPr>
              <w:spacing w:after="0" w:before="0"/>
            </w:pPr>
            <w:r/>
            <w:r>
              <w:rPr>
                <w:rFonts w:ascii="Arial" w:hAnsi="Arial" w:cs="Arial"/>
                <w:b w:val="0"/>
                <w:sz w:val="17"/>
              </w:rPr>
              <w:t>PENDING_VERIFICATION, VERIFIED, PLEDGED/REGISTERED, ACTIVE, PARTIALLY_RELEASED, RELEASED, INVOKED, AUCTIONED, REPOSSESSED</w:t>
            </w:r>
          </w:p>
        </w:tc>
      </w:tr>
      <w:tr>
        <w:tc>
          <w:tcPr>
            <w:tcW w:w="2200" w:type="dxa"/>
          </w:tcPr>
          <w:p>
            <w:pPr>
              <w:spacing w:after="0" w:before="0"/>
            </w:pPr>
            <w:r/>
            <w:r>
              <w:rPr>
                <w:rFonts w:ascii="Arial" w:hAnsi="Arial" w:cs="Arial"/>
                <w:b w:val="0"/>
                <w:sz w:val="17"/>
              </w:rPr>
              <w:t>Document status</w:t>
            </w:r>
          </w:p>
        </w:tc>
        <w:tc>
          <w:tcPr>
            <w:tcW w:w="7160" w:type="dxa"/>
          </w:tcPr>
          <w:p>
            <w:pPr>
              <w:spacing w:after="0" w:before="0"/>
            </w:pPr>
            <w:r/>
            <w:r>
              <w:rPr>
                <w:rFonts w:ascii="Arial" w:hAnsi="Arial" w:cs="Arial"/>
                <w:b w:val="0"/>
                <w:sz w:val="17"/>
              </w:rPr>
              <w:t>PENDING_UPLOAD, UPLOADED, UNDER_REVIEW, VERIFIED, REJECTED, EXPIRED</w:t>
            </w:r>
          </w:p>
        </w:tc>
      </w:tr>
      <w:tr>
        <w:tc>
          <w:tcPr>
            <w:tcW w:w="2200" w:type="dxa"/>
          </w:tcPr>
          <w:p>
            <w:pPr>
              <w:spacing w:after="0" w:before="0"/>
            </w:pPr>
            <w:r/>
            <w:r>
              <w:rPr>
                <w:rFonts w:ascii="Arial" w:hAnsi="Arial" w:cs="Arial"/>
                <w:b w:val="0"/>
                <w:sz w:val="17"/>
              </w:rPr>
              <w:t>Product code</w:t>
            </w:r>
          </w:p>
        </w:tc>
        <w:tc>
          <w:tcPr>
            <w:tcW w:w="7160" w:type="dxa"/>
          </w:tcPr>
          <w:p>
            <w:pPr>
              <w:spacing w:after="0" w:before="0"/>
            </w:pPr>
            <w:r/>
            <w:r>
              <w:rPr>
                <w:rFonts w:ascii="Arial" w:hAnsi="Arial" w:cs="Arial"/>
                <w:b w:val="0"/>
                <w:sz w:val="17"/>
              </w:rPr>
              <w:t>LAS, SCL, LAP, GL, PL, BL-UNSEC, VL, TW, SCF, MFI, FACT, TREDS, … (Section 3)</w:t>
            </w:r>
          </w:p>
        </w:tc>
      </w:tr>
      <w:tr>
        <w:tc>
          <w:tcPr>
            <w:tcW w:w="2200" w:type="dxa"/>
          </w:tcPr>
          <w:p>
            <w:pPr>
              <w:spacing w:after="0" w:before="0"/>
            </w:pPr>
            <w:r/>
            <w:r>
              <w:rPr>
                <w:rFonts w:ascii="Arial" w:hAnsi="Arial" w:cs="Arial"/>
                <w:b w:val="0"/>
                <w:sz w:val="17"/>
              </w:rPr>
              <w:t>Purpose code</w:t>
            </w:r>
          </w:p>
        </w:tc>
        <w:tc>
          <w:tcPr>
            <w:tcW w:w="7160" w:type="dxa"/>
          </w:tcPr>
          <w:p>
            <w:pPr>
              <w:spacing w:after="0" w:before="0"/>
            </w:pPr>
            <w:r/>
            <w:r>
              <w:rPr>
                <w:rFonts w:ascii="Arial" w:hAnsi="Arial" w:cs="Arial"/>
                <w:b w:val="0"/>
                <w:sz w:val="17"/>
              </w:rPr>
              <w:t>BUSINESS, WORKING_CAPITAL, PERSONAL, MEDICAL, EDUCATION, DEBT_CONSOLIDATION, …</w:t>
            </w:r>
          </w:p>
        </w:tc>
      </w:tr>
      <w:tr>
        <w:tc>
          <w:tcPr>
            <w:tcW w:w="2200" w:type="dxa"/>
          </w:tcPr>
          <w:p>
            <w:pPr>
              <w:spacing w:after="0" w:before="0"/>
            </w:pPr>
            <w:r/>
            <w:r>
              <w:rPr>
                <w:rFonts w:ascii="Arial" w:hAnsi="Arial" w:cs="Arial"/>
                <w:b w:val="0"/>
                <w:sz w:val="17"/>
              </w:rPr>
              <w:t>Channel</w:t>
            </w:r>
          </w:p>
        </w:tc>
        <w:tc>
          <w:tcPr>
            <w:tcW w:w="7160" w:type="dxa"/>
          </w:tcPr>
          <w:p>
            <w:pPr>
              <w:spacing w:after="0" w:before="0"/>
            </w:pPr>
            <w:r/>
            <w:r>
              <w:rPr>
                <w:rFonts w:ascii="Arial" w:hAnsi="Arial" w:cs="Arial"/>
                <w:b w:val="0"/>
                <w:sz w:val="17"/>
              </w:rPr>
              <w:t>BRANCH, DSA, DIGITAL, LSP, CAMPAIGN</w:t>
            </w:r>
          </w:p>
        </w:tc>
      </w:tr>
      <w:tr>
        <w:tc>
          <w:tcPr>
            <w:tcW w:w="2200" w:type="dxa"/>
          </w:tcPr>
          <w:p>
            <w:pPr>
              <w:spacing w:after="0" w:before="0"/>
            </w:pPr>
            <w:r/>
            <w:r>
              <w:rPr>
                <w:rFonts w:ascii="Arial" w:hAnsi="Arial" w:cs="Arial"/>
                <w:b w:val="0"/>
                <w:sz w:val="17"/>
              </w:rPr>
              <w:t>Repayment mode</w:t>
            </w:r>
          </w:p>
        </w:tc>
        <w:tc>
          <w:tcPr>
            <w:tcW w:w="7160" w:type="dxa"/>
          </w:tcPr>
          <w:p>
            <w:pPr>
              <w:spacing w:after="0" w:before="0"/>
            </w:pPr>
            <w:r/>
            <w:r>
              <w:rPr>
                <w:rFonts w:ascii="Arial" w:hAnsi="Arial" w:cs="Arial"/>
                <w:b w:val="0"/>
                <w:sz w:val="17"/>
              </w:rPr>
              <w:t>NACH, UPI, IMPS, NEFT, RTGS, CASH, CHEQUE</w:t>
            </w:r>
          </w:p>
        </w:tc>
      </w:tr>
      <w:tr>
        <w:tc>
          <w:tcPr>
            <w:tcW w:w="2200" w:type="dxa"/>
          </w:tcPr>
          <w:p>
            <w:pPr>
              <w:spacing w:after="0" w:before="0"/>
            </w:pPr>
            <w:r/>
            <w:r>
              <w:rPr>
                <w:rFonts w:ascii="Arial" w:hAnsi="Arial" w:cs="Arial"/>
                <w:b w:val="0"/>
                <w:sz w:val="17"/>
              </w:rPr>
              <w:t>GL nature</w:t>
            </w:r>
          </w:p>
        </w:tc>
        <w:tc>
          <w:tcPr>
            <w:tcW w:w="7160" w:type="dxa"/>
          </w:tcPr>
          <w:p>
            <w:pPr>
              <w:spacing w:after="0" w:before="0"/>
            </w:pPr>
            <w:r/>
            <w:r>
              <w:rPr>
                <w:rFonts w:ascii="Arial" w:hAnsi="Arial" w:cs="Arial"/>
                <w:b w:val="0"/>
                <w:sz w:val="17"/>
              </w:rPr>
              <w:t>ASSET, LIABILITY, EQUITY, INCOME, EXPENSE</w:t>
            </w:r>
          </w:p>
        </w:tc>
      </w:tr>
      <w:tr>
        <w:tc>
          <w:tcPr>
            <w:tcW w:w="2200" w:type="dxa"/>
          </w:tcPr>
          <w:p>
            <w:pPr>
              <w:spacing w:after="0" w:before="0"/>
            </w:pPr>
            <w:r/>
            <w:r>
              <w:rPr>
                <w:rFonts w:ascii="Arial" w:hAnsi="Arial" w:cs="Arial"/>
                <w:b w:val="0"/>
                <w:sz w:val="17"/>
              </w:rPr>
              <w:t>Return code</w:t>
            </w:r>
          </w:p>
        </w:tc>
        <w:tc>
          <w:tcPr>
            <w:tcW w:w="7160" w:type="dxa"/>
          </w:tcPr>
          <w:p>
            <w:pPr>
              <w:spacing w:after="0" w:before="0"/>
            </w:pPr>
            <w:r/>
            <w:r>
              <w:rPr>
                <w:rFonts w:ascii="Arial" w:hAnsi="Arial" w:cs="Arial"/>
                <w:b w:val="0"/>
                <w:sz w:val="17"/>
              </w:rPr>
              <w:t>NBS-1, NBS-2, NBS-7, ALM, CRILC, CIMS, SAC, … (Section 9.2)</w:t>
            </w:r>
          </w:p>
        </w:tc>
      </w:tr>
      <w:tr>
        <w:tc>
          <w:tcPr>
            <w:tcW w:w="2200" w:type="dxa"/>
          </w:tcPr>
          <w:p>
            <w:pPr>
              <w:spacing w:after="0" w:before="0"/>
            </w:pPr>
            <w:r/>
            <w:r>
              <w:rPr>
                <w:rFonts w:ascii="Arial" w:hAnsi="Arial" w:cs="Arial"/>
                <w:b w:val="0"/>
                <w:sz w:val="17"/>
              </w:rPr>
              <w:t>NACH return reason</w:t>
            </w:r>
          </w:p>
        </w:tc>
        <w:tc>
          <w:tcPr>
            <w:tcW w:w="7160" w:type="dxa"/>
          </w:tcPr>
          <w:p>
            <w:pPr>
              <w:spacing w:after="0" w:before="0"/>
            </w:pPr>
            <w:r/>
            <w:r>
              <w:rPr>
                <w:rFonts w:ascii="Arial" w:hAnsi="Arial" w:cs="Arial"/>
                <w:b w:val="0"/>
                <w:sz w:val="17"/>
              </w:rPr>
              <w:t>INSUFFICIENT_FUNDS, ACCOUNT_CLOSED, MANDATE_CANCELLED, SIGNATURE_MISMATCH, …</w:t>
            </w:r>
          </w:p>
        </w:tc>
      </w:tr>
      <w:tr>
        <w:tc>
          <w:tcPr>
            <w:tcW w:w="2200" w:type="dxa"/>
          </w:tcPr>
          <w:p>
            <w:pPr>
              <w:spacing w:after="0" w:before="0"/>
            </w:pPr>
            <w:r/>
            <w:r>
              <w:rPr>
                <w:rFonts w:ascii="Arial" w:hAnsi="Arial" w:cs="Arial"/>
                <w:b w:val="0"/>
                <w:sz w:val="17"/>
              </w:rPr>
              <w:t>Rejection reason</w:t>
            </w:r>
          </w:p>
        </w:tc>
        <w:tc>
          <w:tcPr>
            <w:tcW w:w="7160" w:type="dxa"/>
          </w:tcPr>
          <w:p>
            <w:pPr>
              <w:spacing w:after="0" w:before="0"/>
            </w:pPr>
            <w:r/>
            <w:r>
              <w:rPr>
                <w:rFonts w:ascii="Arial" w:hAnsi="Arial" w:cs="Arial"/>
                <w:b w:val="0"/>
                <w:sz w:val="17"/>
              </w:rPr>
              <w:t>LOW_SCORE, HIGH_FOIR, NEGATIVE_LIST, INCOMPLETE_DOCS, POLICY_DEVIATION</w:t>
            </w:r>
          </w:p>
        </w:tc>
      </w:tr>
    </w:tbl>
    <w:p/>
    <w:p>
      <w:pPr>
        <w:pStyle w:val="Heading1"/>
      </w:pPr>
      <w:r>
        <w:t>81. Domain Event &amp; Webhook Catalog</w:t>
      </w:r>
    </w:p>
    <w:p>
      <w:r>
        <w:rPr>
          <w:rFonts w:ascii="Arial" w:hAnsi="Arial" w:cs="Arial"/>
          <w:b w:val="0"/>
          <w:i w:val="0"/>
          <w:sz w:val="22"/>
        </w:rPr>
        <w:t>The event-driven parts (accrual, disbursement, reporting) publish domain events (Section 38 outbox pattern). Partners receive HMAC-signed, idempotent webhooks with retry and dead-lettering.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2100"/>
        <w:gridCol w:w="3160"/>
        <w:gridCol w:w="2000"/>
      </w:tblGrid>
      <w:tr>
        <w:tc>
          <w:tcPr>
            <w:tcW w:w="2100" w:type="dxa"/>
            <w:shd w:val="clear" w:color="auto" w:fill="1F4E78"/>
          </w:tcPr>
          <w:p>
            <w:pPr>
              <w:spacing w:after="0" w:before="0"/>
            </w:pPr>
            <w:r/>
            <w:r>
              <w:rPr>
                <w:rFonts w:ascii="Arial" w:hAnsi="Arial" w:cs="Arial"/>
                <w:b/>
                <w:color w:val="FFFFFF"/>
                <w:sz w:val="17"/>
              </w:rPr>
              <w:t>Event</w:t>
            </w:r>
          </w:p>
        </w:tc>
        <w:tc>
          <w:tcPr>
            <w:tcW w:w="2100" w:type="dxa"/>
            <w:shd w:val="clear" w:color="auto" w:fill="1F4E78"/>
          </w:tcPr>
          <w:p>
            <w:pPr>
              <w:spacing w:after="0" w:before="0"/>
            </w:pPr>
            <w:r/>
            <w:r>
              <w:rPr>
                <w:rFonts w:ascii="Arial" w:hAnsi="Arial" w:cs="Arial"/>
                <w:b/>
                <w:color w:val="FFFFFF"/>
                <w:sz w:val="17"/>
              </w:rPr>
              <w:t>Trigger</w:t>
            </w:r>
          </w:p>
        </w:tc>
        <w:tc>
          <w:tcPr>
            <w:tcW w:w="3160" w:type="dxa"/>
            <w:shd w:val="clear" w:color="auto" w:fill="1F4E78"/>
          </w:tcPr>
          <w:p>
            <w:pPr>
              <w:spacing w:after="0" w:before="0"/>
            </w:pPr>
            <w:r/>
            <w:r>
              <w:rPr>
                <w:rFonts w:ascii="Arial" w:hAnsi="Arial" w:cs="Arial"/>
                <w:b/>
                <w:color w:val="FFFFFF"/>
                <w:sz w:val="17"/>
              </w:rPr>
              <w:t>Key payload</w:t>
            </w:r>
          </w:p>
        </w:tc>
        <w:tc>
          <w:tcPr>
            <w:tcW w:w="2000" w:type="dxa"/>
            <w:shd w:val="clear" w:color="auto" w:fill="1F4E78"/>
          </w:tcPr>
          <w:p>
            <w:pPr>
              <w:spacing w:after="0" w:before="0"/>
            </w:pPr>
            <w:r/>
            <w:r>
              <w:rPr>
                <w:rFonts w:ascii="Arial" w:hAnsi="Arial" w:cs="Arial"/>
                <w:b/>
                <w:color w:val="FFFFFF"/>
                <w:sz w:val="17"/>
              </w:rPr>
              <w:t>Consumers</w:t>
            </w:r>
          </w:p>
        </w:tc>
      </w:tr>
      <w:tr>
        <w:tc>
          <w:tcPr>
            <w:tcW w:w="2100" w:type="dxa"/>
          </w:tcPr>
          <w:p>
            <w:pPr>
              <w:spacing w:after="0" w:before="0"/>
            </w:pPr>
            <w:r/>
            <w:r>
              <w:rPr>
                <w:rFonts w:ascii="Arial" w:hAnsi="Arial" w:cs="Arial"/>
                <w:b w:val="0"/>
                <w:sz w:val="17"/>
              </w:rPr>
              <w:t>application.created</w:t>
            </w:r>
          </w:p>
        </w:tc>
        <w:tc>
          <w:tcPr>
            <w:tcW w:w="2100" w:type="dxa"/>
          </w:tcPr>
          <w:p>
            <w:pPr>
              <w:spacing w:after="0" w:before="0"/>
            </w:pPr>
            <w:r/>
            <w:r>
              <w:rPr>
                <w:rFonts w:ascii="Arial" w:hAnsi="Arial" w:cs="Arial"/>
                <w:b w:val="0"/>
                <w:sz w:val="17"/>
              </w:rPr>
              <w:t>New application</w:t>
            </w:r>
          </w:p>
        </w:tc>
        <w:tc>
          <w:tcPr>
            <w:tcW w:w="3160" w:type="dxa"/>
          </w:tcPr>
          <w:p>
            <w:pPr>
              <w:spacing w:after="0" w:before="0"/>
            </w:pPr>
            <w:r/>
            <w:r>
              <w:rPr>
                <w:rFonts w:ascii="Arial" w:hAnsi="Arial" w:cs="Arial"/>
                <w:b w:val="0"/>
                <w:sz w:val="17"/>
              </w:rPr>
              <w:t>applicationId, partyId, productCode</w:t>
            </w:r>
          </w:p>
        </w:tc>
        <w:tc>
          <w:tcPr>
            <w:tcW w:w="2000" w:type="dxa"/>
          </w:tcPr>
          <w:p>
            <w:pPr>
              <w:spacing w:after="0" w:before="0"/>
            </w:pPr>
            <w:r/>
            <w:r>
              <w:rPr>
                <w:rFonts w:ascii="Arial" w:hAnsi="Arial" w:cs="Arial"/>
                <w:b w:val="0"/>
                <w:sz w:val="17"/>
              </w:rPr>
              <w:t>LOS, analytics</w:t>
            </w:r>
          </w:p>
        </w:tc>
      </w:tr>
      <w:tr>
        <w:tc>
          <w:tcPr>
            <w:tcW w:w="2100" w:type="dxa"/>
          </w:tcPr>
          <w:p>
            <w:pPr>
              <w:spacing w:after="0" w:before="0"/>
            </w:pPr>
            <w:r/>
            <w:r>
              <w:rPr>
                <w:rFonts w:ascii="Arial" w:hAnsi="Arial" w:cs="Arial"/>
                <w:b w:val="0"/>
                <w:sz w:val="17"/>
              </w:rPr>
              <w:t>bureau.pulled</w:t>
            </w:r>
          </w:p>
        </w:tc>
        <w:tc>
          <w:tcPr>
            <w:tcW w:w="2100" w:type="dxa"/>
          </w:tcPr>
          <w:p>
            <w:pPr>
              <w:spacing w:after="0" w:before="0"/>
            </w:pPr>
            <w:r/>
            <w:r>
              <w:rPr>
                <w:rFonts w:ascii="Arial" w:hAnsi="Arial" w:cs="Arial"/>
                <w:b w:val="0"/>
                <w:sz w:val="17"/>
              </w:rPr>
              <w:t>Bureau response</w:t>
            </w:r>
          </w:p>
        </w:tc>
        <w:tc>
          <w:tcPr>
            <w:tcW w:w="3160" w:type="dxa"/>
          </w:tcPr>
          <w:p>
            <w:pPr>
              <w:spacing w:after="0" w:before="0"/>
            </w:pPr>
            <w:r/>
            <w:r>
              <w:rPr>
                <w:rFonts w:ascii="Arial" w:hAnsi="Arial" w:cs="Arial"/>
                <w:b w:val="0"/>
                <w:sz w:val="17"/>
              </w:rPr>
              <w:t>applicationId, score, flags</w:t>
            </w:r>
          </w:p>
        </w:tc>
        <w:tc>
          <w:tcPr>
            <w:tcW w:w="2000" w:type="dxa"/>
          </w:tcPr>
          <w:p>
            <w:pPr>
              <w:spacing w:after="0" w:before="0"/>
            </w:pPr>
            <w:r/>
            <w:r>
              <w:rPr>
                <w:rFonts w:ascii="Arial" w:hAnsi="Arial" w:cs="Arial"/>
                <w:b w:val="0"/>
                <w:sz w:val="17"/>
              </w:rPr>
              <w:t>Underwriting</w:t>
            </w:r>
          </w:p>
        </w:tc>
      </w:tr>
      <w:tr>
        <w:tc>
          <w:tcPr>
            <w:tcW w:w="2100" w:type="dxa"/>
          </w:tcPr>
          <w:p>
            <w:pPr>
              <w:spacing w:after="0" w:before="0"/>
            </w:pPr>
            <w:r/>
            <w:r>
              <w:rPr>
                <w:rFonts w:ascii="Arial" w:hAnsi="Arial" w:cs="Arial"/>
                <w:b w:val="0"/>
                <w:sz w:val="17"/>
              </w:rPr>
              <w:t>loan.disbursed</w:t>
            </w:r>
          </w:p>
        </w:tc>
        <w:tc>
          <w:tcPr>
            <w:tcW w:w="2100" w:type="dxa"/>
          </w:tcPr>
          <w:p>
            <w:pPr>
              <w:spacing w:after="0" w:before="0"/>
            </w:pPr>
            <w:r/>
            <w:r>
              <w:rPr>
                <w:rFonts w:ascii="Arial" w:hAnsi="Arial" w:cs="Arial"/>
                <w:b w:val="0"/>
                <w:sz w:val="17"/>
              </w:rPr>
              <w:t>Disbursement posted</w:t>
            </w:r>
          </w:p>
        </w:tc>
        <w:tc>
          <w:tcPr>
            <w:tcW w:w="3160" w:type="dxa"/>
          </w:tcPr>
          <w:p>
            <w:pPr>
              <w:spacing w:after="0" w:before="0"/>
            </w:pPr>
            <w:r/>
            <w:r>
              <w:rPr>
                <w:rFonts w:ascii="Arial" w:hAnsi="Arial" w:cs="Arial"/>
                <w:b w:val="0"/>
                <w:sz w:val="17"/>
              </w:rPr>
              <w:t>loanAccountId, amount, glRef</w:t>
            </w:r>
          </w:p>
        </w:tc>
        <w:tc>
          <w:tcPr>
            <w:tcW w:w="2000" w:type="dxa"/>
          </w:tcPr>
          <w:p>
            <w:pPr>
              <w:spacing w:after="0" w:before="0"/>
            </w:pPr>
            <w:r/>
            <w:r>
              <w:rPr>
                <w:rFonts w:ascii="Arial" w:hAnsi="Arial" w:cs="Arial"/>
                <w:b w:val="0"/>
                <w:sz w:val="17"/>
              </w:rPr>
              <w:t>GL, portal, partner</w:t>
            </w:r>
          </w:p>
        </w:tc>
      </w:tr>
      <w:tr>
        <w:tc>
          <w:tcPr>
            <w:tcW w:w="2100" w:type="dxa"/>
          </w:tcPr>
          <w:p>
            <w:pPr>
              <w:spacing w:after="0" w:before="0"/>
            </w:pPr>
            <w:r/>
            <w:r>
              <w:rPr>
                <w:rFonts w:ascii="Arial" w:hAnsi="Arial" w:cs="Arial"/>
                <w:b w:val="0"/>
                <w:sz w:val="17"/>
              </w:rPr>
              <w:t>repayment.posted</w:t>
            </w:r>
          </w:p>
        </w:tc>
        <w:tc>
          <w:tcPr>
            <w:tcW w:w="2100" w:type="dxa"/>
          </w:tcPr>
          <w:p>
            <w:pPr>
              <w:spacing w:after="0" w:before="0"/>
            </w:pPr>
            <w:r/>
            <w:r>
              <w:rPr>
                <w:rFonts w:ascii="Arial" w:hAnsi="Arial" w:cs="Arial"/>
                <w:b w:val="0"/>
                <w:sz w:val="17"/>
              </w:rPr>
              <w:t>Repayment received</w:t>
            </w:r>
          </w:p>
        </w:tc>
        <w:tc>
          <w:tcPr>
            <w:tcW w:w="3160" w:type="dxa"/>
          </w:tcPr>
          <w:p>
            <w:pPr>
              <w:spacing w:after="0" w:before="0"/>
            </w:pPr>
            <w:r/>
            <w:r>
              <w:rPr>
                <w:rFonts w:ascii="Arial" w:hAnsi="Arial" w:cs="Arial"/>
                <w:b w:val="0"/>
                <w:sz w:val="17"/>
              </w:rPr>
              <w:t>loanAccountId, amount, split</w:t>
            </w:r>
          </w:p>
        </w:tc>
        <w:tc>
          <w:tcPr>
            <w:tcW w:w="2000" w:type="dxa"/>
          </w:tcPr>
          <w:p>
            <w:pPr>
              <w:spacing w:after="0" w:before="0"/>
            </w:pPr>
            <w:r/>
            <w:r>
              <w:rPr>
                <w:rFonts w:ascii="Arial" w:hAnsi="Arial" w:cs="Arial"/>
                <w:b w:val="0"/>
                <w:sz w:val="17"/>
              </w:rPr>
              <w:t>GL, portal</w:t>
            </w:r>
          </w:p>
        </w:tc>
      </w:tr>
      <w:tr>
        <w:tc>
          <w:tcPr>
            <w:tcW w:w="2100" w:type="dxa"/>
          </w:tcPr>
          <w:p>
            <w:pPr>
              <w:spacing w:after="0" w:before="0"/>
            </w:pPr>
            <w:r/>
            <w:r>
              <w:rPr>
                <w:rFonts w:ascii="Arial" w:hAnsi="Arial" w:cs="Arial"/>
                <w:b w:val="0"/>
                <w:sz w:val="17"/>
              </w:rPr>
              <w:t>repayment.failed</w:t>
            </w:r>
          </w:p>
        </w:tc>
        <w:tc>
          <w:tcPr>
            <w:tcW w:w="2100" w:type="dxa"/>
          </w:tcPr>
          <w:p>
            <w:pPr>
              <w:spacing w:after="0" w:before="0"/>
            </w:pPr>
            <w:r/>
            <w:r>
              <w:rPr>
                <w:rFonts w:ascii="Arial" w:hAnsi="Arial" w:cs="Arial"/>
                <w:b w:val="0"/>
                <w:sz w:val="17"/>
              </w:rPr>
              <w:t>NACH/UPI return</w:t>
            </w:r>
          </w:p>
        </w:tc>
        <w:tc>
          <w:tcPr>
            <w:tcW w:w="3160" w:type="dxa"/>
          </w:tcPr>
          <w:p>
            <w:pPr>
              <w:spacing w:after="0" w:before="0"/>
            </w:pPr>
            <w:r/>
            <w:r>
              <w:rPr>
                <w:rFonts w:ascii="Arial" w:hAnsi="Arial" w:cs="Arial"/>
                <w:b w:val="0"/>
                <w:sz w:val="17"/>
              </w:rPr>
              <w:t>loanAccountId, returnCode</w:t>
            </w:r>
          </w:p>
        </w:tc>
        <w:tc>
          <w:tcPr>
            <w:tcW w:w="2000" w:type="dxa"/>
          </w:tcPr>
          <w:p>
            <w:pPr>
              <w:spacing w:after="0" w:before="0"/>
            </w:pPr>
            <w:r/>
            <w:r>
              <w:rPr>
                <w:rFonts w:ascii="Arial" w:hAnsi="Arial" w:cs="Arial"/>
                <w:b w:val="0"/>
                <w:sz w:val="17"/>
              </w:rPr>
              <w:t>Collections</w:t>
            </w:r>
          </w:p>
        </w:tc>
      </w:tr>
      <w:tr>
        <w:tc>
          <w:tcPr>
            <w:tcW w:w="2100" w:type="dxa"/>
          </w:tcPr>
          <w:p>
            <w:pPr>
              <w:spacing w:after="0" w:before="0"/>
            </w:pPr>
            <w:r/>
            <w:r>
              <w:rPr>
                <w:rFonts w:ascii="Arial" w:hAnsi="Arial" w:cs="Arial"/>
                <w:b w:val="0"/>
                <w:sz w:val="17"/>
              </w:rPr>
              <w:t>loan.npa</w:t>
            </w:r>
          </w:p>
        </w:tc>
        <w:tc>
          <w:tcPr>
            <w:tcW w:w="2100" w:type="dxa"/>
          </w:tcPr>
          <w:p>
            <w:pPr>
              <w:spacing w:after="0" w:before="0"/>
            </w:pPr>
            <w:r/>
            <w:r>
              <w:rPr>
                <w:rFonts w:ascii="Arial" w:hAnsi="Arial" w:cs="Arial"/>
                <w:b w:val="0"/>
                <w:sz w:val="17"/>
              </w:rPr>
              <w:t>Classified NPA</w:t>
            </w:r>
          </w:p>
        </w:tc>
        <w:tc>
          <w:tcPr>
            <w:tcW w:w="3160" w:type="dxa"/>
          </w:tcPr>
          <w:p>
            <w:pPr>
              <w:spacing w:after="0" w:before="0"/>
            </w:pPr>
            <w:r/>
            <w:r>
              <w:rPr>
                <w:rFonts w:ascii="Arial" w:hAnsi="Arial" w:cs="Arial"/>
                <w:b w:val="0"/>
                <w:sz w:val="17"/>
              </w:rPr>
              <w:t>loanAccountId, class</w:t>
            </w:r>
          </w:p>
        </w:tc>
        <w:tc>
          <w:tcPr>
            <w:tcW w:w="2000" w:type="dxa"/>
          </w:tcPr>
          <w:p>
            <w:pPr>
              <w:spacing w:after="0" w:before="0"/>
            </w:pPr>
            <w:r/>
            <w:r>
              <w:rPr>
                <w:rFonts w:ascii="Arial" w:hAnsi="Arial" w:cs="Arial"/>
                <w:b w:val="0"/>
                <w:sz w:val="17"/>
              </w:rPr>
              <w:t>Provisioning, reporting</w:t>
            </w:r>
          </w:p>
        </w:tc>
      </w:tr>
      <w:tr>
        <w:tc>
          <w:tcPr>
            <w:tcW w:w="2100" w:type="dxa"/>
          </w:tcPr>
          <w:p>
            <w:pPr>
              <w:spacing w:after="0" w:before="0"/>
            </w:pPr>
            <w:r/>
            <w:r>
              <w:rPr>
                <w:rFonts w:ascii="Arial" w:hAnsi="Arial" w:cs="Arial"/>
                <w:b w:val="0"/>
                <w:sz w:val="17"/>
              </w:rPr>
              <w:t>margincall.raised</w:t>
            </w:r>
          </w:p>
        </w:tc>
        <w:tc>
          <w:tcPr>
            <w:tcW w:w="2100" w:type="dxa"/>
          </w:tcPr>
          <w:p>
            <w:pPr>
              <w:spacing w:after="0" w:before="0"/>
            </w:pPr>
            <w:r/>
            <w:r>
              <w:rPr>
                <w:rFonts w:ascii="Arial" w:hAnsi="Arial" w:cs="Arial"/>
                <w:b w:val="0"/>
                <w:sz w:val="17"/>
              </w:rPr>
              <w:t>LAS DP shortfall</w:t>
            </w:r>
          </w:p>
        </w:tc>
        <w:tc>
          <w:tcPr>
            <w:tcW w:w="3160" w:type="dxa"/>
          </w:tcPr>
          <w:p>
            <w:pPr>
              <w:spacing w:after="0" w:before="0"/>
            </w:pPr>
            <w:r/>
            <w:r>
              <w:rPr>
                <w:rFonts w:ascii="Arial" w:hAnsi="Arial" w:cs="Arial"/>
                <w:b w:val="0"/>
                <w:sz w:val="17"/>
              </w:rPr>
              <w:t>loanAccountId, shortfall, cureBy</w:t>
            </w:r>
          </w:p>
        </w:tc>
        <w:tc>
          <w:tcPr>
            <w:tcW w:w="2000" w:type="dxa"/>
          </w:tcPr>
          <w:p>
            <w:pPr>
              <w:spacing w:after="0" w:before="0"/>
            </w:pPr>
            <w:r/>
            <w:r>
              <w:rPr>
                <w:rFonts w:ascii="Arial" w:hAnsi="Arial" w:cs="Arial"/>
                <w:b w:val="0"/>
                <w:sz w:val="17"/>
              </w:rPr>
              <w:t>Portal, collections</w:t>
            </w:r>
          </w:p>
        </w:tc>
      </w:tr>
      <w:tr>
        <w:tc>
          <w:tcPr>
            <w:tcW w:w="2100" w:type="dxa"/>
          </w:tcPr>
          <w:p>
            <w:pPr>
              <w:spacing w:after="0" w:before="0"/>
            </w:pPr>
            <w:r/>
            <w:r>
              <w:rPr>
                <w:rFonts w:ascii="Arial" w:hAnsi="Arial" w:cs="Arial"/>
                <w:b w:val="0"/>
                <w:sz w:val="17"/>
              </w:rPr>
              <w:t>return.submitted</w:t>
            </w:r>
          </w:p>
        </w:tc>
        <w:tc>
          <w:tcPr>
            <w:tcW w:w="2100" w:type="dxa"/>
          </w:tcPr>
          <w:p>
            <w:pPr>
              <w:spacing w:after="0" w:before="0"/>
            </w:pPr>
            <w:r/>
            <w:r>
              <w:rPr>
                <w:rFonts w:ascii="Arial" w:hAnsi="Arial" w:cs="Arial"/>
                <w:b w:val="0"/>
                <w:sz w:val="17"/>
              </w:rPr>
              <w:t>RBI/CIC submission</w:t>
            </w:r>
          </w:p>
        </w:tc>
        <w:tc>
          <w:tcPr>
            <w:tcW w:w="3160" w:type="dxa"/>
          </w:tcPr>
          <w:p>
            <w:pPr>
              <w:spacing w:after="0" w:before="0"/>
            </w:pPr>
            <w:r/>
            <w:r>
              <w:rPr>
                <w:rFonts w:ascii="Arial" w:hAnsi="Arial" w:cs="Arial"/>
                <w:b w:val="0"/>
                <w:sz w:val="17"/>
              </w:rPr>
              <w:t>returnCode, period, ackRef</w:t>
            </w:r>
          </w:p>
        </w:tc>
        <w:tc>
          <w:tcPr>
            <w:tcW w:w="2000" w:type="dxa"/>
          </w:tcPr>
          <w:p>
            <w:pPr>
              <w:spacing w:after="0" w:before="0"/>
            </w:pPr>
            <w:r/>
            <w:r>
              <w:rPr>
                <w:rFonts w:ascii="Arial" w:hAnsi="Arial" w:cs="Arial"/>
                <w:b w:val="0"/>
                <w:sz w:val="17"/>
              </w:rPr>
              <w:t>Compliance</w:t>
            </w:r>
          </w:p>
        </w:tc>
      </w:tr>
    </w:tbl>
    <w:p/>
    <w:p>
      <w:r>
        <w:rPr>
          <w:rFonts w:ascii="Arial" w:hAnsi="Arial" w:cs="Arial"/>
          <w:b w:val="0"/>
          <w:i w:val="0"/>
          <w:sz w:val="22"/>
        </w:rPr>
        <w:t>Webhook contract: POST to the partner URL with an X-Signature (HMAC-SHA256) header; 2xx = delivered; non-2xx retried with backoff up to a cap, then dead-lettered with alerting.</w:t>
      </w:r>
    </w:p>
    <w:p>
      <w:pPr>
        <w:pStyle w:val="Heading1"/>
      </w:pPr>
      <w:r>
        <w:t>82. Configuration, Environment, Repo Structure &amp; Batch Jobs</w:t>
      </w:r>
    </w:p>
    <w:p>
      <w:pPr>
        <w:pStyle w:val="Heading2"/>
      </w:pPr>
      <w:r>
        <w:t>82.1 Configuration / Environment Catalog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2600"/>
        <w:gridCol w:w="4660"/>
      </w:tblGrid>
      <w:tr>
        <w:tc>
          <w:tcPr>
            <w:tcW w:w="2100" w:type="dxa"/>
            <w:shd w:val="clear" w:color="auto" w:fill="1F4E78"/>
          </w:tcPr>
          <w:p>
            <w:pPr>
              <w:spacing w:after="0" w:before="0"/>
            </w:pPr>
            <w:r/>
            <w:r>
              <w:rPr>
                <w:rFonts w:ascii="Arial" w:hAnsi="Arial" w:cs="Arial"/>
                <w:b/>
                <w:color w:val="FFFFFF"/>
                <w:sz w:val="17"/>
              </w:rPr>
              <w:t>Setting</w:t>
            </w:r>
          </w:p>
        </w:tc>
        <w:tc>
          <w:tcPr>
            <w:tcW w:w="2600" w:type="dxa"/>
            <w:shd w:val="clear" w:color="auto" w:fill="1F4E78"/>
          </w:tcPr>
          <w:p>
            <w:pPr>
              <w:spacing w:after="0" w:before="0"/>
            </w:pPr>
            <w:r/>
            <w:r>
              <w:rPr>
                <w:rFonts w:ascii="Arial" w:hAnsi="Arial" w:cs="Arial"/>
                <w:b/>
                <w:color w:val="FFFFFF"/>
                <w:sz w:val="17"/>
              </w:rPr>
              <w:t>Example / default</w:t>
            </w:r>
          </w:p>
        </w:tc>
        <w:tc>
          <w:tcPr>
            <w:tcW w:w="4660" w:type="dxa"/>
            <w:shd w:val="clear" w:color="auto" w:fill="1F4E78"/>
          </w:tcPr>
          <w:p>
            <w:pPr>
              <w:spacing w:after="0" w:before="0"/>
            </w:pPr>
            <w:r/>
            <w:r>
              <w:rPr>
                <w:rFonts w:ascii="Arial" w:hAnsi="Arial" w:cs="Arial"/>
                <w:b/>
                <w:color w:val="FFFFFF"/>
                <w:sz w:val="17"/>
              </w:rPr>
              <w:t>Notes</w:t>
            </w:r>
          </w:p>
        </w:tc>
      </w:tr>
      <w:tr>
        <w:tc>
          <w:tcPr>
            <w:tcW w:w="2100" w:type="dxa"/>
          </w:tcPr>
          <w:p>
            <w:pPr>
              <w:spacing w:after="0" w:before="0"/>
            </w:pPr>
            <w:r/>
            <w:r>
              <w:rPr>
                <w:rFonts w:ascii="Arial" w:hAnsi="Arial" w:cs="Arial"/>
                <w:b w:val="0"/>
                <w:sz w:val="17"/>
              </w:rPr>
              <w:t>API rate limit</w:t>
            </w:r>
          </w:p>
        </w:tc>
        <w:tc>
          <w:tcPr>
            <w:tcW w:w="2600" w:type="dxa"/>
          </w:tcPr>
          <w:p>
            <w:pPr>
              <w:spacing w:after="0" w:before="0"/>
            </w:pPr>
            <w:r/>
            <w:r>
              <w:rPr>
                <w:rFonts w:ascii="Arial" w:hAnsi="Arial" w:cs="Arial"/>
                <w:b w:val="0"/>
                <w:sz w:val="17"/>
              </w:rPr>
              <w:t>600 req/min per client</w:t>
            </w:r>
          </w:p>
        </w:tc>
        <w:tc>
          <w:tcPr>
            <w:tcW w:w="4660" w:type="dxa"/>
          </w:tcPr>
          <w:p>
            <w:pPr>
              <w:spacing w:after="0" w:before="0"/>
            </w:pPr>
            <w:r/>
            <w:r>
              <w:rPr>
                <w:rFonts w:ascii="Arial" w:hAnsi="Arial" w:cs="Arial"/>
                <w:b w:val="0"/>
                <w:sz w:val="17"/>
              </w:rPr>
              <w:t>429 with Retry-After (Section 40.2)</w:t>
            </w:r>
          </w:p>
        </w:tc>
      </w:tr>
      <w:tr>
        <w:tc>
          <w:tcPr>
            <w:tcW w:w="2100" w:type="dxa"/>
          </w:tcPr>
          <w:p>
            <w:pPr>
              <w:spacing w:after="0" w:before="0"/>
            </w:pPr>
            <w:r/>
            <w:r>
              <w:rPr>
                <w:rFonts w:ascii="Arial" w:hAnsi="Arial" w:cs="Arial"/>
                <w:b w:val="0"/>
                <w:sz w:val="17"/>
              </w:rPr>
              <w:t>Default page size / max</w:t>
            </w:r>
          </w:p>
        </w:tc>
        <w:tc>
          <w:tcPr>
            <w:tcW w:w="2600" w:type="dxa"/>
          </w:tcPr>
          <w:p>
            <w:pPr>
              <w:spacing w:after="0" w:before="0"/>
            </w:pPr>
            <w:r/>
            <w:r>
              <w:rPr>
                <w:rFonts w:ascii="Arial" w:hAnsi="Arial" w:cs="Arial"/>
                <w:b w:val="0"/>
                <w:sz w:val="17"/>
              </w:rPr>
              <w:t>25 / 100</w:t>
            </w:r>
          </w:p>
        </w:tc>
        <w:tc>
          <w:tcPr>
            <w:tcW w:w="4660" w:type="dxa"/>
          </w:tcPr>
          <w:p>
            <w:pPr>
              <w:spacing w:after="0" w:before="0"/>
            </w:pPr>
            <w:r/>
            <w:r>
              <w:rPr>
                <w:rFonts w:ascii="Arial" w:hAnsi="Arial" w:cs="Arial"/>
                <w:b w:val="0"/>
                <w:sz w:val="17"/>
              </w:rPr>
              <w:t>Cursor pagination</w:t>
            </w:r>
          </w:p>
        </w:tc>
      </w:tr>
      <w:tr>
        <w:tc>
          <w:tcPr>
            <w:tcW w:w="2100" w:type="dxa"/>
          </w:tcPr>
          <w:p>
            <w:pPr>
              <w:spacing w:after="0" w:before="0"/>
            </w:pPr>
            <w:r/>
            <w:r>
              <w:rPr>
                <w:rFonts w:ascii="Arial" w:hAnsi="Arial" w:cs="Arial"/>
                <w:b w:val="0"/>
                <w:sz w:val="17"/>
              </w:rPr>
              <w:t>External call timeout</w:t>
            </w:r>
          </w:p>
        </w:tc>
        <w:tc>
          <w:tcPr>
            <w:tcW w:w="2600" w:type="dxa"/>
          </w:tcPr>
          <w:p>
            <w:pPr>
              <w:spacing w:after="0" w:before="0"/>
            </w:pPr>
            <w:r/>
            <w:r>
              <w:rPr>
                <w:rFonts w:ascii="Arial" w:hAnsi="Arial" w:cs="Arial"/>
                <w:b w:val="0"/>
                <w:sz w:val="17"/>
              </w:rPr>
              <w:t>5–15 s per integration</w:t>
            </w:r>
          </w:p>
        </w:tc>
        <w:tc>
          <w:tcPr>
            <w:tcW w:w="4660" w:type="dxa"/>
          </w:tcPr>
          <w:p>
            <w:pPr>
              <w:spacing w:after="0" w:before="0"/>
            </w:pPr>
            <w:r/>
            <w:r>
              <w:rPr>
                <w:rFonts w:ascii="Arial" w:hAnsi="Arial" w:cs="Arial"/>
                <w:b w:val="0"/>
                <w:sz w:val="17"/>
              </w:rPr>
              <w:t>Per Section 38.2</w:t>
            </w:r>
          </w:p>
        </w:tc>
      </w:tr>
      <w:tr>
        <w:tc>
          <w:tcPr>
            <w:tcW w:w="2100" w:type="dxa"/>
          </w:tcPr>
          <w:p>
            <w:pPr>
              <w:spacing w:after="0" w:before="0"/>
            </w:pPr>
            <w:r/>
            <w:r>
              <w:rPr>
                <w:rFonts w:ascii="Arial" w:hAnsi="Arial" w:cs="Arial"/>
                <w:b w:val="0"/>
                <w:sz w:val="17"/>
              </w:rPr>
              <w:t>Retry policy</w:t>
            </w:r>
          </w:p>
        </w:tc>
        <w:tc>
          <w:tcPr>
            <w:tcW w:w="2600" w:type="dxa"/>
          </w:tcPr>
          <w:p>
            <w:pPr>
              <w:spacing w:after="0" w:before="0"/>
            </w:pPr>
            <w:r/>
            <w:r>
              <w:rPr>
                <w:rFonts w:ascii="Arial" w:hAnsi="Arial" w:cs="Arial"/>
                <w:b w:val="0"/>
                <w:sz w:val="17"/>
              </w:rPr>
              <w:t>3 attempts, exp backoff + jitter</w:t>
            </w:r>
          </w:p>
        </w:tc>
        <w:tc>
          <w:tcPr>
            <w:tcW w:w="4660" w:type="dxa"/>
          </w:tcPr>
          <w:p>
            <w:pPr>
              <w:spacing w:after="0" w:before="0"/>
            </w:pPr>
            <w:r/>
            <w:r>
              <w:rPr>
                <w:rFonts w:ascii="Arial" w:hAnsi="Arial" w:cs="Arial"/>
                <w:b w:val="0"/>
                <w:sz w:val="17"/>
              </w:rPr>
              <w:t>Idempotent calls only</w:t>
            </w:r>
          </w:p>
        </w:tc>
      </w:tr>
      <w:tr>
        <w:tc>
          <w:tcPr>
            <w:tcW w:w="2100" w:type="dxa"/>
          </w:tcPr>
          <w:p>
            <w:pPr>
              <w:spacing w:after="0" w:before="0"/>
            </w:pPr>
            <w:r/>
            <w:r>
              <w:rPr>
                <w:rFonts w:ascii="Arial" w:hAnsi="Arial" w:cs="Arial"/>
                <w:b w:val="0"/>
                <w:sz w:val="17"/>
              </w:rPr>
              <w:t>Session / token TTL</w:t>
            </w:r>
          </w:p>
        </w:tc>
        <w:tc>
          <w:tcPr>
            <w:tcW w:w="2600" w:type="dxa"/>
          </w:tcPr>
          <w:p>
            <w:pPr>
              <w:spacing w:after="0" w:before="0"/>
            </w:pPr>
            <w:r/>
            <w:r>
              <w:rPr>
                <w:rFonts w:ascii="Arial" w:hAnsi="Arial" w:cs="Arial"/>
                <w:b w:val="0"/>
                <w:sz w:val="17"/>
              </w:rPr>
              <w:t>15 min access, refresh rotation</w:t>
            </w:r>
          </w:p>
        </w:tc>
        <w:tc>
          <w:tcPr>
            <w:tcW w:w="4660" w:type="dxa"/>
          </w:tcPr>
          <w:p>
            <w:pPr>
              <w:spacing w:after="0" w:before="0"/>
            </w:pPr>
            <w:r/>
            <w:r>
              <w:rPr>
                <w:rFonts w:ascii="Arial" w:hAnsi="Arial" w:cs="Arial"/>
                <w:b w:val="0"/>
                <w:sz w:val="17"/>
              </w:rPr>
              <w:t>OIDC (Section 34.2)</w:t>
            </w:r>
          </w:p>
        </w:tc>
      </w:tr>
      <w:tr>
        <w:tc>
          <w:tcPr>
            <w:tcW w:w="2100" w:type="dxa"/>
          </w:tcPr>
          <w:p>
            <w:pPr>
              <w:spacing w:after="0" w:before="0"/>
            </w:pPr>
            <w:r/>
            <w:r>
              <w:rPr>
                <w:rFonts w:ascii="Arial" w:hAnsi="Arial" w:cs="Arial"/>
                <w:b w:val="0"/>
                <w:sz w:val="17"/>
              </w:rPr>
              <w:t>Feature flags</w:t>
            </w:r>
          </w:p>
        </w:tc>
        <w:tc>
          <w:tcPr>
            <w:tcW w:w="2600" w:type="dxa"/>
          </w:tcPr>
          <w:p>
            <w:pPr>
              <w:spacing w:after="0" w:before="0"/>
            </w:pPr>
            <w:r/>
            <w:r>
              <w:rPr>
                <w:rFonts w:ascii="Arial" w:hAnsi="Arial" w:cs="Arial"/>
                <w:b w:val="0"/>
                <w:sz w:val="17"/>
              </w:rPr>
              <w:t>per-product, per-tenant</w:t>
            </w:r>
          </w:p>
        </w:tc>
        <w:tc>
          <w:tcPr>
            <w:tcW w:w="4660" w:type="dxa"/>
          </w:tcPr>
          <w:p>
            <w:pPr>
              <w:spacing w:after="0" w:before="0"/>
            </w:pPr>
            <w:r/>
            <w:r>
              <w:rPr>
                <w:rFonts w:ascii="Arial" w:hAnsi="Arial" w:cs="Arial"/>
                <w:b w:val="0"/>
                <w:sz w:val="17"/>
              </w:rPr>
              <w:t>Staged rollout (Section 42.1)</w:t>
            </w:r>
          </w:p>
        </w:tc>
      </w:tr>
      <w:tr>
        <w:tc>
          <w:tcPr>
            <w:tcW w:w="2100" w:type="dxa"/>
          </w:tcPr>
          <w:p>
            <w:pPr>
              <w:spacing w:after="0" w:before="0"/>
            </w:pPr>
            <w:r/>
            <w:r>
              <w:rPr>
                <w:rFonts w:ascii="Arial" w:hAnsi="Arial" w:cs="Arial"/>
                <w:b w:val="0"/>
                <w:sz w:val="17"/>
              </w:rPr>
              <w:t>Day-count / rounding</w:t>
            </w:r>
          </w:p>
        </w:tc>
        <w:tc>
          <w:tcPr>
            <w:tcW w:w="2600" w:type="dxa"/>
          </w:tcPr>
          <w:p>
            <w:pPr>
              <w:spacing w:after="0" w:before="0"/>
            </w:pPr>
            <w:r/>
            <w:r>
              <w:rPr>
                <w:rFonts w:ascii="Arial" w:hAnsi="Arial" w:cs="Arial"/>
                <w:b w:val="0"/>
                <w:sz w:val="17"/>
              </w:rPr>
              <w:t>per product (Section 45.2 / 28.2)</w:t>
            </w:r>
          </w:p>
        </w:tc>
        <w:tc>
          <w:tcPr>
            <w:tcW w:w="4660" w:type="dxa"/>
          </w:tcPr>
          <w:p>
            <w:pPr>
              <w:spacing w:after="0" w:before="0"/>
            </w:pPr>
            <w:r/>
            <w:r>
              <w:rPr>
                <w:rFonts w:ascii="Arial" w:hAnsi="Arial" w:cs="Arial"/>
                <w:b w:val="0"/>
                <w:sz w:val="17"/>
              </w:rPr>
              <w:t>Never global-hardcode</w:t>
            </w:r>
          </w:p>
        </w:tc>
      </w:tr>
    </w:tbl>
    <w:p/>
    <w:p>
      <w:pPr>
        <w:pStyle w:val="Heading2"/>
      </w:pPr>
      <w:r>
        <w:t>82.2 Suggested Repository Structure (bounded contexts)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/customer      -- party, KYC, consent</w:t>
            </w:r>
            <w:r>
              <w:rPr>
                <w:rFonts w:ascii="Consolas" w:hAnsi="Consolas" w:cs="Consolas"/>
                <w:b w:val="0"/>
                <w:sz w:val="19"/>
              </w:rPr>
              <w:br/>
              <w:t>/product       -- product master, config engine, form schema</w:t>
            </w:r>
            <w:r>
              <w:rPr>
                <w:rFonts w:ascii="Consolas" w:hAnsi="Consolas" w:cs="Consolas"/>
                <w:b w:val="0"/>
                <w:sz w:val="19"/>
              </w:rPr>
              <w:br/>
              <w:t>/origination   -- LOS, underwriting, bureau, sanction</w:t>
            </w:r>
            <w:r>
              <w:rPr>
                <w:rFonts w:ascii="Consolas" w:hAnsi="Consolas" w:cs="Consolas"/>
                <w:b w:val="0"/>
                <w:sz w:val="19"/>
              </w:rPr>
              <w:br/>
              <w:t>/servicing     -- calc engine, schedules, repayments, restructure</w:t>
            </w:r>
            <w:r>
              <w:rPr>
                <w:rFonts w:ascii="Consolas" w:hAnsi="Consolas" w:cs="Consolas"/>
                <w:b w:val="0"/>
                <w:sz w:val="19"/>
              </w:rPr>
              <w:br/>
              <w:t>/collections   -- buckets, PTP, field app, legal</w:t>
            </w:r>
            <w:r>
              <w:rPr>
                <w:rFonts w:ascii="Consolas" w:hAnsi="Consolas" w:cs="Consolas"/>
                <w:b w:val="0"/>
                <w:sz w:val="19"/>
              </w:rPr>
              <w:br/>
              <w:t>/accounting    -- GL, journals, reconciliation, statements</w:t>
            </w:r>
            <w:r>
              <w:rPr>
                <w:rFonts w:ascii="Consolas" w:hAnsi="Consolas" w:cs="Consolas"/>
                <w:b w:val="0"/>
                <w:sz w:val="19"/>
              </w:rPr>
              <w:br/>
              <w:t>/reporting     -- RBI returns, CIC files, MIS, data mart</w:t>
            </w:r>
            <w:r>
              <w:rPr>
                <w:rFonts w:ascii="Consolas" w:hAnsi="Consolas" w:cs="Consolas"/>
                <w:b w:val="0"/>
                <w:sz w:val="19"/>
              </w:rPr>
              <w:br/>
              <w:t>/collateral    -- pledge/mortgage/lien, valuation, revaluation</w:t>
            </w:r>
            <w:r>
              <w:rPr>
                <w:rFonts w:ascii="Consolas" w:hAnsi="Consolas" w:cs="Consolas"/>
                <w:b w:val="0"/>
                <w:sz w:val="19"/>
              </w:rPr>
              <w:br/>
              <w:t>/platform      -- auth/RBAC, audit, notifications, integration adapters, api-gateway</w:t>
            </w:r>
            <w:r>
              <w:rPr>
                <w:rFonts w:ascii="Consolas" w:hAnsi="Consolas" w:cs="Consolas"/>
                <w:b w:val="0"/>
                <w:sz w:val="19"/>
              </w:rPr>
              <w:br/>
              <w:t>/shared        -- money(DECIMAL), enums, validation, event-bus contracts</w:t>
            </w:r>
          </w:p>
        </w:tc>
      </w:tr>
    </w:tbl>
    <w:p/>
    <w:p>
      <w:pPr>
        <w:pStyle w:val="Heading2"/>
      </w:pPr>
      <w:r>
        <w:t>82.3 Batch-Job Catalog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300"/>
        <w:gridCol w:w="1700"/>
        <w:gridCol w:w="3360"/>
        <w:gridCol w:w="2000"/>
      </w:tblGrid>
      <w:tr>
        <w:tc>
          <w:tcPr>
            <w:tcW w:w="2300" w:type="dxa"/>
            <w:shd w:val="clear" w:color="auto" w:fill="1F4E78"/>
          </w:tcPr>
          <w:p>
            <w:pPr>
              <w:spacing w:after="0" w:before="0"/>
            </w:pPr>
            <w:r/>
            <w:r>
              <w:rPr>
                <w:rFonts w:ascii="Arial" w:hAnsi="Arial" w:cs="Arial"/>
                <w:b/>
                <w:color w:val="FFFFFF"/>
                <w:sz w:val="17"/>
              </w:rPr>
              <w:t>Job</w:t>
            </w:r>
          </w:p>
        </w:tc>
        <w:tc>
          <w:tcPr>
            <w:tcW w:w="1700" w:type="dxa"/>
            <w:shd w:val="clear" w:color="auto" w:fill="1F4E78"/>
          </w:tcPr>
          <w:p>
            <w:pPr>
              <w:spacing w:after="0" w:before="0"/>
            </w:pPr>
            <w:r/>
            <w:r>
              <w:rPr>
                <w:rFonts w:ascii="Arial" w:hAnsi="Arial" w:cs="Arial"/>
                <w:b/>
                <w:color w:val="FFFFFF"/>
                <w:sz w:val="17"/>
              </w:rPr>
              <w:t>Schedule</w:t>
            </w:r>
          </w:p>
        </w:tc>
        <w:tc>
          <w:tcPr>
            <w:tcW w:w="3360" w:type="dxa"/>
            <w:shd w:val="clear" w:color="auto" w:fill="1F4E78"/>
          </w:tcPr>
          <w:p>
            <w:pPr>
              <w:spacing w:after="0" w:before="0"/>
            </w:pPr>
            <w:r/>
            <w:r>
              <w:rPr>
                <w:rFonts w:ascii="Arial" w:hAnsi="Arial" w:cs="Arial"/>
                <w:b/>
                <w:color w:val="FFFFFF"/>
                <w:sz w:val="17"/>
              </w:rPr>
              <w:t>Inputs → Outputs</w:t>
            </w:r>
          </w:p>
        </w:tc>
        <w:tc>
          <w:tcPr>
            <w:tcW w:w="2000" w:type="dxa"/>
            <w:shd w:val="clear" w:color="auto" w:fill="1F4E78"/>
          </w:tcPr>
          <w:p>
            <w:pPr>
              <w:spacing w:after="0" w:before="0"/>
            </w:pPr>
            <w:r/>
            <w:r>
              <w:rPr>
                <w:rFonts w:ascii="Arial" w:hAnsi="Arial" w:cs="Arial"/>
                <w:b/>
                <w:color w:val="FFFFFF"/>
                <w:sz w:val="17"/>
              </w:rPr>
              <w:t>Idempotent?</w:t>
            </w:r>
          </w:p>
        </w:tc>
      </w:tr>
      <w:tr>
        <w:tc>
          <w:tcPr>
            <w:tcW w:w="2300" w:type="dxa"/>
          </w:tcPr>
          <w:p>
            <w:pPr>
              <w:spacing w:after="0" w:before="0"/>
            </w:pPr>
            <w:r/>
            <w:r>
              <w:rPr>
                <w:rFonts w:ascii="Arial" w:hAnsi="Arial" w:cs="Arial"/>
                <w:b w:val="0"/>
                <w:sz w:val="17"/>
              </w:rPr>
              <w:t>Interest accrual (EOD)</w:t>
            </w:r>
          </w:p>
        </w:tc>
        <w:tc>
          <w:tcPr>
            <w:tcW w:w="1700" w:type="dxa"/>
          </w:tcPr>
          <w:p>
            <w:pPr>
              <w:spacing w:after="0" w:before="0"/>
            </w:pPr>
            <w:r/>
            <w:r>
              <w:rPr>
                <w:rFonts w:ascii="Arial" w:hAnsi="Arial" w:cs="Arial"/>
                <w:b w:val="0"/>
                <w:sz w:val="17"/>
              </w:rPr>
              <w:t>22:00 daily</w:t>
            </w:r>
          </w:p>
        </w:tc>
        <w:tc>
          <w:tcPr>
            <w:tcW w:w="3360" w:type="dxa"/>
          </w:tcPr>
          <w:p>
            <w:pPr>
              <w:spacing w:after="0" w:before="0"/>
            </w:pPr>
            <w:r/>
            <w:r>
              <w:rPr>
                <w:rFonts w:ascii="Arial" w:hAnsi="Arial" w:cs="Arial"/>
                <w:b w:val="0"/>
                <w:sz w:val="17"/>
              </w:rPr>
              <w:t>txns → accrual entries</w:t>
            </w:r>
          </w:p>
        </w:tc>
        <w:tc>
          <w:tcPr>
            <w:tcW w:w="2000" w:type="dxa"/>
          </w:tcPr>
          <w:p>
            <w:pPr>
              <w:spacing w:after="0" w:before="0"/>
            </w:pPr>
            <w:r/>
            <w:r>
              <w:rPr>
                <w:rFonts w:ascii="Arial" w:hAnsi="Arial" w:cs="Arial"/>
                <w:b w:val="0"/>
                <w:sz w:val="17"/>
              </w:rPr>
              <w:t>Yes (checkpointed)</w:t>
            </w:r>
          </w:p>
        </w:tc>
      </w:tr>
      <w:tr>
        <w:tc>
          <w:tcPr>
            <w:tcW w:w="2300" w:type="dxa"/>
          </w:tcPr>
          <w:p>
            <w:pPr>
              <w:spacing w:after="0" w:before="0"/>
            </w:pPr>
            <w:r/>
            <w:r>
              <w:rPr>
                <w:rFonts w:ascii="Arial" w:hAnsi="Arial" w:cs="Arial"/>
                <w:b w:val="0"/>
                <w:sz w:val="17"/>
              </w:rPr>
              <w:t>DPD / NPA classification</w:t>
            </w:r>
          </w:p>
        </w:tc>
        <w:tc>
          <w:tcPr>
            <w:tcW w:w="1700" w:type="dxa"/>
          </w:tcPr>
          <w:p>
            <w:pPr>
              <w:spacing w:after="0" w:before="0"/>
            </w:pPr>
            <w:r/>
            <w:r>
              <w:rPr>
                <w:rFonts w:ascii="Arial" w:hAnsi="Arial" w:cs="Arial"/>
                <w:b w:val="0"/>
                <w:sz w:val="17"/>
              </w:rPr>
              <w:t>post-accrual</w:t>
            </w:r>
          </w:p>
        </w:tc>
        <w:tc>
          <w:tcPr>
            <w:tcW w:w="3360" w:type="dxa"/>
          </w:tcPr>
          <w:p>
            <w:pPr>
              <w:spacing w:after="0" w:before="0"/>
            </w:pPr>
            <w:r/>
            <w:r>
              <w:rPr>
                <w:rFonts w:ascii="Arial" w:hAnsi="Arial" w:cs="Arial"/>
                <w:b w:val="0"/>
                <w:sz w:val="17"/>
              </w:rPr>
              <w:t>accrual, dues → status</w:t>
            </w:r>
          </w:p>
        </w:tc>
        <w:tc>
          <w:tcPr>
            <w:tcW w:w="2000" w:type="dxa"/>
          </w:tcPr>
          <w:p>
            <w:pPr>
              <w:spacing w:after="0" w:before="0"/>
            </w:pPr>
            <w:r/>
            <w:r>
              <w:rPr>
                <w:rFonts w:ascii="Arial" w:hAnsi="Arial" w:cs="Arial"/>
                <w:b w:val="0"/>
                <w:sz w:val="17"/>
              </w:rPr>
              <w:t>Yes</w:t>
            </w:r>
          </w:p>
        </w:tc>
      </w:tr>
      <w:tr>
        <w:tc>
          <w:tcPr>
            <w:tcW w:w="2300" w:type="dxa"/>
          </w:tcPr>
          <w:p>
            <w:pPr>
              <w:spacing w:after="0" w:before="0"/>
            </w:pPr>
            <w:r/>
            <w:r>
              <w:rPr>
                <w:rFonts w:ascii="Arial" w:hAnsi="Arial" w:cs="Arial"/>
                <w:b w:val="0"/>
                <w:sz w:val="17"/>
              </w:rPr>
              <w:t>LAS drawing-power revaluation</w:t>
            </w:r>
          </w:p>
        </w:tc>
        <w:tc>
          <w:tcPr>
            <w:tcW w:w="1700" w:type="dxa"/>
          </w:tcPr>
          <w:p>
            <w:pPr>
              <w:spacing w:after="0" w:before="0"/>
            </w:pPr>
            <w:r/>
            <w:r>
              <w:rPr>
                <w:rFonts w:ascii="Arial" w:hAnsi="Arial" w:cs="Arial"/>
                <w:b w:val="0"/>
                <w:sz w:val="17"/>
              </w:rPr>
              <w:t>pre-market daily</w:t>
            </w:r>
          </w:p>
        </w:tc>
        <w:tc>
          <w:tcPr>
            <w:tcW w:w="3360" w:type="dxa"/>
          </w:tcPr>
          <w:p>
            <w:pPr>
              <w:spacing w:after="0" w:before="0"/>
            </w:pPr>
            <w:r/>
            <w:r>
              <w:rPr>
                <w:rFonts w:ascii="Arial" w:hAnsi="Arial" w:cs="Arial"/>
                <w:b w:val="0"/>
                <w:sz w:val="17"/>
              </w:rPr>
              <w:t>price feed → DP, margin calls</w:t>
            </w:r>
          </w:p>
        </w:tc>
        <w:tc>
          <w:tcPr>
            <w:tcW w:w="2000" w:type="dxa"/>
          </w:tcPr>
          <w:p>
            <w:pPr>
              <w:spacing w:after="0" w:before="0"/>
            </w:pPr>
            <w:r/>
            <w:r>
              <w:rPr>
                <w:rFonts w:ascii="Arial" w:hAnsi="Arial" w:cs="Arial"/>
                <w:b w:val="0"/>
                <w:sz w:val="17"/>
              </w:rPr>
              <w:t>Yes</w:t>
            </w:r>
          </w:p>
        </w:tc>
      </w:tr>
      <w:tr>
        <w:tc>
          <w:tcPr>
            <w:tcW w:w="2300" w:type="dxa"/>
          </w:tcPr>
          <w:p>
            <w:pPr>
              <w:spacing w:after="0" w:before="0"/>
            </w:pPr>
            <w:r/>
            <w:r>
              <w:rPr>
                <w:rFonts w:ascii="Arial" w:hAnsi="Arial" w:cs="Arial"/>
                <w:b w:val="0"/>
                <w:sz w:val="17"/>
              </w:rPr>
              <w:t>Provisioning &amp; ECL</w:t>
            </w:r>
          </w:p>
        </w:tc>
        <w:tc>
          <w:tcPr>
            <w:tcW w:w="1700" w:type="dxa"/>
          </w:tcPr>
          <w:p>
            <w:pPr>
              <w:spacing w:after="0" w:before="0"/>
            </w:pPr>
            <w:r/>
            <w:r>
              <w:rPr>
                <w:rFonts w:ascii="Arial" w:hAnsi="Arial" w:cs="Arial"/>
                <w:b w:val="0"/>
                <w:sz w:val="17"/>
              </w:rPr>
              <w:t>month-end</w:t>
            </w:r>
          </w:p>
        </w:tc>
        <w:tc>
          <w:tcPr>
            <w:tcW w:w="3360" w:type="dxa"/>
          </w:tcPr>
          <w:p>
            <w:pPr>
              <w:spacing w:after="0" w:before="0"/>
            </w:pPr>
            <w:r/>
            <w:r>
              <w:rPr>
                <w:rFonts w:ascii="Arial" w:hAnsi="Arial" w:cs="Arial"/>
                <w:b w:val="0"/>
                <w:sz w:val="17"/>
              </w:rPr>
              <w:t>classification → provisions</w:t>
            </w:r>
          </w:p>
        </w:tc>
        <w:tc>
          <w:tcPr>
            <w:tcW w:w="2000" w:type="dxa"/>
          </w:tcPr>
          <w:p>
            <w:pPr>
              <w:spacing w:after="0" w:before="0"/>
            </w:pPr>
            <w:r/>
            <w:r>
              <w:rPr>
                <w:rFonts w:ascii="Arial" w:hAnsi="Arial" w:cs="Arial"/>
                <w:b w:val="0"/>
                <w:sz w:val="17"/>
              </w:rPr>
              <w:t>Yes</w:t>
            </w:r>
          </w:p>
        </w:tc>
      </w:tr>
      <w:tr>
        <w:tc>
          <w:tcPr>
            <w:tcW w:w="2300" w:type="dxa"/>
          </w:tcPr>
          <w:p>
            <w:pPr>
              <w:spacing w:after="0" w:before="0"/>
            </w:pPr>
            <w:r/>
            <w:r>
              <w:rPr>
                <w:rFonts w:ascii="Arial" w:hAnsi="Arial" w:cs="Arial"/>
                <w:b w:val="0"/>
                <w:sz w:val="17"/>
              </w:rPr>
              <w:t>CIC file generation</w:t>
            </w:r>
          </w:p>
        </w:tc>
        <w:tc>
          <w:tcPr>
            <w:tcW w:w="1700" w:type="dxa"/>
          </w:tcPr>
          <w:p>
            <w:pPr>
              <w:spacing w:after="0" w:before="0"/>
            </w:pPr>
            <w:r/>
            <w:r>
              <w:rPr>
                <w:rFonts w:ascii="Arial" w:hAnsi="Arial" w:cs="Arial"/>
                <w:b w:val="0"/>
                <w:sz w:val="17"/>
              </w:rPr>
              <w:t>monthly by 5th</w:t>
            </w:r>
          </w:p>
        </w:tc>
        <w:tc>
          <w:tcPr>
            <w:tcW w:w="3360" w:type="dxa"/>
          </w:tcPr>
          <w:p>
            <w:pPr>
              <w:spacing w:after="0" w:before="0"/>
            </w:pPr>
            <w:r/>
            <w:r>
              <w:rPr>
                <w:rFonts w:ascii="Arial" w:hAnsi="Arial" w:cs="Arial"/>
                <w:b w:val="0"/>
                <w:sz w:val="17"/>
              </w:rPr>
              <w:t>accounts → bureau files</w:t>
            </w:r>
          </w:p>
        </w:tc>
        <w:tc>
          <w:tcPr>
            <w:tcW w:w="2000" w:type="dxa"/>
          </w:tcPr>
          <w:p>
            <w:pPr>
              <w:spacing w:after="0" w:before="0"/>
            </w:pPr>
            <w:r/>
            <w:r>
              <w:rPr>
                <w:rFonts w:ascii="Arial" w:hAnsi="Arial" w:cs="Arial"/>
                <w:b w:val="0"/>
                <w:sz w:val="17"/>
              </w:rPr>
              <w:t>Yes</w:t>
            </w:r>
          </w:p>
        </w:tc>
      </w:tr>
      <w:tr>
        <w:tc>
          <w:tcPr>
            <w:tcW w:w="2300" w:type="dxa"/>
          </w:tcPr>
          <w:p>
            <w:pPr>
              <w:spacing w:after="0" w:before="0"/>
            </w:pPr>
            <w:r/>
            <w:r>
              <w:rPr>
                <w:rFonts w:ascii="Arial" w:hAnsi="Arial" w:cs="Arial"/>
                <w:b w:val="0"/>
                <w:sz w:val="17"/>
              </w:rPr>
              <w:t>RBI return generation</w:t>
            </w:r>
          </w:p>
        </w:tc>
        <w:tc>
          <w:tcPr>
            <w:tcW w:w="1700" w:type="dxa"/>
          </w:tcPr>
          <w:p>
            <w:pPr>
              <w:spacing w:after="0" w:before="0"/>
            </w:pPr>
            <w:r/>
            <w:r>
              <w:rPr>
                <w:rFonts w:ascii="Arial" w:hAnsi="Arial" w:cs="Arial"/>
                <w:b w:val="0"/>
                <w:sz w:val="17"/>
              </w:rPr>
              <w:t>per due date</w:t>
            </w:r>
          </w:p>
        </w:tc>
        <w:tc>
          <w:tcPr>
            <w:tcW w:w="3360" w:type="dxa"/>
          </w:tcPr>
          <w:p>
            <w:pPr>
              <w:spacing w:after="0" w:before="0"/>
            </w:pPr>
            <w:r/>
            <w:r>
              <w:rPr>
                <w:rFonts w:ascii="Arial" w:hAnsi="Arial" w:cs="Arial"/>
                <w:b w:val="0"/>
                <w:sz w:val="17"/>
              </w:rPr>
              <w:t>mart → returns</w:t>
            </w:r>
          </w:p>
        </w:tc>
        <w:tc>
          <w:tcPr>
            <w:tcW w:w="2000" w:type="dxa"/>
          </w:tcPr>
          <w:p>
            <w:pPr>
              <w:spacing w:after="0" w:before="0"/>
            </w:pPr>
            <w:r/>
            <w:r>
              <w:rPr>
                <w:rFonts w:ascii="Arial" w:hAnsi="Arial" w:cs="Arial"/>
                <w:b w:val="0"/>
                <w:sz w:val="17"/>
              </w:rPr>
              <w:t>Yes</w:t>
            </w:r>
          </w:p>
        </w:tc>
      </w:tr>
      <w:tr>
        <w:tc>
          <w:tcPr>
            <w:tcW w:w="2300" w:type="dxa"/>
          </w:tcPr>
          <w:p>
            <w:pPr>
              <w:spacing w:after="0" w:before="0"/>
            </w:pPr>
            <w:r/>
            <w:r>
              <w:rPr>
                <w:rFonts w:ascii="Arial" w:hAnsi="Arial" w:cs="Arial"/>
                <w:b w:val="0"/>
                <w:sz w:val="17"/>
              </w:rPr>
              <w:t>Bank reconciliation</w:t>
            </w:r>
          </w:p>
        </w:tc>
        <w:tc>
          <w:tcPr>
            <w:tcW w:w="1700" w:type="dxa"/>
          </w:tcPr>
          <w:p>
            <w:pPr>
              <w:spacing w:after="0" w:before="0"/>
            </w:pPr>
            <w:r/>
            <w:r>
              <w:rPr>
                <w:rFonts w:ascii="Arial" w:hAnsi="Arial" w:cs="Arial"/>
                <w:b w:val="0"/>
                <w:sz w:val="17"/>
              </w:rPr>
              <w:t>daily 11:00</w:t>
            </w:r>
          </w:p>
        </w:tc>
        <w:tc>
          <w:tcPr>
            <w:tcW w:w="3360" w:type="dxa"/>
          </w:tcPr>
          <w:p>
            <w:pPr>
              <w:spacing w:after="0" w:before="0"/>
            </w:pPr>
            <w:r/>
            <w:r>
              <w:rPr>
                <w:rFonts w:ascii="Arial" w:hAnsi="Arial" w:cs="Arial"/>
                <w:b w:val="0"/>
                <w:sz w:val="17"/>
              </w:rPr>
              <w:t>statement → matched/exceptions</w:t>
            </w:r>
          </w:p>
        </w:tc>
        <w:tc>
          <w:tcPr>
            <w:tcW w:w="2000" w:type="dxa"/>
          </w:tcPr>
          <w:p>
            <w:pPr>
              <w:spacing w:after="0" w:before="0"/>
            </w:pPr>
            <w:r/>
            <w:r>
              <w:rPr>
                <w:rFonts w:ascii="Arial" w:hAnsi="Arial" w:cs="Arial"/>
                <w:b w:val="0"/>
                <w:sz w:val="17"/>
              </w:rPr>
              <w:t>Yes</w:t>
            </w:r>
          </w:p>
        </w:tc>
      </w:tr>
    </w:tbl>
    <w:p/>
    <w:p>
      <w:pPr>
        <w:pStyle w:val="Heading1"/>
      </w:pPr>
      <w:r>
        <w:t>83. Document / Print Templates (merge fields)</w:t>
      </w:r>
    </w:p>
    <w:p>
      <w:r>
        <w:rPr>
          <w:rFonts w:ascii="Arial" w:hAnsi="Arial" w:cs="Arial"/>
          <w:b w:val="0"/>
          <w:i w:val="0"/>
          <w:sz w:val="22"/>
        </w:rPr>
        <w:t>System-generated documents (Section 20) are versioned templates merged with live data. Key merge fields per template: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1700"/>
        <w:gridCol w:w="5560"/>
      </w:tblGrid>
      <w:tr>
        <w:tc>
          <w:tcPr>
            <w:tcW w:w="2100" w:type="dxa"/>
            <w:shd w:val="clear" w:color="auto" w:fill="1F4E78"/>
          </w:tcPr>
          <w:p>
            <w:pPr>
              <w:spacing w:after="0" w:before="0"/>
            </w:pPr>
            <w:r/>
            <w:r>
              <w:rPr>
                <w:rFonts w:ascii="Arial" w:hAnsi="Arial" w:cs="Arial"/>
                <w:b/>
                <w:color w:val="FFFFFF"/>
                <w:sz w:val="17"/>
              </w:rPr>
              <w:t>Template</w:t>
            </w:r>
          </w:p>
        </w:tc>
        <w:tc>
          <w:tcPr>
            <w:tcW w:w="1700" w:type="dxa"/>
            <w:shd w:val="clear" w:color="auto" w:fill="1F4E78"/>
          </w:tcPr>
          <w:p>
            <w:pPr>
              <w:spacing w:after="0" w:before="0"/>
            </w:pPr>
            <w:r/>
            <w:r>
              <w:rPr>
                <w:rFonts w:ascii="Arial" w:hAnsi="Arial" w:cs="Arial"/>
                <w:b/>
                <w:color w:val="FFFFFF"/>
                <w:sz w:val="17"/>
              </w:rPr>
              <w:t>Trigger</w:t>
            </w:r>
          </w:p>
        </w:tc>
        <w:tc>
          <w:tcPr>
            <w:tcW w:w="5560" w:type="dxa"/>
            <w:shd w:val="clear" w:color="auto" w:fill="1F4E78"/>
          </w:tcPr>
          <w:p>
            <w:pPr>
              <w:spacing w:after="0" w:before="0"/>
            </w:pPr>
            <w:r/>
            <w:r>
              <w:rPr>
                <w:rFonts w:ascii="Arial" w:hAnsi="Arial" w:cs="Arial"/>
                <w:b/>
                <w:color w:val="FFFFFF"/>
                <w:sz w:val="17"/>
              </w:rPr>
              <w:t>Key merge fields</w:t>
            </w:r>
          </w:p>
        </w:tc>
      </w:tr>
      <w:tr>
        <w:tc>
          <w:tcPr>
            <w:tcW w:w="2100" w:type="dxa"/>
          </w:tcPr>
          <w:p>
            <w:pPr>
              <w:spacing w:after="0" w:before="0"/>
            </w:pPr>
            <w:r/>
            <w:r>
              <w:rPr>
                <w:rFonts w:ascii="Arial" w:hAnsi="Arial" w:cs="Arial"/>
                <w:b w:val="0"/>
                <w:sz w:val="17"/>
              </w:rPr>
              <w:t>Key Fact Statement (KFS)</w:t>
            </w:r>
          </w:p>
        </w:tc>
        <w:tc>
          <w:tcPr>
            <w:tcW w:w="1700" w:type="dxa"/>
          </w:tcPr>
          <w:p>
            <w:pPr>
              <w:spacing w:after="0" w:before="0"/>
            </w:pPr>
            <w:r/>
            <w:r>
              <w:rPr>
                <w:rFonts w:ascii="Arial" w:hAnsi="Arial" w:cs="Arial"/>
                <w:b w:val="0"/>
                <w:sz w:val="17"/>
              </w:rPr>
              <w:t>Pre-sanction</w:t>
            </w:r>
          </w:p>
        </w:tc>
        <w:tc>
          <w:tcPr>
            <w:tcW w:w="5560" w:type="dxa"/>
          </w:tcPr>
          <w:p>
            <w:pPr>
              <w:spacing w:after="0" w:before="0"/>
            </w:pPr>
            <w:r/>
            <w:r>
              <w:rPr>
                <w:rFonts w:ascii="Arial" w:hAnsi="Arial" w:cs="Arial"/>
                <w:b w:val="0"/>
                <w:sz w:val="17"/>
              </w:rPr>
              <w:t>borrower, product, APR, itemised charges, cooling-off, grievance officer</w:t>
            </w:r>
          </w:p>
        </w:tc>
      </w:tr>
      <w:tr>
        <w:tc>
          <w:tcPr>
            <w:tcW w:w="2100" w:type="dxa"/>
          </w:tcPr>
          <w:p>
            <w:pPr>
              <w:spacing w:after="0" w:before="0"/>
            </w:pPr>
            <w:r/>
            <w:r>
              <w:rPr>
                <w:rFonts w:ascii="Arial" w:hAnsi="Arial" w:cs="Arial"/>
                <w:b w:val="0"/>
                <w:sz w:val="17"/>
              </w:rPr>
              <w:t>Sanction Letter</w:t>
            </w:r>
          </w:p>
        </w:tc>
        <w:tc>
          <w:tcPr>
            <w:tcW w:w="1700" w:type="dxa"/>
          </w:tcPr>
          <w:p>
            <w:pPr>
              <w:spacing w:after="0" w:before="0"/>
            </w:pPr>
            <w:r/>
            <w:r>
              <w:rPr>
                <w:rFonts w:ascii="Arial" w:hAnsi="Arial" w:cs="Arial"/>
                <w:b w:val="0"/>
                <w:sz w:val="17"/>
              </w:rPr>
              <w:t>Post-approval</w:t>
            </w:r>
          </w:p>
        </w:tc>
        <w:tc>
          <w:tcPr>
            <w:tcW w:w="5560" w:type="dxa"/>
          </w:tcPr>
          <w:p>
            <w:pPr>
              <w:spacing w:after="0" w:before="0"/>
            </w:pPr>
            <w:r/>
            <w:r>
              <w:rPr>
                <w:rFonts w:ascii="Arial" w:hAnsi="Arial" w:cs="Arial"/>
                <w:b w:val="0"/>
                <w:sz w:val="17"/>
              </w:rPr>
              <w:t>sanctioned amount, ROI, tenure, conditions, validity</w:t>
            </w:r>
          </w:p>
        </w:tc>
      </w:tr>
      <w:tr>
        <w:tc>
          <w:tcPr>
            <w:tcW w:w="2100" w:type="dxa"/>
          </w:tcPr>
          <w:p>
            <w:pPr>
              <w:spacing w:after="0" w:before="0"/>
            </w:pPr>
            <w:r/>
            <w:r>
              <w:rPr>
                <w:rFonts w:ascii="Arial" w:hAnsi="Arial" w:cs="Arial"/>
                <w:b w:val="0"/>
                <w:sz w:val="17"/>
              </w:rPr>
              <w:t>Loan Agreement</w:t>
            </w:r>
          </w:p>
        </w:tc>
        <w:tc>
          <w:tcPr>
            <w:tcW w:w="1700" w:type="dxa"/>
          </w:tcPr>
          <w:p>
            <w:pPr>
              <w:spacing w:after="0" w:before="0"/>
            </w:pPr>
            <w:r/>
            <w:r>
              <w:rPr>
                <w:rFonts w:ascii="Arial" w:hAnsi="Arial" w:cs="Arial"/>
                <w:b w:val="0"/>
                <w:sz w:val="17"/>
              </w:rPr>
              <w:t>Execution</w:t>
            </w:r>
          </w:p>
        </w:tc>
        <w:tc>
          <w:tcPr>
            <w:tcW w:w="5560" w:type="dxa"/>
          </w:tcPr>
          <w:p>
            <w:pPr>
              <w:spacing w:after="0" w:before="0"/>
            </w:pPr>
            <w:r/>
            <w:r>
              <w:rPr>
                <w:rFonts w:ascii="Arial" w:hAnsi="Arial" w:cs="Arial"/>
                <w:b w:val="0"/>
                <w:sz w:val="17"/>
              </w:rPr>
              <w:t>parties, terms, product clauses, schedule, penal terms</w:t>
            </w:r>
          </w:p>
        </w:tc>
      </w:tr>
      <w:tr>
        <w:tc>
          <w:tcPr>
            <w:tcW w:w="2100" w:type="dxa"/>
          </w:tcPr>
          <w:p>
            <w:pPr>
              <w:spacing w:after="0" w:before="0"/>
            </w:pPr>
            <w:r/>
            <w:r>
              <w:rPr>
                <w:rFonts w:ascii="Arial" w:hAnsi="Arial" w:cs="Arial"/>
                <w:b w:val="0"/>
                <w:sz w:val="17"/>
              </w:rPr>
              <w:t>Repayment Schedule</w:t>
            </w:r>
          </w:p>
        </w:tc>
        <w:tc>
          <w:tcPr>
            <w:tcW w:w="1700" w:type="dxa"/>
          </w:tcPr>
          <w:p>
            <w:pPr>
              <w:spacing w:after="0" w:before="0"/>
            </w:pPr>
            <w:r/>
            <w:r>
              <w:rPr>
                <w:rFonts w:ascii="Arial" w:hAnsi="Arial" w:cs="Arial"/>
                <w:b w:val="0"/>
                <w:sz w:val="17"/>
              </w:rPr>
              <w:t>Post-disbursement</w:t>
            </w:r>
          </w:p>
        </w:tc>
        <w:tc>
          <w:tcPr>
            <w:tcW w:w="5560" w:type="dxa"/>
          </w:tcPr>
          <w:p>
            <w:pPr>
              <w:spacing w:after="0" w:before="0"/>
            </w:pPr>
            <w:r/>
            <w:r>
              <w:rPr>
                <w:rFonts w:ascii="Arial" w:hAnsi="Arial" w:cs="Arial"/>
                <w:b w:val="0"/>
                <w:sz w:val="17"/>
              </w:rPr>
              <w:t>installment no, due date, EMI, principal, interest, balance</w:t>
            </w:r>
          </w:p>
        </w:tc>
      </w:tr>
      <w:tr>
        <w:tc>
          <w:tcPr>
            <w:tcW w:w="2100" w:type="dxa"/>
          </w:tcPr>
          <w:p>
            <w:pPr>
              <w:spacing w:after="0" w:before="0"/>
            </w:pPr>
            <w:r/>
            <w:r>
              <w:rPr>
                <w:rFonts w:ascii="Arial" w:hAnsi="Arial" w:cs="Arial"/>
                <w:b w:val="0"/>
                <w:sz w:val="17"/>
              </w:rPr>
              <w:t>Statement of Account</w:t>
            </w:r>
          </w:p>
        </w:tc>
        <w:tc>
          <w:tcPr>
            <w:tcW w:w="1700" w:type="dxa"/>
          </w:tcPr>
          <w:p>
            <w:pPr>
              <w:spacing w:after="0" w:before="0"/>
            </w:pPr>
            <w:r/>
            <w:r>
              <w:rPr>
                <w:rFonts w:ascii="Arial" w:hAnsi="Arial" w:cs="Arial"/>
                <w:b w:val="0"/>
                <w:sz w:val="17"/>
              </w:rPr>
              <w:t>On demand</w:t>
            </w:r>
          </w:p>
        </w:tc>
        <w:tc>
          <w:tcPr>
            <w:tcW w:w="5560" w:type="dxa"/>
          </w:tcPr>
          <w:p>
            <w:pPr>
              <w:spacing w:after="0" w:before="0"/>
            </w:pPr>
            <w:r/>
            <w:r>
              <w:rPr>
                <w:rFonts w:ascii="Arial" w:hAnsi="Arial" w:cs="Arial"/>
                <w:b w:val="0"/>
                <w:sz w:val="17"/>
              </w:rPr>
              <w:t>transactions, outstanding, interest/charges</w:t>
            </w:r>
          </w:p>
        </w:tc>
      </w:tr>
      <w:tr>
        <w:tc>
          <w:tcPr>
            <w:tcW w:w="2100" w:type="dxa"/>
          </w:tcPr>
          <w:p>
            <w:pPr>
              <w:spacing w:after="0" w:before="0"/>
            </w:pPr>
            <w:r/>
            <w:r>
              <w:rPr>
                <w:rFonts w:ascii="Arial" w:hAnsi="Arial" w:cs="Arial"/>
                <w:b w:val="0"/>
                <w:sz w:val="17"/>
              </w:rPr>
              <w:t>NOC / Closure</w:t>
            </w:r>
          </w:p>
        </w:tc>
        <w:tc>
          <w:tcPr>
            <w:tcW w:w="1700" w:type="dxa"/>
          </w:tcPr>
          <w:p>
            <w:pPr>
              <w:spacing w:after="0" w:before="0"/>
            </w:pPr>
            <w:r/>
            <w:r>
              <w:rPr>
                <w:rFonts w:ascii="Arial" w:hAnsi="Arial" w:cs="Arial"/>
                <w:b w:val="0"/>
                <w:sz w:val="17"/>
              </w:rPr>
              <w:t>On closure</w:t>
            </w:r>
          </w:p>
        </w:tc>
        <w:tc>
          <w:tcPr>
            <w:tcW w:w="5560" w:type="dxa"/>
          </w:tcPr>
          <w:p>
            <w:pPr>
              <w:spacing w:after="0" w:before="0"/>
            </w:pPr>
            <w:r/>
            <w:r>
              <w:rPr>
                <w:rFonts w:ascii="Arial" w:hAnsi="Arial" w:cs="Arial"/>
                <w:b w:val="0"/>
                <w:sz w:val="17"/>
              </w:rPr>
              <w:t>loan id, closure date, collateral release</w:t>
            </w:r>
          </w:p>
        </w:tc>
      </w:tr>
    </w:tbl>
    <w:p/>
    <w:p>
      <w:pPr>
        <w:pStyle w:val="Heading1"/>
      </w:pPr>
      <w:r>
        <w:t>84. Test Scenarios (Given-When-Then) &amp; Seed Data</w:t>
      </w:r>
    </w:p>
    <w:p>
      <w:r>
        <w:rPr>
          <w:rFonts w:ascii="Arial" w:hAnsi="Arial" w:cs="Arial"/>
          <w:b w:val="0"/>
          <w:i w:val="0"/>
          <w:sz w:val="22"/>
        </w:rPr>
        <w:t>Acceptance scenarios in Given-When-Then, executable as automated tests and mapped to the golden vectors (Section 45.10). Seed/fixture datasets ship with the build.</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Scenario: Disbursement posts a balanced GL entry</w:t>
            </w:r>
            <w:r>
              <w:rPr>
                <w:rFonts w:ascii="Consolas" w:hAnsi="Consolas" w:cs="Consolas"/>
                <w:b w:val="0"/>
                <w:sz w:val="19"/>
              </w:rPr>
              <w:br/>
              <w:t xml:space="preserve">  Given a sanctioned LAP loan of 20,00,000 with cleared conditions</w:t>
            </w:r>
            <w:r>
              <w:rPr>
                <w:rFonts w:ascii="Consolas" w:hAnsi="Consolas" w:cs="Consolas"/>
                <w:b w:val="0"/>
                <w:sz w:val="19"/>
              </w:rPr>
              <w:br/>
              <w:t xml:space="preserve">  When Ops disburses with a unique Idempotency-Key</w:t>
            </w:r>
            <w:r>
              <w:rPr>
                <w:rFonts w:ascii="Consolas" w:hAnsi="Consolas" w:cs="Consolas"/>
                <w:b w:val="0"/>
                <w:sz w:val="19"/>
              </w:rPr>
              <w:br/>
              <w:t xml:space="preserve">  Then a loan account is created, EMI = 22,731.94,</w:t>
            </w:r>
            <w:r>
              <w:rPr>
                <w:rFonts w:ascii="Consolas" w:hAnsi="Consolas" w:cs="Consolas"/>
                <w:b w:val="0"/>
                <w:sz w:val="19"/>
              </w:rPr>
              <w:br/>
              <w:t xml:space="preserve">   And a journal voucher is posted where sum(debits) == sum(credits)</w:t>
            </w:r>
            <w:r>
              <w:rPr>
                <w:rFonts w:ascii="Consolas" w:hAnsi="Consolas" w:cs="Consolas"/>
                <w:b w:val="0"/>
                <w:sz w:val="19"/>
              </w:rPr>
              <w:br/>
              <w:t xml:space="preserve">   And a retry with the same key does NOT post twice</w:t>
            </w:r>
            <w:r>
              <w:rPr>
                <w:rFonts w:ascii="Consolas" w:hAnsi="Consolas" w:cs="Consolas"/>
                <w:b w:val="0"/>
                <w:sz w:val="19"/>
              </w:rPr>
              <w:br/>
              <w:t/>
            </w:r>
            <w:r>
              <w:rPr>
                <w:rFonts w:ascii="Consolas" w:hAnsi="Consolas" w:cs="Consolas"/>
                <w:b w:val="0"/>
                <w:sz w:val="19"/>
              </w:rPr>
              <w:br/>
              <w:t>Scenario: NACH bounce rolls the loan into collections</w:t>
            </w:r>
            <w:r>
              <w:rPr>
                <w:rFonts w:ascii="Consolas" w:hAnsi="Consolas" w:cs="Consolas"/>
                <w:b w:val="0"/>
                <w:sz w:val="19"/>
              </w:rPr>
              <w:br/>
              <w:t xml:space="preserve">  Given an ACTIVE loan with an EMI due today</w:t>
            </w:r>
            <w:r>
              <w:rPr>
                <w:rFonts w:ascii="Consolas" w:hAnsi="Consolas" w:cs="Consolas"/>
                <w:b w:val="0"/>
                <w:sz w:val="19"/>
              </w:rPr>
              <w:br/>
              <w:t xml:space="preserve">  When the NACH presentation returns INSUFFICIENT_FUNDS</w:t>
            </w:r>
            <w:r>
              <w:rPr>
                <w:rFonts w:ascii="Consolas" w:hAnsi="Consolas" w:cs="Consolas"/>
                <w:b w:val="0"/>
                <w:sz w:val="19"/>
              </w:rPr>
              <w:br/>
              <w:t xml:space="preserve">  Then a non-compounding penal charge is applied</w:t>
            </w:r>
            <w:r>
              <w:rPr>
                <w:rFonts w:ascii="Consolas" w:hAnsi="Consolas" w:cs="Consolas"/>
                <w:b w:val="0"/>
                <w:sz w:val="19"/>
              </w:rPr>
              <w:br/>
              <w:t xml:space="preserve">   And the loan moves to OVERDUE_1 and a collections case is created</w:t>
            </w:r>
            <w:r>
              <w:rPr>
                <w:rFonts w:ascii="Consolas" w:hAnsi="Consolas" w:cs="Consolas"/>
                <w:b w:val="0"/>
                <w:sz w:val="19"/>
              </w:rPr>
              <w:br/>
              <w:t/>
            </w:r>
            <w:r>
              <w:rPr>
                <w:rFonts w:ascii="Consolas" w:hAnsi="Consolas" w:cs="Consolas"/>
                <w:b w:val="0"/>
                <w:sz w:val="19"/>
              </w:rPr>
              <w:br/>
              <w:t>Scenario: LAS margin call on price fall</w:t>
            </w:r>
            <w:r>
              <w:rPr>
                <w:rFonts w:ascii="Consolas" w:hAnsi="Consolas" w:cs="Consolas"/>
                <w:b w:val="0"/>
                <w:sz w:val="19"/>
              </w:rPr>
              <w:br/>
              <w:t xml:space="preserve">  Given an LAS loan utilising 2,00,000 against pledged shares</w:t>
            </w:r>
            <w:r>
              <w:rPr>
                <w:rFonts w:ascii="Consolas" w:hAnsi="Consolas" w:cs="Consolas"/>
                <w:b w:val="0"/>
                <w:sz w:val="19"/>
              </w:rPr>
              <w:br/>
              <w:t xml:space="preserve">  When daily revaluation drops drawing power below utilisation</w:t>
            </w:r>
            <w:r>
              <w:rPr>
                <w:rFonts w:ascii="Consolas" w:hAnsi="Consolas" w:cs="Consolas"/>
                <w:b w:val="0"/>
                <w:sz w:val="19"/>
              </w:rPr>
              <w:br/>
              <w:t xml:space="preserve">  Then a margin call is raised with a 7-working-day cure period</w:t>
            </w:r>
            <w:r>
              <w:rPr>
                <w:rFonts w:ascii="Consolas" w:hAnsi="Consolas" w:cs="Consolas"/>
                <w:b w:val="0"/>
                <w:sz w:val="19"/>
              </w:rPr>
              <w:br/>
              <w:t xml:space="preserve">   And on non-cure the pledge is invoked and securities liquidated</w:t>
            </w:r>
          </w:p>
        </w:tc>
      </w:tr>
    </w:tbl>
    <w:p/>
    <w:p>
      <w:pPr>
        <w:pStyle w:val="Heading1"/>
      </w:pPr>
      <w:r>
        <w:t>85. Accessibility (WCAG 2.1 AA) Acceptance Checklist</w:t>
      </w:r>
    </w:p>
    <w:p>
      <w:pPr>
        <w:pStyle w:val="ListParagraph"/>
        <w:numPr>
          <w:ilvl w:val="0"/>
          <w:numId w:val="2"/>
        </w:numPr>
      </w:pPr>
      <w:r>
        <w:rPr>
          <w:rFonts w:ascii="Arial" w:hAnsi="Arial" w:cs="Arial"/>
          <w:sz w:val="22"/>
        </w:rPr>
        <w:t>Perceivable: text alternatives for images/icons; sufficient colour contrast (≥ 4.5:1); content reflows; no information by colour alone.</w:t>
      </w:r>
    </w:p>
    <w:p>
      <w:pPr>
        <w:pStyle w:val="ListParagraph"/>
        <w:numPr>
          <w:ilvl w:val="0"/>
          <w:numId w:val="2"/>
        </w:numPr>
      </w:pPr>
      <w:r>
        <w:rPr>
          <w:rFonts w:ascii="Arial" w:hAnsi="Arial" w:cs="Arial"/>
          <w:sz w:val="22"/>
        </w:rPr>
        <w:t>Operable: full keyboard navigation; visible focus; no keyboard traps; adequate time limits with extensions.</w:t>
      </w:r>
    </w:p>
    <w:p>
      <w:pPr>
        <w:pStyle w:val="ListParagraph"/>
        <w:numPr>
          <w:ilvl w:val="0"/>
          <w:numId w:val="2"/>
        </w:numPr>
      </w:pPr>
      <w:r>
        <w:rPr>
          <w:rFonts w:ascii="Arial" w:hAnsi="Arial" w:cs="Arial"/>
          <w:sz w:val="22"/>
        </w:rPr>
        <w:t>Understandable: labels and instructions on inputs; inline, specific error messages (Section 76); consistent navigation; vernacular language support (Section 60).</w:t>
      </w:r>
    </w:p>
    <w:p>
      <w:pPr>
        <w:pStyle w:val="ListParagraph"/>
        <w:numPr>
          <w:ilvl w:val="0"/>
          <w:numId w:val="2"/>
        </w:numPr>
      </w:pPr>
      <w:r>
        <w:rPr>
          <w:rFonts w:ascii="Arial" w:hAnsi="Arial" w:cs="Arial"/>
          <w:sz w:val="22"/>
        </w:rPr>
        <w:t>Robust: valid, semantic HTML with ARIA where needed; tested with a screen reader; forms announce validation state.</w:t>
      </w:r>
    </w:p>
    <w:p>
      <w:pPr>
        <w:pStyle w:val="ListParagraph"/>
        <w:numPr>
          <w:ilvl w:val="0"/>
          <w:numId w:val="2"/>
        </w:numPr>
      </w:pPr>
      <w:r>
        <w:rPr>
          <w:rFonts w:ascii="Arial" w:hAnsi="Arial" w:cs="Arial"/>
          <w:sz w:val="22"/>
        </w:rPr>
        <w:t>Verified by an accessibility audit before go-live (Section 41.4), not assumed.</w:t>
      </w:r>
    </w:p>
    <w:p>
      <w:r>
        <w:br w:type="page"/>
      </w:r>
    </w:p>
    <w:p>
      <w:r>
        <w:rPr>
          <w:rFonts w:ascii="Arial" w:hAnsi="Arial" w:cs="Arial"/>
          <w:b w:val="0"/>
          <w:i/>
          <w:sz w:val="22"/>
        </w:rPr>
        <w:t>Part IV — Comprehensive Product Blueprint (Section 86) takes one product, Loan Against Securities, to full build depth: every variant, regulatory rule, form field, pledge step, computation, scenario and edge case. It is the template for elaborating any other product to the same depth (Section 86.17).</w:t>
      </w:r>
    </w:p>
    <w:p>
      <w:pPr>
        <w:pStyle w:val="Heading1"/>
      </w:pPr>
      <w:r>
        <w:t>86. Loan Against Securities (LAS) — Comprehensive Product Blueprint</w:t>
      </w:r>
    </w:p>
    <w:p>
      <w:r>
        <w:rPr>
          <w:rFonts w:ascii="Arial" w:hAnsi="Arial" w:cs="Arial"/>
          <w:b w:val="0"/>
          <w:i w:val="0"/>
          <w:sz w:val="22"/>
        </w:rPr>
        <w:t>LAS is an overdraft/term facility secured by a pledge or lien over the borrower’s financial securities. This blueprint expands the summary in Section 3.1 into a build-ready specification. It draws on the calculation engine (Section 45), pledge integrations (Section 12), and the margin-call flow (Figure 44.7).</w:t>
      </w:r>
    </w:p>
    <w:p>
      <w:pPr>
        <w:pStyle w:val="Heading2"/>
      </w:pPr>
      <w:r>
        <w:t>86.1 Product Overview &amp; Variants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300"/>
        <w:gridCol w:w="3600"/>
        <w:gridCol w:w="3460"/>
      </w:tblGrid>
      <w:tr>
        <w:tc>
          <w:tcPr>
            <w:tcW w:w="2300" w:type="dxa"/>
            <w:shd w:val="clear" w:color="auto" w:fill="1F4E78"/>
          </w:tcPr>
          <w:p>
            <w:pPr>
              <w:spacing w:after="0" w:before="0"/>
            </w:pPr>
            <w:r/>
            <w:r>
              <w:rPr>
                <w:rFonts w:ascii="Arial" w:hAnsi="Arial" w:cs="Arial"/>
                <w:b/>
                <w:color w:val="FFFFFF"/>
                <w:sz w:val="17"/>
              </w:rPr>
              <w:t>Variant</w:t>
            </w:r>
          </w:p>
        </w:tc>
        <w:tc>
          <w:tcPr>
            <w:tcW w:w="3600" w:type="dxa"/>
            <w:shd w:val="clear" w:color="auto" w:fill="1F4E78"/>
          </w:tcPr>
          <w:p>
            <w:pPr>
              <w:spacing w:after="0" w:before="0"/>
            </w:pPr>
            <w:r/>
            <w:r>
              <w:rPr>
                <w:rFonts w:ascii="Arial" w:hAnsi="Arial" w:cs="Arial"/>
                <w:b/>
                <w:color w:val="FFFFFF"/>
                <w:sz w:val="17"/>
              </w:rPr>
              <w:t>Description</w:t>
            </w:r>
          </w:p>
        </w:tc>
        <w:tc>
          <w:tcPr>
            <w:tcW w:w="3460" w:type="dxa"/>
            <w:shd w:val="clear" w:color="auto" w:fill="1F4E78"/>
          </w:tcPr>
          <w:p>
            <w:pPr>
              <w:spacing w:after="0" w:before="0"/>
            </w:pPr>
            <w:r/>
            <w:r>
              <w:rPr>
                <w:rFonts w:ascii="Arial" w:hAnsi="Arial" w:cs="Arial"/>
                <w:b/>
                <w:color w:val="FFFFFF"/>
                <w:sz w:val="17"/>
              </w:rPr>
              <w:t>Interest / structure</w:t>
            </w:r>
          </w:p>
        </w:tc>
      </w:tr>
      <w:tr>
        <w:tc>
          <w:tcPr>
            <w:tcW w:w="2300" w:type="dxa"/>
          </w:tcPr>
          <w:p>
            <w:pPr>
              <w:spacing w:after="0" w:before="0"/>
            </w:pPr>
            <w:r/>
            <w:r>
              <w:rPr>
                <w:rFonts w:ascii="Arial" w:hAnsi="Arial" w:cs="Arial"/>
                <w:b w:val="0"/>
                <w:sz w:val="17"/>
              </w:rPr>
              <w:t>LAS — Overdraft (revolving)</w:t>
            </w:r>
          </w:p>
        </w:tc>
        <w:tc>
          <w:tcPr>
            <w:tcW w:w="3600" w:type="dxa"/>
          </w:tcPr>
          <w:p>
            <w:pPr>
              <w:spacing w:after="0" w:before="0"/>
            </w:pPr>
            <w:r/>
            <w:r>
              <w:rPr>
                <w:rFonts w:ascii="Arial" w:hAnsi="Arial" w:cs="Arial"/>
                <w:b w:val="0"/>
                <w:sz w:val="17"/>
              </w:rPr>
              <w:t>Pre-set limit; draw/repay freely; interest only on utilised</w:t>
            </w:r>
          </w:p>
        </w:tc>
        <w:tc>
          <w:tcPr>
            <w:tcW w:w="3460" w:type="dxa"/>
          </w:tcPr>
          <w:p>
            <w:pPr>
              <w:spacing w:after="0" w:before="0"/>
            </w:pPr>
            <w:r/>
            <w:r>
              <w:rPr>
                <w:rFonts w:ascii="Arial" w:hAnsi="Arial" w:cs="Arial"/>
                <w:b w:val="0"/>
                <w:sz w:val="17"/>
              </w:rPr>
              <w:t>Daily reducing on utilised (§24.6)</w:t>
            </w:r>
          </w:p>
        </w:tc>
      </w:tr>
      <w:tr>
        <w:tc>
          <w:tcPr>
            <w:tcW w:w="2300" w:type="dxa"/>
          </w:tcPr>
          <w:p>
            <w:pPr>
              <w:spacing w:after="0" w:before="0"/>
            </w:pPr>
            <w:r/>
            <w:r>
              <w:rPr>
                <w:rFonts w:ascii="Arial" w:hAnsi="Arial" w:cs="Arial"/>
                <w:b w:val="0"/>
                <w:sz w:val="17"/>
              </w:rPr>
              <w:t>LAS — Term Loan</w:t>
            </w:r>
          </w:p>
        </w:tc>
        <w:tc>
          <w:tcPr>
            <w:tcW w:w="3600" w:type="dxa"/>
          </w:tcPr>
          <w:p>
            <w:pPr>
              <w:spacing w:after="0" w:before="0"/>
            </w:pPr>
            <w:r/>
            <w:r>
              <w:rPr>
                <w:rFonts w:ascii="Arial" w:hAnsi="Arial" w:cs="Arial"/>
                <w:b w:val="0"/>
                <w:sz w:val="17"/>
              </w:rPr>
              <w:t>Fixed drawdown against pledge</w:t>
            </w:r>
          </w:p>
        </w:tc>
        <w:tc>
          <w:tcPr>
            <w:tcW w:w="3460" w:type="dxa"/>
          </w:tcPr>
          <w:p>
            <w:pPr>
              <w:spacing w:after="0" w:before="0"/>
            </w:pPr>
            <w:r/>
            <w:r>
              <w:rPr>
                <w:rFonts w:ascii="Arial" w:hAnsi="Arial" w:cs="Arial"/>
                <w:b w:val="0"/>
                <w:sz w:val="17"/>
              </w:rPr>
              <w:t>Reducing EMI or bullet</w:t>
            </w:r>
          </w:p>
        </w:tc>
      </w:tr>
      <w:tr>
        <w:tc>
          <w:tcPr>
            <w:tcW w:w="2300" w:type="dxa"/>
          </w:tcPr>
          <w:p>
            <w:pPr>
              <w:spacing w:after="0" w:before="0"/>
            </w:pPr>
            <w:r/>
            <w:r>
              <w:rPr>
                <w:rFonts w:ascii="Arial" w:hAnsi="Arial" w:cs="Arial"/>
                <w:b w:val="0"/>
                <w:sz w:val="17"/>
              </w:rPr>
              <w:t>Loan against Mutual Funds</w:t>
            </w:r>
          </w:p>
        </w:tc>
        <w:tc>
          <w:tcPr>
            <w:tcW w:w="3600" w:type="dxa"/>
          </w:tcPr>
          <w:p>
            <w:pPr>
              <w:spacing w:after="0" w:before="0"/>
            </w:pPr>
            <w:r/>
            <w:r>
              <w:rPr>
                <w:rFonts w:ascii="Arial" w:hAnsi="Arial" w:cs="Arial"/>
                <w:b w:val="0"/>
                <w:sz w:val="17"/>
              </w:rPr>
              <w:t>Lien on MF units via RTA (CAMS/KFintech)</w:t>
            </w:r>
          </w:p>
        </w:tc>
        <w:tc>
          <w:tcPr>
            <w:tcW w:w="3460" w:type="dxa"/>
          </w:tcPr>
          <w:p>
            <w:pPr>
              <w:spacing w:after="0" w:before="0"/>
            </w:pPr>
            <w:r/>
            <w:r>
              <w:rPr>
                <w:rFonts w:ascii="Arial" w:hAnsi="Arial" w:cs="Arial"/>
                <w:b w:val="0"/>
                <w:sz w:val="17"/>
              </w:rPr>
              <w:t>Overdraft, daily interest</w:t>
            </w:r>
          </w:p>
        </w:tc>
      </w:tr>
      <w:tr>
        <w:tc>
          <w:tcPr>
            <w:tcW w:w="2300" w:type="dxa"/>
          </w:tcPr>
          <w:p>
            <w:pPr>
              <w:spacing w:after="0" w:before="0"/>
            </w:pPr>
            <w:r/>
            <w:r>
              <w:rPr>
                <w:rFonts w:ascii="Arial" w:hAnsi="Arial" w:cs="Arial"/>
                <w:b w:val="0"/>
                <w:sz w:val="17"/>
              </w:rPr>
              <w:t>Loan against Bonds / ETFs / SGB</w:t>
            </w:r>
          </w:p>
        </w:tc>
        <w:tc>
          <w:tcPr>
            <w:tcW w:w="3600" w:type="dxa"/>
          </w:tcPr>
          <w:p>
            <w:pPr>
              <w:spacing w:after="0" w:before="0"/>
            </w:pPr>
            <w:r/>
            <w:r>
              <w:rPr>
                <w:rFonts w:ascii="Arial" w:hAnsi="Arial" w:cs="Arial"/>
                <w:b w:val="0"/>
                <w:sz w:val="17"/>
              </w:rPr>
              <w:t>Pledge of debt/gold instruments</w:t>
            </w:r>
          </w:p>
        </w:tc>
        <w:tc>
          <w:tcPr>
            <w:tcW w:w="3460" w:type="dxa"/>
          </w:tcPr>
          <w:p>
            <w:pPr>
              <w:spacing w:after="0" w:before="0"/>
            </w:pPr>
            <w:r/>
            <w:r>
              <w:rPr>
                <w:rFonts w:ascii="Arial" w:hAnsi="Arial" w:cs="Arial"/>
                <w:b w:val="0"/>
                <w:sz w:val="17"/>
              </w:rPr>
              <w:t>Overdraft/term</w:t>
            </w:r>
          </w:p>
        </w:tc>
      </w:tr>
      <w:tr>
        <w:tc>
          <w:tcPr>
            <w:tcW w:w="2300" w:type="dxa"/>
          </w:tcPr>
          <w:p>
            <w:pPr>
              <w:spacing w:after="0" w:before="0"/>
            </w:pPr>
            <w:r/>
            <w:r>
              <w:rPr>
                <w:rFonts w:ascii="Arial" w:hAnsi="Arial" w:cs="Arial"/>
                <w:b w:val="0"/>
                <w:sz w:val="17"/>
              </w:rPr>
              <w:t>Loan against Insurance Policy</w:t>
            </w:r>
          </w:p>
        </w:tc>
        <w:tc>
          <w:tcPr>
            <w:tcW w:w="3600" w:type="dxa"/>
          </w:tcPr>
          <w:p>
            <w:pPr>
              <w:spacing w:after="0" w:before="0"/>
            </w:pPr>
            <w:r/>
            <w:r>
              <w:rPr>
                <w:rFonts w:ascii="Arial" w:hAnsi="Arial" w:cs="Arial"/>
                <w:b w:val="0"/>
                <w:sz w:val="17"/>
              </w:rPr>
              <w:t>Assignment of traditional policy surrender value</w:t>
            </w:r>
          </w:p>
        </w:tc>
        <w:tc>
          <w:tcPr>
            <w:tcW w:w="3460" w:type="dxa"/>
          </w:tcPr>
          <w:p>
            <w:pPr>
              <w:spacing w:after="0" w:before="0"/>
            </w:pPr>
            <w:r/>
            <w:r>
              <w:rPr>
                <w:rFonts w:ascii="Arial" w:hAnsi="Arial" w:cs="Arial"/>
                <w:b w:val="0"/>
                <w:sz w:val="17"/>
              </w:rPr>
              <w:t>Term (§3.20 cousin)</w:t>
            </w:r>
          </w:p>
        </w:tc>
      </w:tr>
      <w:tr>
        <w:tc>
          <w:tcPr>
            <w:tcW w:w="2300" w:type="dxa"/>
          </w:tcPr>
          <w:p>
            <w:pPr>
              <w:spacing w:after="0" w:before="0"/>
            </w:pPr>
            <w:r/>
            <w:r>
              <w:rPr>
                <w:rFonts w:ascii="Arial" w:hAnsi="Arial" w:cs="Arial"/>
                <w:b w:val="0"/>
                <w:sz w:val="17"/>
              </w:rPr>
              <w:t>ESOP Financing</w:t>
            </w:r>
          </w:p>
        </w:tc>
        <w:tc>
          <w:tcPr>
            <w:tcW w:w="3600" w:type="dxa"/>
          </w:tcPr>
          <w:p>
            <w:pPr>
              <w:spacing w:after="0" w:before="0"/>
            </w:pPr>
            <w:r/>
            <w:r>
              <w:rPr>
                <w:rFonts w:ascii="Arial" w:hAnsi="Arial" w:cs="Arial"/>
                <w:b w:val="0"/>
                <w:sz w:val="17"/>
              </w:rPr>
              <w:t>Funding ESOP exercise against resulting shares</w:t>
            </w:r>
          </w:p>
        </w:tc>
        <w:tc>
          <w:tcPr>
            <w:tcW w:w="3460" w:type="dxa"/>
          </w:tcPr>
          <w:p>
            <w:pPr>
              <w:spacing w:after="0" w:before="0"/>
            </w:pPr>
            <w:r/>
            <w:r>
              <w:rPr>
                <w:rFonts w:ascii="Arial" w:hAnsi="Arial" w:cs="Arial"/>
                <w:b w:val="0"/>
                <w:sz w:val="17"/>
              </w:rPr>
              <w:t>Term; special controls</w:t>
            </w:r>
          </w:p>
        </w:tc>
      </w:tr>
      <w:tr>
        <w:tc>
          <w:tcPr>
            <w:tcW w:w="2300" w:type="dxa"/>
          </w:tcPr>
          <w:p>
            <w:pPr>
              <w:spacing w:after="0" w:before="0"/>
            </w:pPr>
            <w:r/>
            <w:r>
              <w:rPr>
                <w:rFonts w:ascii="Arial" w:hAnsi="Arial" w:cs="Arial"/>
                <w:b w:val="0"/>
                <w:sz w:val="17"/>
              </w:rPr>
              <w:t>IPO Financing / Margin (if offered)</w:t>
            </w:r>
          </w:p>
        </w:tc>
        <w:tc>
          <w:tcPr>
            <w:tcW w:w="3600" w:type="dxa"/>
          </w:tcPr>
          <w:p>
            <w:pPr>
              <w:spacing w:after="0" w:before="0"/>
            </w:pPr>
            <w:r/>
            <w:r>
              <w:rPr>
                <w:rFonts w:ascii="Arial" w:hAnsi="Arial" w:cs="Arial"/>
                <w:b w:val="0"/>
                <w:sz w:val="17"/>
              </w:rPr>
              <w:t>Short-tenor funding to subscribe/hold</w:t>
            </w:r>
          </w:p>
        </w:tc>
        <w:tc>
          <w:tcPr>
            <w:tcW w:w="3460" w:type="dxa"/>
          </w:tcPr>
          <w:p>
            <w:pPr>
              <w:spacing w:after="0" w:before="0"/>
            </w:pPr>
            <w:r/>
            <w:r>
              <w:rPr>
                <w:rFonts w:ascii="Arial" w:hAnsi="Arial" w:cs="Arial"/>
                <w:b w:val="0"/>
                <w:sz w:val="17"/>
              </w:rPr>
              <w:t>Capped per RBI (§86.2)</w:t>
            </w:r>
          </w:p>
        </w:tc>
      </w:tr>
    </w:tbl>
    <w:p/>
    <w:p>
      <w:pPr>
        <w:pStyle w:val="Heading2"/>
      </w:pPr>
      <w:r>
        <w:t>86.2 Regulatory Framework</w:t>
      </w:r>
    </w:p>
    <w:p>
      <w:pPr>
        <w:pStyle w:val="ListParagraph"/>
        <w:numPr>
          <w:ilvl w:val="0"/>
          <w:numId w:val="2"/>
        </w:numPr>
      </w:pPr>
      <w:r>
        <w:rPr>
          <w:rFonts w:ascii="Arial" w:hAnsi="Arial" w:cs="Arial"/>
          <w:sz w:val="22"/>
        </w:rPr>
        <w:t>LTV: for loans against listed shares an NBFC (asset size ≥ ₹100 cr) must maintain a 50% LTV at all times; a shortfall from price movement must be cured within 7 working days, failing which securities are liquidated.</w:t>
      </w:r>
    </w:p>
    <w:p>
      <w:pPr>
        <w:pStyle w:val="ListParagraph"/>
        <w:numPr>
          <w:ilvl w:val="0"/>
          <w:numId w:val="2"/>
        </w:numPr>
      </w:pPr>
      <w:r>
        <w:rPr>
          <w:rFonts w:ascii="Arial" w:hAnsi="Arial" w:cs="Arial"/>
          <w:sz w:val="22"/>
        </w:rPr>
        <w:t>Eligible collateral: only Group-I securities are accepted as collateral for loans above ₹5 lakh.</w:t>
      </w:r>
    </w:p>
    <w:p>
      <w:pPr>
        <w:pStyle w:val="ListParagraph"/>
        <w:numPr>
          <w:ilvl w:val="0"/>
          <w:numId w:val="2"/>
        </w:numPr>
      </w:pPr>
      <w:r>
        <w:rPr>
          <w:rFonts w:ascii="Arial" w:hAnsi="Arial" w:cs="Arial"/>
          <w:sz w:val="22"/>
        </w:rPr>
        <w:t>Reporting: NBFCs with asset size above ₹100 cr report shares pledged in their favour to the stock exchanges.</w:t>
      </w:r>
    </w:p>
    <w:p>
      <w:pPr>
        <w:pStyle w:val="ListParagraph"/>
        <w:numPr>
          <w:ilvl w:val="0"/>
          <w:numId w:val="2"/>
        </w:numPr>
      </w:pPr>
      <w:r>
        <w:rPr>
          <w:rFonts w:ascii="Arial" w:hAnsi="Arial" w:cs="Arial"/>
          <w:sz w:val="22"/>
        </w:rPr>
        <w:t>Pledge mechanism: under the SEBI margin-pledge framework the securities remain in the borrower’s demat account with a lien marked in the NBFC’s favour, authorised by the borrower via depository OTP (no power of attorney).</w:t>
      </w:r>
    </w:p>
    <w:p>
      <w:pPr>
        <w:pStyle w:val="ListParagraph"/>
        <w:numPr>
          <w:ilvl w:val="0"/>
          <w:numId w:val="2"/>
        </w:numPr>
      </w:pPr>
      <w:r>
        <w:rPr>
          <w:rFonts w:ascii="Arial" w:hAnsi="Arial" w:cs="Arial"/>
          <w:sz w:val="22"/>
        </w:rPr>
        <w:t>IPO financing, where offered, is capped per borrower per the RBI ceiling; end-use for LAS is monitored and must not breach securities-market or anti-money-laundering restrictions.</w:t>
      </w:r>
    </w:p>
    <w:p>
      <w:pPr>
        <w:pStyle w:val="ListParagraph"/>
        <w:numPr>
          <w:ilvl w:val="0"/>
          <w:numId w:val="2"/>
        </w:numPr>
      </w:pPr>
      <w:r>
        <w:rPr>
          <w:rFonts w:ascii="Arial" w:hAnsi="Arial" w:cs="Arial"/>
          <w:sz w:val="22"/>
        </w:rPr>
        <w:t>All thresholds are configurable and must be confirmed against the extant RBI/SEBI directions before go-live (Section 62).</w:t>
      </w:r>
    </w:p>
    <w:p>
      <w:pPr>
        <w:pStyle w:val="Heading2"/>
      </w:pPr>
      <w:r>
        <w:t>86.3 Eligible-Securities &amp; Haircut Master</w:t>
      </w:r>
    </w:p>
    <w:p>
      <w:r>
        <w:rPr>
          <w:rFonts w:ascii="Arial" w:hAnsi="Arial" w:cs="Arial"/>
          <w:b w:val="0"/>
          <w:i w:val="0"/>
          <w:sz w:val="22"/>
        </w:rPr>
        <w:t>A central, versioned master (Section 39.2) defines what can be pledged and at what value. It is maintained by Risk, not per loan.</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300"/>
        <w:gridCol w:w="7060"/>
      </w:tblGrid>
      <w:tr>
        <w:tc>
          <w:tcPr>
            <w:tcW w:w="2300" w:type="dxa"/>
            <w:shd w:val="clear" w:color="auto" w:fill="1F4E78"/>
          </w:tcPr>
          <w:p>
            <w:pPr>
              <w:spacing w:after="0" w:before="0"/>
            </w:pPr>
            <w:r/>
            <w:r>
              <w:rPr>
                <w:rFonts w:ascii="Arial" w:hAnsi="Arial" w:cs="Arial"/>
                <w:b/>
                <w:color w:val="FFFFFF"/>
                <w:sz w:val="17"/>
              </w:rPr>
              <w:t>Attribute</w:t>
            </w:r>
          </w:p>
        </w:tc>
        <w:tc>
          <w:tcPr>
            <w:tcW w:w="7060" w:type="dxa"/>
            <w:shd w:val="clear" w:color="auto" w:fill="1F4E78"/>
          </w:tcPr>
          <w:p>
            <w:pPr>
              <w:spacing w:after="0" w:before="0"/>
            </w:pPr>
            <w:r/>
            <w:r>
              <w:rPr>
                <w:rFonts w:ascii="Arial" w:hAnsi="Arial" w:cs="Arial"/>
                <w:b/>
                <w:color w:val="FFFFFF"/>
                <w:sz w:val="17"/>
              </w:rPr>
              <w:t>Detail</w:t>
            </w:r>
          </w:p>
        </w:tc>
      </w:tr>
      <w:tr>
        <w:tc>
          <w:tcPr>
            <w:tcW w:w="2300" w:type="dxa"/>
          </w:tcPr>
          <w:p>
            <w:pPr>
              <w:spacing w:after="0" w:before="0"/>
            </w:pPr>
            <w:r/>
            <w:r>
              <w:rPr>
                <w:rFonts w:ascii="Arial" w:hAnsi="Arial" w:cs="Arial"/>
                <w:b w:val="0"/>
                <w:sz w:val="17"/>
              </w:rPr>
              <w:t>Approved list (ISIN)</w:t>
            </w:r>
          </w:p>
        </w:tc>
        <w:tc>
          <w:tcPr>
            <w:tcW w:w="7060" w:type="dxa"/>
          </w:tcPr>
          <w:p>
            <w:pPr>
              <w:spacing w:after="0" w:before="0"/>
            </w:pPr>
            <w:r/>
            <w:r>
              <w:rPr>
                <w:rFonts w:ascii="Arial" w:hAnsi="Arial" w:cs="Arial"/>
                <w:b w:val="0"/>
                <w:sz w:val="17"/>
              </w:rPr>
              <w:t>Group-I / approved scrips, index-eligible; F&amp;O eligibility flag</w:t>
            </w:r>
          </w:p>
        </w:tc>
      </w:tr>
      <w:tr>
        <w:tc>
          <w:tcPr>
            <w:tcW w:w="2300" w:type="dxa"/>
          </w:tcPr>
          <w:p>
            <w:pPr>
              <w:spacing w:after="0" w:before="0"/>
            </w:pPr>
            <w:r/>
            <w:r>
              <w:rPr>
                <w:rFonts w:ascii="Arial" w:hAnsi="Arial" w:cs="Arial"/>
                <w:b w:val="0"/>
                <w:sz w:val="17"/>
              </w:rPr>
              <w:t>Per-ISIN LTV / haircut</w:t>
            </w:r>
          </w:p>
        </w:tc>
        <w:tc>
          <w:tcPr>
            <w:tcW w:w="7060" w:type="dxa"/>
          </w:tcPr>
          <w:p>
            <w:pPr>
              <w:spacing w:after="0" w:before="0"/>
            </w:pPr>
            <w:r/>
            <w:r>
              <w:rPr>
                <w:rFonts w:ascii="Arial" w:hAnsi="Arial" w:cs="Arial"/>
                <w:b w:val="0"/>
                <w:sz w:val="17"/>
              </w:rPr>
              <w:t>e.g., equity 50%, debt MF higher; volatility-linked haircut</w:t>
            </w:r>
          </w:p>
        </w:tc>
      </w:tr>
      <w:tr>
        <w:tc>
          <w:tcPr>
            <w:tcW w:w="2300" w:type="dxa"/>
          </w:tcPr>
          <w:p>
            <w:pPr>
              <w:spacing w:after="0" w:before="0"/>
            </w:pPr>
            <w:r/>
            <w:r>
              <w:rPr>
                <w:rFonts w:ascii="Arial" w:hAnsi="Arial" w:cs="Arial"/>
                <w:b w:val="0"/>
                <w:sz w:val="17"/>
              </w:rPr>
              <w:t>Concentration limits</w:t>
            </w:r>
          </w:p>
        </w:tc>
        <w:tc>
          <w:tcPr>
            <w:tcW w:w="7060" w:type="dxa"/>
          </w:tcPr>
          <w:p>
            <w:pPr>
              <w:spacing w:after="0" w:before="0"/>
            </w:pPr>
            <w:r/>
            <w:r>
              <w:rPr>
                <w:rFonts w:ascii="Arial" w:hAnsi="Arial" w:cs="Arial"/>
                <w:b w:val="0"/>
                <w:sz w:val="17"/>
              </w:rPr>
              <w:t>Max % of a single scrip/group in one loan and across the book</w:t>
            </w:r>
          </w:p>
        </w:tc>
      </w:tr>
      <w:tr>
        <w:tc>
          <w:tcPr>
            <w:tcW w:w="2300" w:type="dxa"/>
          </w:tcPr>
          <w:p>
            <w:pPr>
              <w:spacing w:after="0" w:before="0"/>
            </w:pPr>
            <w:r/>
            <w:r>
              <w:rPr>
                <w:rFonts w:ascii="Arial" w:hAnsi="Arial" w:cs="Arial"/>
                <w:b w:val="0"/>
                <w:sz w:val="17"/>
              </w:rPr>
              <w:t>Exclusions</w:t>
            </w:r>
          </w:p>
        </w:tc>
        <w:tc>
          <w:tcPr>
            <w:tcW w:w="7060" w:type="dxa"/>
          </w:tcPr>
          <w:p>
            <w:pPr>
              <w:spacing w:after="0" w:before="0"/>
            </w:pPr>
            <w:r/>
            <w:r>
              <w:rPr>
                <w:rFonts w:ascii="Arial" w:hAnsi="Arial" w:cs="Arial"/>
                <w:b w:val="0"/>
                <w:sz w:val="17"/>
              </w:rPr>
              <w:t>Promoter/locked-in/pledged-elsewhere, illiquid, ESOP-restricted, suspended, in derivatives-ban</w:t>
            </w:r>
          </w:p>
        </w:tc>
      </w:tr>
      <w:tr>
        <w:tc>
          <w:tcPr>
            <w:tcW w:w="2300" w:type="dxa"/>
          </w:tcPr>
          <w:p>
            <w:pPr>
              <w:spacing w:after="0" w:before="0"/>
            </w:pPr>
            <w:r/>
            <w:r>
              <w:rPr>
                <w:rFonts w:ascii="Arial" w:hAnsi="Arial" w:cs="Arial"/>
                <w:b w:val="0"/>
                <w:sz w:val="17"/>
              </w:rPr>
              <w:t>Price source</w:t>
            </w:r>
          </w:p>
        </w:tc>
        <w:tc>
          <w:tcPr>
            <w:tcW w:w="7060" w:type="dxa"/>
          </w:tcPr>
          <w:p>
            <w:pPr>
              <w:spacing w:after="0" w:before="0"/>
            </w:pPr>
            <w:r/>
            <w:r>
              <w:rPr>
                <w:rFonts w:ascii="Arial" w:hAnsi="Arial" w:cs="Arial"/>
                <w:b w:val="0"/>
                <w:sz w:val="17"/>
              </w:rPr>
              <w:t>Exchange close / NAV; staleness rule if no price</w:t>
            </w:r>
          </w:p>
        </w:tc>
      </w:tr>
      <w:tr>
        <w:tc>
          <w:tcPr>
            <w:tcW w:w="2300" w:type="dxa"/>
          </w:tcPr>
          <w:p>
            <w:pPr>
              <w:spacing w:after="0" w:before="0"/>
            </w:pPr>
            <w:r/>
            <w:r>
              <w:rPr>
                <w:rFonts w:ascii="Arial" w:hAnsi="Arial" w:cs="Arial"/>
                <w:b w:val="0"/>
                <w:sz w:val="17"/>
              </w:rPr>
              <w:t>Review</w:t>
            </w:r>
          </w:p>
        </w:tc>
        <w:tc>
          <w:tcPr>
            <w:tcW w:w="7060" w:type="dxa"/>
          </w:tcPr>
          <w:p>
            <w:pPr>
              <w:spacing w:after="0" w:before="0"/>
            </w:pPr>
            <w:r/>
            <w:r>
              <w:rPr>
                <w:rFonts w:ascii="Arial" w:hAnsi="Arial" w:cs="Arial"/>
                <w:b w:val="0"/>
                <w:sz w:val="17"/>
              </w:rPr>
              <w:t>Daily refresh; scrip added/removed by Risk with effective-dating</w:t>
            </w:r>
          </w:p>
        </w:tc>
      </w:tr>
    </w:tbl>
    <w:p/>
    <w:p>
      <w:pPr>
        <w:pStyle w:val="Heading2"/>
      </w:pPr>
      <w:r>
        <w:t>86.4 Borrower Types &amp; Eligibility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7260"/>
      </w:tblGrid>
      <w:tr>
        <w:tc>
          <w:tcPr>
            <w:tcW w:w="2100" w:type="dxa"/>
            <w:shd w:val="clear" w:color="auto" w:fill="1F4E78"/>
          </w:tcPr>
          <w:p>
            <w:pPr>
              <w:spacing w:after="0" w:before="0"/>
            </w:pPr>
            <w:r/>
            <w:r>
              <w:rPr>
                <w:rFonts w:ascii="Arial" w:hAnsi="Arial" w:cs="Arial"/>
                <w:b/>
                <w:color w:val="FFFFFF"/>
                <w:sz w:val="17"/>
              </w:rPr>
              <w:t>Type</w:t>
            </w:r>
          </w:p>
        </w:tc>
        <w:tc>
          <w:tcPr>
            <w:tcW w:w="7260" w:type="dxa"/>
            <w:shd w:val="clear" w:color="auto" w:fill="1F4E78"/>
          </w:tcPr>
          <w:p>
            <w:pPr>
              <w:spacing w:after="0" w:before="0"/>
            </w:pPr>
            <w:r/>
            <w:r>
              <w:rPr>
                <w:rFonts w:ascii="Arial" w:hAnsi="Arial" w:cs="Arial"/>
                <w:b/>
                <w:color w:val="FFFFFF"/>
                <w:sz w:val="17"/>
              </w:rPr>
              <w:t>Notes</w:t>
            </w:r>
          </w:p>
        </w:tc>
      </w:tr>
      <w:tr>
        <w:tc>
          <w:tcPr>
            <w:tcW w:w="2100" w:type="dxa"/>
          </w:tcPr>
          <w:p>
            <w:pPr>
              <w:spacing w:after="0" w:before="0"/>
            </w:pPr>
            <w:r/>
            <w:r>
              <w:rPr>
                <w:rFonts w:ascii="Arial" w:hAnsi="Arial" w:cs="Arial"/>
                <w:b w:val="0"/>
                <w:sz w:val="17"/>
              </w:rPr>
              <w:t>Individual / Joint</w:t>
            </w:r>
          </w:p>
        </w:tc>
        <w:tc>
          <w:tcPr>
            <w:tcW w:w="7260" w:type="dxa"/>
          </w:tcPr>
          <w:p>
            <w:pPr>
              <w:spacing w:after="0" w:before="0"/>
            </w:pPr>
            <w:r/>
            <w:r>
              <w:rPr>
                <w:rFonts w:ascii="Arial" w:hAnsi="Arial" w:cs="Arial"/>
                <w:b w:val="0"/>
                <w:sz w:val="17"/>
              </w:rPr>
              <w:t>Age and income checks; joint demat holders all consent</w:t>
            </w:r>
          </w:p>
        </w:tc>
      </w:tr>
      <w:tr>
        <w:tc>
          <w:tcPr>
            <w:tcW w:w="2100" w:type="dxa"/>
          </w:tcPr>
          <w:p>
            <w:pPr>
              <w:spacing w:after="0" w:before="0"/>
            </w:pPr>
            <w:r/>
            <w:r>
              <w:rPr>
                <w:rFonts w:ascii="Arial" w:hAnsi="Arial" w:cs="Arial"/>
                <w:b w:val="0"/>
                <w:sz w:val="17"/>
              </w:rPr>
              <w:t>HUF</w:t>
            </w:r>
          </w:p>
        </w:tc>
        <w:tc>
          <w:tcPr>
            <w:tcW w:w="7260" w:type="dxa"/>
          </w:tcPr>
          <w:p>
            <w:pPr>
              <w:spacing w:after="0" w:before="0"/>
            </w:pPr>
            <w:r/>
            <w:r>
              <w:rPr>
                <w:rFonts w:ascii="Arial" w:hAnsi="Arial" w:cs="Arial"/>
                <w:b w:val="0"/>
                <w:sz w:val="17"/>
              </w:rPr>
              <w:t>Karta operates; demat in HUF name</w:t>
            </w:r>
          </w:p>
        </w:tc>
      </w:tr>
      <w:tr>
        <w:tc>
          <w:tcPr>
            <w:tcW w:w="2100" w:type="dxa"/>
          </w:tcPr>
          <w:p>
            <w:pPr>
              <w:spacing w:after="0" w:before="0"/>
            </w:pPr>
            <w:r/>
            <w:r>
              <w:rPr>
                <w:rFonts w:ascii="Arial" w:hAnsi="Arial" w:cs="Arial"/>
                <w:b w:val="0"/>
                <w:sz w:val="17"/>
              </w:rPr>
              <w:t>NRI</w:t>
            </w:r>
          </w:p>
        </w:tc>
        <w:tc>
          <w:tcPr>
            <w:tcW w:w="7260" w:type="dxa"/>
          </w:tcPr>
          <w:p>
            <w:pPr>
              <w:spacing w:after="0" w:before="0"/>
            </w:pPr>
            <w:r/>
            <w:r>
              <w:rPr>
                <w:rFonts w:ascii="Arial" w:hAnsi="Arial" w:cs="Arial"/>
                <w:b w:val="0"/>
                <w:sz w:val="17"/>
              </w:rPr>
              <w:t>Permitted subject to FEMA/repatriation and end-use restrictions; NRE/NRO handling</w:t>
            </w:r>
          </w:p>
        </w:tc>
      </w:tr>
      <w:tr>
        <w:tc>
          <w:tcPr>
            <w:tcW w:w="2100" w:type="dxa"/>
          </w:tcPr>
          <w:p>
            <w:pPr>
              <w:spacing w:after="0" w:before="0"/>
            </w:pPr>
            <w:r/>
            <w:r>
              <w:rPr>
                <w:rFonts w:ascii="Arial" w:hAnsi="Arial" w:cs="Arial"/>
                <w:b w:val="0"/>
                <w:sz w:val="17"/>
              </w:rPr>
              <w:t>Entity (company/LLP/partnership)</w:t>
            </w:r>
          </w:p>
        </w:tc>
        <w:tc>
          <w:tcPr>
            <w:tcW w:w="7260" w:type="dxa"/>
          </w:tcPr>
          <w:p>
            <w:pPr>
              <w:spacing w:after="0" w:before="0"/>
            </w:pPr>
            <w:r/>
            <w:r>
              <w:rPr>
                <w:rFonts w:ascii="Arial" w:hAnsi="Arial" w:cs="Arial"/>
                <w:b w:val="0"/>
                <w:sz w:val="17"/>
              </w:rPr>
              <w:t>Board/partner authorisation; UBO; corporate demat</w:t>
            </w:r>
          </w:p>
        </w:tc>
      </w:tr>
      <w:tr>
        <w:tc>
          <w:tcPr>
            <w:tcW w:w="2100" w:type="dxa"/>
          </w:tcPr>
          <w:p>
            <w:pPr>
              <w:spacing w:after="0" w:before="0"/>
            </w:pPr>
            <w:r/>
            <w:r>
              <w:rPr>
                <w:rFonts w:ascii="Arial" w:hAnsi="Arial" w:cs="Arial"/>
                <w:b w:val="0"/>
                <w:sz w:val="17"/>
              </w:rPr>
              <w:t>Not eligible</w:t>
            </w:r>
          </w:p>
        </w:tc>
        <w:tc>
          <w:tcPr>
            <w:tcW w:w="7260" w:type="dxa"/>
          </w:tcPr>
          <w:p>
            <w:pPr>
              <w:spacing w:after="0" w:before="0"/>
            </w:pPr>
            <w:r/>
            <w:r>
              <w:rPr>
                <w:rFonts w:ascii="Arial" w:hAnsi="Arial" w:cs="Arial"/>
                <w:b w:val="0"/>
                <w:sz w:val="17"/>
              </w:rPr>
              <w:t>Minors (except through guardian per policy); securities the borrower does not fully own</w:t>
            </w:r>
          </w:p>
        </w:tc>
      </w:tr>
    </w:tbl>
    <w:p/>
    <w:p>
      <w:pPr>
        <w:pStyle w:val="Heading2"/>
      </w:pPr>
      <w:r>
        <w:t>86.5 Application Form — Complete Field Set</w:t>
      </w:r>
    </w:p>
    <w:p>
      <w:r>
        <w:rPr>
          <w:rFonts w:ascii="Arial" w:hAnsi="Arial" w:cs="Arial"/>
          <w:b w:val="0"/>
          <w:i w:val="0"/>
          <w:sz w:val="22"/>
        </w:rPr>
        <w:t>The LAS application captures full borrower information in addition to the pledge details. Fields below are in addition to the common Identity/KYC, Address and Consent blocks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Applicant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Linked Section 2 record (name, DOB, PAN, Aadhaar, CKYC, photo, signature)</w:t>
            </w:r>
          </w:p>
        </w:tc>
      </w:tr>
      <w:tr>
        <w:tc>
          <w:tcPr>
            <w:tcW w:w="2900" w:type="dxa"/>
          </w:tcPr>
          <w:p>
            <w:pPr>
              <w:spacing w:after="0" w:before="0"/>
            </w:pPr>
            <w:r/>
            <w:r>
              <w:rPr>
                <w:rFonts w:ascii="Arial" w:hAnsi="Arial" w:cs="Arial"/>
                <w:b w:val="0"/>
                <w:sz w:val="17"/>
              </w:rPr>
              <w:t>Constitution / Applicant Type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Individual/Joint/HUF/NRI/Entity (§86.4)</w:t>
            </w:r>
          </w:p>
        </w:tc>
      </w:tr>
      <w:tr>
        <w:tc>
          <w:tcPr>
            <w:tcW w:w="2900" w:type="dxa"/>
          </w:tcPr>
          <w:p>
            <w:pPr>
              <w:spacing w:after="0" w:before="0"/>
            </w:pPr>
            <w:r/>
            <w:r>
              <w:rPr>
                <w:rFonts w:ascii="Arial" w:hAnsi="Arial" w:cs="Arial"/>
                <w:b w:val="0"/>
                <w:sz w:val="17"/>
              </w:rPr>
              <w:t>Residential / FEMA Status</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Resident/NRI; drives eligibility &amp; account type</w:t>
            </w:r>
          </w:p>
        </w:tc>
      </w:tr>
      <w:tr>
        <w:tc>
          <w:tcPr>
            <w:tcW w:w="2900" w:type="dxa"/>
          </w:tcPr>
          <w:p>
            <w:pPr>
              <w:spacing w:after="0" w:before="0"/>
            </w:pPr>
            <w:r/>
            <w:r>
              <w:rPr>
                <w:rFonts w:ascii="Arial" w:hAnsi="Arial" w:cs="Arial"/>
                <w:b w:val="0"/>
                <w:sz w:val="17"/>
              </w:rPr>
              <w:t>Occupation / Source of Funds</w:t>
            </w:r>
          </w:p>
        </w:tc>
        <w:tc>
          <w:tcPr>
            <w:tcW w:w="1300" w:type="dxa"/>
          </w:tcPr>
          <w:p>
            <w:pPr>
              <w:spacing w:after="0" w:before="0"/>
            </w:pPr>
            <w:r/>
            <w:r>
              <w:rPr>
                <w:rFonts w:ascii="Arial" w:hAnsi="Arial" w:cs="Arial"/>
                <w:b w:val="0"/>
                <w:sz w:val="17"/>
              </w:rPr>
              <w:t>Dropdown/Text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AML source-of-funds; PEP overlay (§2.11)</w:t>
            </w:r>
          </w:p>
        </w:tc>
      </w:tr>
      <w:tr>
        <w:tc>
          <w:tcPr>
            <w:tcW w:w="2900" w:type="dxa"/>
          </w:tcPr>
          <w:p>
            <w:pPr>
              <w:spacing w:after="0" w:before="0"/>
            </w:pPr>
            <w:r/>
            <w:r>
              <w:rPr>
                <w:rFonts w:ascii="Arial" w:hAnsi="Arial" w:cs="Arial"/>
                <w:b w:val="0"/>
                <w:sz w:val="17"/>
              </w:rPr>
              <w:t>Annual Income / Net Worth</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Financial profile; supports limit &amp; suitability</w:t>
            </w:r>
          </w:p>
        </w:tc>
      </w:tr>
      <w:tr>
        <w:tc>
          <w:tcPr>
            <w:tcW w:w="2900" w:type="dxa"/>
          </w:tcPr>
          <w:p>
            <w:pPr>
              <w:spacing w:after="0" w:before="0"/>
            </w:pPr>
            <w:r/>
            <w:r>
              <w:rPr>
                <w:rFonts w:ascii="Arial" w:hAnsi="Arial" w:cs="Arial"/>
                <w:b w:val="0"/>
                <w:sz w:val="17"/>
              </w:rPr>
              <w:t>Existing Loan Obligations</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For total-indebtedness/FOIR view</w:t>
            </w:r>
          </w:p>
        </w:tc>
      </w:tr>
      <w:tr>
        <w:tc>
          <w:tcPr>
            <w:tcW w:w="2900" w:type="dxa"/>
          </w:tcPr>
          <w:p>
            <w:pPr>
              <w:spacing w:after="0" w:before="0"/>
            </w:pPr>
            <w:r/>
            <w:r>
              <w:rPr>
                <w:rFonts w:ascii="Arial" w:hAnsi="Arial" w:cs="Arial"/>
                <w:b w:val="0"/>
                <w:sz w:val="17"/>
              </w:rPr>
              <w:t>Demat Account Number &amp; DP ID</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16-digit BO ID; must belong to applicant</w:t>
            </w:r>
          </w:p>
        </w:tc>
      </w:tr>
      <w:tr>
        <w:tc>
          <w:tcPr>
            <w:tcW w:w="2900" w:type="dxa"/>
          </w:tcPr>
          <w:p>
            <w:pPr>
              <w:spacing w:after="0" w:before="0"/>
            </w:pPr>
            <w:r/>
            <w:r>
              <w:rPr>
                <w:rFonts w:ascii="Arial" w:hAnsi="Arial" w:cs="Arial"/>
                <w:b w:val="0"/>
                <w:sz w:val="17"/>
              </w:rPr>
              <w:t>Depository</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NSDL / CDSL</w:t>
            </w:r>
          </w:p>
        </w:tc>
      </w:tr>
      <w:tr>
        <w:tc>
          <w:tcPr>
            <w:tcW w:w="2900" w:type="dxa"/>
          </w:tcPr>
          <w:p>
            <w:pPr>
              <w:spacing w:after="0" w:before="0"/>
            </w:pPr>
            <w:r/>
            <w:r>
              <w:rPr>
                <w:rFonts w:ascii="Arial" w:hAnsi="Arial" w:cs="Arial"/>
                <w:b w:val="0"/>
                <w:sz w:val="17"/>
              </w:rPr>
              <w:t>Broker / DP Name</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Depository Participant</w:t>
            </w:r>
          </w:p>
        </w:tc>
      </w:tr>
      <w:tr>
        <w:tc>
          <w:tcPr>
            <w:tcW w:w="2900" w:type="dxa"/>
          </w:tcPr>
          <w:p>
            <w:pPr>
              <w:spacing w:after="0" w:before="0"/>
            </w:pPr>
            <w:r/>
            <w:r>
              <w:rPr>
                <w:rFonts w:ascii="Arial" w:hAnsi="Arial" w:cs="Arial"/>
                <w:b w:val="0"/>
                <w:sz w:val="17"/>
              </w:rPr>
              <w:t>Securities to be Pledged</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ISIN, Security Name, Qty, Last Price, Value, applied LTV/haircut, F&amp;O flag</w:t>
            </w:r>
          </w:p>
        </w:tc>
      </w:tr>
      <w:tr>
        <w:tc>
          <w:tcPr>
            <w:tcW w:w="2900" w:type="dxa"/>
          </w:tcPr>
          <w:p>
            <w:pPr>
              <w:spacing w:after="0" w:before="0"/>
            </w:pPr>
            <w:r/>
            <w:r>
              <w:rPr>
                <w:rFonts w:ascii="Arial" w:hAnsi="Arial" w:cs="Arial"/>
                <w:b w:val="0"/>
                <w:sz w:val="17"/>
              </w:rPr>
              <w:t>Requested Limit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System caps at eligible Drawing Power</w:t>
            </w:r>
          </w:p>
        </w:tc>
      </w:tr>
      <w:tr>
        <w:tc>
          <w:tcPr>
            <w:tcW w:w="2900" w:type="dxa"/>
          </w:tcPr>
          <w:p>
            <w:pPr>
              <w:spacing w:after="0" w:before="0"/>
            </w:pPr>
            <w:r/>
            <w:r>
              <w:rPr>
                <w:rFonts w:ascii="Arial" w:hAnsi="Arial" w:cs="Arial"/>
                <w:b w:val="0"/>
                <w:sz w:val="17"/>
              </w:rPr>
              <w:t>Facility Type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Overdraft (revolving) / Term</w:t>
            </w:r>
          </w:p>
        </w:tc>
      </w:tr>
      <w:tr>
        <w:tc>
          <w:tcPr>
            <w:tcW w:w="2900" w:type="dxa"/>
          </w:tcPr>
          <w:p>
            <w:pPr>
              <w:spacing w:after="0" w:before="0"/>
            </w:pPr>
            <w:r/>
            <w:r>
              <w:rPr>
                <w:rFonts w:ascii="Arial" w:hAnsi="Arial" w:cs="Arial"/>
                <w:b w:val="0"/>
                <w:sz w:val="17"/>
              </w:rPr>
              <w:t>Purpose of Loan / End-Use</w:t>
            </w:r>
          </w:p>
        </w:tc>
        <w:tc>
          <w:tcPr>
            <w:tcW w:w="1300" w:type="dxa"/>
          </w:tcPr>
          <w:p>
            <w:pPr>
              <w:spacing w:after="0" w:before="0"/>
            </w:pPr>
            <w:r/>
            <w:r>
              <w:rPr>
                <w:rFonts w:ascii="Arial" w:hAnsi="Arial" w:cs="Arial"/>
                <w:b w:val="0"/>
                <w:sz w:val="17"/>
              </w:rPr>
              <w:t>Dropdown+Text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End-use declaration; restricted uses blocked (§86.2)</w:t>
            </w:r>
          </w:p>
        </w:tc>
      </w:tr>
      <w:tr>
        <w:tc>
          <w:tcPr>
            <w:tcW w:w="2900" w:type="dxa"/>
          </w:tcPr>
          <w:p>
            <w:pPr>
              <w:spacing w:after="0" w:before="0"/>
            </w:pPr>
            <w:r/>
            <w:r>
              <w:rPr>
                <w:rFonts w:ascii="Arial" w:hAnsi="Arial" w:cs="Arial"/>
                <w:b w:val="0"/>
                <w:sz w:val="17"/>
              </w:rPr>
              <w:t>Existing Lien on These Securities</w:t>
            </w:r>
          </w:p>
        </w:tc>
        <w:tc>
          <w:tcPr>
            <w:tcW w:w="1300" w:type="dxa"/>
          </w:tcPr>
          <w:p>
            <w:pPr>
              <w:spacing w:after="0" w:before="0"/>
            </w:pPr>
            <w:r/>
            <w:r>
              <w:rPr>
                <w:rFonts w:ascii="Arial" w:hAnsi="Arial" w:cs="Arial"/>
                <w:b w:val="0"/>
                <w:sz w:val="17"/>
              </w:rPr>
              <w:t>Boolean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Cross-checked with depository/RTA</w:t>
            </w:r>
          </w:p>
        </w:tc>
      </w:tr>
      <w:tr>
        <w:tc>
          <w:tcPr>
            <w:tcW w:w="2900" w:type="dxa"/>
          </w:tcPr>
          <w:p>
            <w:pPr>
              <w:spacing w:after="0" w:before="0"/>
            </w:pPr>
            <w:r/>
            <w:r>
              <w:rPr>
                <w:rFonts w:ascii="Arial" w:hAnsi="Arial" w:cs="Arial"/>
                <w:b w:val="0"/>
                <w:sz w:val="17"/>
              </w:rPr>
              <w:t>Disbursement / Interest-Debit Bank A/c</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Penny-drop + name-match; NRE/NRO if NRI</w:t>
            </w:r>
          </w:p>
        </w:tc>
      </w:tr>
      <w:tr>
        <w:tc>
          <w:tcPr>
            <w:tcW w:w="2900" w:type="dxa"/>
          </w:tcPr>
          <w:p>
            <w:pPr>
              <w:spacing w:after="0" w:before="0"/>
            </w:pPr>
            <w:r/>
            <w:r>
              <w:rPr>
                <w:rFonts w:ascii="Arial" w:hAnsi="Arial" w:cs="Arial"/>
                <w:b w:val="0"/>
                <w:sz w:val="17"/>
              </w:rPr>
              <w:t>Nominee Details</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Name, relationship, share</w:t>
            </w:r>
          </w:p>
        </w:tc>
      </w:tr>
      <w:tr>
        <w:tc>
          <w:tcPr>
            <w:tcW w:w="2900" w:type="dxa"/>
          </w:tcPr>
          <w:p>
            <w:pPr>
              <w:spacing w:after="0" w:before="0"/>
            </w:pPr>
            <w:r/>
            <w:r>
              <w:rPr>
                <w:rFonts w:ascii="Arial" w:hAnsi="Arial" w:cs="Arial"/>
                <w:b w:val="0"/>
                <w:sz w:val="17"/>
              </w:rPr>
              <w:t>References</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Per product policy</w:t>
            </w:r>
          </w:p>
        </w:tc>
      </w:tr>
      <w:tr>
        <w:tc>
          <w:tcPr>
            <w:tcW w:w="2900" w:type="dxa"/>
          </w:tcPr>
          <w:p>
            <w:pPr>
              <w:spacing w:after="0" w:before="0"/>
            </w:pPr>
            <w:r/>
            <w:r>
              <w:rPr>
                <w:rFonts w:ascii="Arial" w:hAnsi="Arial" w:cs="Arial"/>
                <w:b w:val="0"/>
                <w:sz w:val="17"/>
              </w:rPr>
              <w:t>Consents</w:t>
            </w:r>
          </w:p>
        </w:tc>
        <w:tc>
          <w:tcPr>
            <w:tcW w:w="1300" w:type="dxa"/>
          </w:tcPr>
          <w:p>
            <w:pPr>
              <w:spacing w:after="0" w:before="0"/>
            </w:pPr>
            <w:r/>
            <w:r>
              <w:rPr>
                <w:rFonts w:ascii="Arial" w:hAnsi="Arial" w:cs="Arial"/>
                <w:b w:val="0"/>
                <w:sz w:val="17"/>
              </w:rPr>
              <w:t>e-consent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Bureau, DPDP, pledge-authorisation, standing instruction (§43.1)</w:t>
            </w:r>
          </w:p>
        </w:tc>
      </w:tr>
      <w:tr>
        <w:tc>
          <w:tcPr>
            <w:tcW w:w="2900" w:type="dxa"/>
          </w:tcPr>
          <w:p>
            <w:pPr>
              <w:spacing w:after="0" w:before="0"/>
            </w:pPr>
            <w:r/>
            <w:r>
              <w:rPr>
                <w:rFonts w:ascii="Arial" w:hAnsi="Arial" w:cs="Arial"/>
                <w:b w:val="0"/>
                <w:sz w:val="17"/>
              </w:rPr>
              <w:t>e-Sign / Agreement Acceptance</w:t>
            </w:r>
          </w:p>
        </w:tc>
        <w:tc>
          <w:tcPr>
            <w:tcW w:w="1300" w:type="dxa"/>
          </w:tcPr>
          <w:p>
            <w:pPr>
              <w:spacing w:after="0" w:before="0"/>
            </w:pPr>
            <w:r/>
            <w:r>
              <w:rPr>
                <w:rFonts w:ascii="Arial" w:hAnsi="Arial" w:cs="Arial"/>
                <w:b w:val="0"/>
                <w:sz w:val="17"/>
              </w:rPr>
              <w:t>Digital signature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Aadhaar e-Sign / DSC</w:t>
            </w:r>
          </w:p>
        </w:tc>
      </w:tr>
    </w:tbl>
    <w:p/>
    <w:p>
      <w:pPr>
        <w:pStyle w:val="Heading2"/>
      </w:pPr>
      <w:r>
        <w:t>86.6 Pledge Lifecycle</w:t>
      </w:r>
    </w:p>
    <w:p>
      <w:pPr>
        <w:pStyle w:val="ListParagraph"/>
        <w:numPr>
          <w:ilvl w:val="0"/>
          <w:numId w:val="2"/>
        </w:numPr>
      </w:pPr>
      <w:r>
        <w:rPr>
          <w:rFonts w:ascii="Arial" w:hAnsi="Arial" w:cs="Arial"/>
          <w:sz w:val="22"/>
        </w:rPr>
        <w:t>Raise pledge: system initiates a pledge request to the depository (NSDL SPEED-e / CDSL EASIEST) or a lien request to the RTA (CAMS/KFintech) for mutual funds, or an assignment for insurance policies.</w:t>
      </w:r>
    </w:p>
    <w:p>
      <w:pPr>
        <w:pStyle w:val="ListParagraph"/>
        <w:numPr>
          <w:ilvl w:val="0"/>
          <w:numId w:val="2"/>
        </w:numPr>
      </w:pPr>
      <w:r>
        <w:rPr>
          <w:rFonts w:ascii="Arial" w:hAnsi="Arial" w:cs="Arial"/>
          <w:sz w:val="22"/>
        </w:rPr>
        <w:t>Borrower authorisation: the borrower authorises via depository OTP; no power of attorney is used (SEBI margin-pledge framework).</w:t>
      </w:r>
    </w:p>
    <w:p>
      <w:pPr>
        <w:pStyle w:val="ListParagraph"/>
        <w:numPr>
          <w:ilvl w:val="0"/>
          <w:numId w:val="2"/>
        </w:numPr>
      </w:pPr>
      <w:r>
        <w:rPr>
          <w:rFonts w:ascii="Arial" w:hAnsi="Arial" w:cs="Arial"/>
          <w:sz w:val="22"/>
        </w:rPr>
        <w:t>Confirmation: on depository/RTA confirmation the pledge/lien is recorded, the security is marked, and the limit is set live.</w:t>
      </w:r>
    </w:p>
    <w:p>
      <w:pPr>
        <w:pStyle w:val="ListParagraph"/>
        <w:numPr>
          <w:ilvl w:val="0"/>
          <w:numId w:val="2"/>
        </w:numPr>
      </w:pPr>
      <w:r>
        <w:rPr>
          <w:rFonts w:ascii="Arial" w:hAnsi="Arial" w:cs="Arial"/>
          <w:sz w:val="22"/>
        </w:rPr>
        <w:t>Substitution: the borrower may swap pledged securities subject to maintaining drawing power (release one, pledge another).</w:t>
      </w:r>
    </w:p>
    <w:p>
      <w:pPr>
        <w:pStyle w:val="ListParagraph"/>
        <w:numPr>
          <w:ilvl w:val="0"/>
          <w:numId w:val="2"/>
        </w:numPr>
      </w:pPr>
      <w:r>
        <w:rPr>
          <w:rFonts w:ascii="Arial" w:hAnsi="Arial" w:cs="Arial"/>
          <w:sz w:val="22"/>
        </w:rPr>
        <w:t>Release: on full repayment (or partial, pro-rata) the pledge/lien is released and the security freed for the borrower.</w:t>
      </w:r>
    </w:p>
    <w:p>
      <w:pPr>
        <w:pStyle w:val="Heading2"/>
      </w:pPr>
      <w:r>
        <w:t>86.7 Drawing-Power Computation &amp; Daily Revaluation</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DrawingPower = Σ over pledged ISINs [ Quantity_i × Price_i × LTV_i ]   (LTV from the master, §86.3)</w:t>
            </w:r>
            <w:r>
              <w:rPr>
                <w:rFonts w:ascii="Consolas" w:hAnsi="Consolas" w:cs="Consolas"/>
                <w:b w:val="0"/>
                <w:sz w:val="19"/>
              </w:rPr>
              <w:br/>
              <w:t>Sanctioned Limit = min( Requested Limit , DrawingPower )</w:t>
            </w:r>
            <w:r>
              <w:rPr>
                <w:rFonts w:ascii="Consolas" w:hAnsi="Consolas" w:cs="Consolas"/>
                <w:b w:val="0"/>
                <w:sz w:val="19"/>
              </w:rPr>
              <w:br/>
              <w:t>Available = min( Sanctioned Limit , DrawingPower ) − Utilised</w:t>
            </w:r>
            <w:r>
              <w:rPr>
                <w:rFonts w:ascii="Consolas" w:hAnsi="Consolas" w:cs="Consolas"/>
                <w:b w:val="0"/>
                <w:sz w:val="19"/>
              </w:rPr>
              <w:br/>
              <w:t>-- revalued every day from the price/NAV feed before market open (§29.2)</w:t>
            </w:r>
          </w:p>
        </w:tc>
      </w:tr>
    </w:tbl>
    <w:p/>
    <w:p>
      <w:r>
        <w:rPr>
          <w:rFonts w:ascii="Arial" w:hAnsi="Arial" w:cs="Arial"/>
          <w:b w:val="0"/>
          <w:i w:val="0"/>
          <w:sz w:val="22"/>
        </w:rPr>
        <w:t>Example: 1,000 shares of Stock A at ₹1,500 = ₹1,500,000; at 50% LTV the drawing power is ₹750,000. If the borrower has drawn ₹700,000, the account is within limit. Interest accrues daily only on the ₹700,000 utilised (Section 24.6).</w:t>
      </w:r>
    </w:p>
    <w:p>
      <w:pPr>
        <w:pStyle w:val="Heading2"/>
      </w:pPr>
      <w:r>
        <w:t>86.8 Margin-Call Logic &amp; Liquidation</w:t>
      </w:r>
    </w:p>
    <w:p>
      <w:r>
        <w:rPr>
          <w:rFonts w:ascii="Arial" w:hAnsi="Arial" w:cs="Arial"/>
          <w:b w:val="0"/>
          <w:i w:val="0"/>
          <w:sz w:val="22"/>
        </w:rPr>
        <w:t>When daily revaluation causes utilisation to exceed drawing power, a margin call is raised. Example: Stock A falls 20% to ₹1,200,000 value; drawing power becomes ₹600,000, below the ₹700,000 utilised — a shortfall of ₹100,000.</w:t>
      </w:r>
    </w:p>
    <w:p>
      <w:pPr>
        <w:pStyle w:val="ListParagraph"/>
        <w:numPr>
          <w:ilvl w:val="0"/>
          <w:numId w:val="2"/>
        </w:numPr>
      </w:pPr>
      <w:r>
        <w:rPr>
          <w:rFonts w:ascii="Arial" w:hAnsi="Arial" w:cs="Arial"/>
          <w:sz w:val="22"/>
        </w:rPr>
        <w:t>Cure options within 7 working days: (a) repay the shortfall (cash top-up ₹100,000 brings utilisation back within DP), or (b) pledge additional securities of about ₹200,000 value to restore DP, or (c) part-substitute.</w:t>
      </w:r>
    </w:p>
    <w:p>
      <w:pPr>
        <w:pStyle w:val="ListParagraph"/>
        <w:numPr>
          <w:ilvl w:val="0"/>
          <w:numId w:val="2"/>
        </w:numPr>
      </w:pPr>
      <w:r>
        <w:rPr>
          <w:rFonts w:ascii="Arial" w:hAnsi="Arial" w:cs="Arial"/>
          <w:sz w:val="22"/>
        </w:rPr>
        <w:t>Notice &amp; timer: a margin-call notice is issued (SMS/email/portal) with the cure deadline; a timer tracks the 7-working-day window.</w:t>
      </w:r>
    </w:p>
    <w:p>
      <w:pPr>
        <w:pStyle w:val="ListParagraph"/>
        <w:numPr>
          <w:ilvl w:val="0"/>
          <w:numId w:val="2"/>
        </w:numPr>
      </w:pPr>
      <w:r>
        <w:rPr>
          <w:rFonts w:ascii="Arial" w:hAnsi="Arial" w:cs="Arial"/>
          <w:sz w:val="22"/>
        </w:rPr>
        <w:t>Invocation on non-cure: the NBFC invokes the pledge and liquidates sufficient securities; a sell-down waterfall picks the most liquid/least-concentrated first; proceeds reduce the outstanding.</w:t>
      </w:r>
    </w:p>
    <w:p>
      <w:pPr>
        <w:pStyle w:val="ListParagraph"/>
        <w:numPr>
          <w:ilvl w:val="0"/>
          <w:numId w:val="2"/>
        </w:numPr>
      </w:pPr>
      <w:r>
        <w:rPr>
          <w:rFonts w:ascii="Arial" w:hAnsi="Arial" w:cs="Arial"/>
          <w:sz w:val="22"/>
        </w:rPr>
        <w:t>Illiquidity handling: if a scrip is in lower circuit, suspended or illiquid, liquidation is deferred and the shortfall is pursued through the remaining securities and recovery process; the event is logged.</w:t>
      </w:r>
    </w:p>
    <w:p>
      <w:pPr>
        <w:pStyle w:val="ListParagraph"/>
        <w:numPr>
          <w:ilvl w:val="0"/>
          <w:numId w:val="2"/>
        </w:numPr>
      </w:pPr>
      <w:r>
        <w:rPr>
          <w:rFonts w:ascii="Arial" w:hAnsi="Arial" w:cs="Arial"/>
          <w:sz w:val="22"/>
        </w:rPr>
        <w:t>Surplus/shortfall: any sale surplus is returned to the borrower; a residual shortfall becomes a recovery claim (Sections 7, 8.2).</w:t>
      </w:r>
    </w:p>
    <w:p>
      <w:pPr>
        <w:pStyle w:val="Heading2"/>
      </w:pPr>
      <w:r>
        <w:t>86.9 Corporate Actions on Pledged Securities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300"/>
        <w:gridCol w:w="7060"/>
      </w:tblGrid>
      <w:tr>
        <w:tc>
          <w:tcPr>
            <w:tcW w:w="2300" w:type="dxa"/>
            <w:shd w:val="clear" w:color="auto" w:fill="1F4E78"/>
          </w:tcPr>
          <w:p>
            <w:pPr>
              <w:spacing w:after="0" w:before="0"/>
            </w:pPr>
            <w:r/>
            <w:r>
              <w:rPr>
                <w:rFonts w:ascii="Arial" w:hAnsi="Arial" w:cs="Arial"/>
                <w:b/>
                <w:color w:val="FFFFFF"/>
                <w:sz w:val="17"/>
              </w:rPr>
              <w:t>Corporate action</w:t>
            </w:r>
          </w:p>
        </w:tc>
        <w:tc>
          <w:tcPr>
            <w:tcW w:w="7060" w:type="dxa"/>
            <w:shd w:val="clear" w:color="auto" w:fill="1F4E78"/>
          </w:tcPr>
          <w:p>
            <w:pPr>
              <w:spacing w:after="0" w:before="0"/>
            </w:pPr>
            <w:r/>
            <w:r>
              <w:rPr>
                <w:rFonts w:ascii="Arial" w:hAnsi="Arial" w:cs="Arial"/>
                <w:b/>
                <w:color w:val="FFFFFF"/>
                <w:sz w:val="17"/>
              </w:rPr>
              <w:t>System handling</w:t>
            </w:r>
          </w:p>
        </w:tc>
      </w:tr>
      <w:tr>
        <w:tc>
          <w:tcPr>
            <w:tcW w:w="2300" w:type="dxa"/>
          </w:tcPr>
          <w:p>
            <w:pPr>
              <w:spacing w:after="0" w:before="0"/>
            </w:pPr>
            <w:r/>
            <w:r>
              <w:rPr>
                <w:rFonts w:ascii="Arial" w:hAnsi="Arial" w:cs="Arial"/>
                <w:b w:val="0"/>
                <w:sz w:val="17"/>
              </w:rPr>
              <w:t>Dividend / interest</w:t>
            </w:r>
          </w:p>
        </w:tc>
        <w:tc>
          <w:tcPr>
            <w:tcW w:w="7060" w:type="dxa"/>
          </w:tcPr>
          <w:p>
            <w:pPr>
              <w:spacing w:after="0" w:before="0"/>
            </w:pPr>
            <w:r/>
            <w:r>
              <w:rPr>
                <w:rFonts w:ascii="Arial" w:hAnsi="Arial" w:cs="Arial"/>
                <w:b w:val="0"/>
                <w:sz w:val="17"/>
              </w:rPr>
              <w:t>Typically to borrower; monitor if agreement assigns it; no DP change</w:t>
            </w:r>
          </w:p>
        </w:tc>
      </w:tr>
      <w:tr>
        <w:tc>
          <w:tcPr>
            <w:tcW w:w="2300" w:type="dxa"/>
          </w:tcPr>
          <w:p>
            <w:pPr>
              <w:spacing w:after="0" w:before="0"/>
            </w:pPr>
            <w:r/>
            <w:r>
              <w:rPr>
                <w:rFonts w:ascii="Arial" w:hAnsi="Arial" w:cs="Arial"/>
                <w:b w:val="0"/>
                <w:sz w:val="17"/>
              </w:rPr>
              <w:t>Bonus / stock split</w:t>
            </w:r>
          </w:p>
        </w:tc>
        <w:tc>
          <w:tcPr>
            <w:tcW w:w="7060" w:type="dxa"/>
          </w:tcPr>
          <w:p>
            <w:pPr>
              <w:spacing w:after="0" w:before="0"/>
            </w:pPr>
            <w:r/>
            <w:r>
              <w:rPr>
                <w:rFonts w:ascii="Arial" w:hAnsi="Arial" w:cs="Arial"/>
                <w:b w:val="0"/>
                <w:sz w:val="17"/>
              </w:rPr>
              <w:t>Quantity increases at proportionally lower price — recompute DP; keep pledge on new units</w:t>
            </w:r>
          </w:p>
        </w:tc>
      </w:tr>
      <w:tr>
        <w:tc>
          <w:tcPr>
            <w:tcW w:w="2300" w:type="dxa"/>
          </w:tcPr>
          <w:p>
            <w:pPr>
              <w:spacing w:after="0" w:before="0"/>
            </w:pPr>
            <w:r/>
            <w:r>
              <w:rPr>
                <w:rFonts w:ascii="Arial" w:hAnsi="Arial" w:cs="Arial"/>
                <w:b w:val="0"/>
                <w:sz w:val="17"/>
              </w:rPr>
              <w:t>Rights issue</w:t>
            </w:r>
          </w:p>
        </w:tc>
        <w:tc>
          <w:tcPr>
            <w:tcW w:w="7060" w:type="dxa"/>
          </w:tcPr>
          <w:p>
            <w:pPr>
              <w:spacing w:after="0" w:before="0"/>
            </w:pPr>
            <w:r/>
            <w:r>
              <w:rPr>
                <w:rFonts w:ascii="Arial" w:hAnsi="Arial" w:cs="Arial"/>
                <w:b w:val="0"/>
                <w:sz w:val="17"/>
              </w:rPr>
              <w:t>Borrower decides; new shares pledged only if applied and lien-marked</w:t>
            </w:r>
          </w:p>
        </w:tc>
      </w:tr>
      <w:tr>
        <w:tc>
          <w:tcPr>
            <w:tcW w:w="2300" w:type="dxa"/>
          </w:tcPr>
          <w:p>
            <w:pPr>
              <w:spacing w:after="0" w:before="0"/>
            </w:pPr>
            <w:r/>
            <w:r>
              <w:rPr>
                <w:rFonts w:ascii="Arial" w:hAnsi="Arial" w:cs="Arial"/>
                <w:b w:val="0"/>
                <w:sz w:val="17"/>
              </w:rPr>
              <w:t>Merger / demerger</w:t>
            </w:r>
          </w:p>
        </w:tc>
        <w:tc>
          <w:tcPr>
            <w:tcW w:w="7060" w:type="dxa"/>
          </w:tcPr>
          <w:p>
            <w:pPr>
              <w:spacing w:after="0" w:before="0"/>
            </w:pPr>
            <w:r/>
            <w:r>
              <w:rPr>
                <w:rFonts w:ascii="Arial" w:hAnsi="Arial" w:cs="Arial"/>
                <w:b w:val="0"/>
                <w:sz w:val="17"/>
              </w:rPr>
              <w:t>Map ISIN to resultant security; re-mark pledge; revalue</w:t>
            </w:r>
          </w:p>
        </w:tc>
      </w:tr>
      <w:tr>
        <w:tc>
          <w:tcPr>
            <w:tcW w:w="2300" w:type="dxa"/>
          </w:tcPr>
          <w:p>
            <w:pPr>
              <w:spacing w:after="0" w:before="0"/>
            </w:pPr>
            <w:r/>
            <w:r>
              <w:rPr>
                <w:rFonts w:ascii="Arial" w:hAnsi="Arial" w:cs="Arial"/>
                <w:b w:val="0"/>
                <w:sz w:val="17"/>
              </w:rPr>
              <w:t>Buyback</w:t>
            </w:r>
          </w:p>
        </w:tc>
        <w:tc>
          <w:tcPr>
            <w:tcW w:w="7060" w:type="dxa"/>
          </w:tcPr>
          <w:p>
            <w:pPr>
              <w:spacing w:after="0" w:before="0"/>
            </w:pPr>
            <w:r/>
            <w:r>
              <w:rPr>
                <w:rFonts w:ascii="Arial" w:hAnsi="Arial" w:cs="Arial"/>
                <w:b w:val="0"/>
                <w:sz w:val="17"/>
              </w:rPr>
              <w:t>Reduces quantity; adjust pledge and DP; handle proceeds</w:t>
            </w:r>
          </w:p>
        </w:tc>
      </w:tr>
      <w:tr>
        <w:tc>
          <w:tcPr>
            <w:tcW w:w="2300" w:type="dxa"/>
          </w:tcPr>
          <w:p>
            <w:pPr>
              <w:spacing w:after="0" w:before="0"/>
            </w:pPr>
            <w:r/>
            <w:r>
              <w:rPr>
                <w:rFonts w:ascii="Arial" w:hAnsi="Arial" w:cs="Arial"/>
                <w:b w:val="0"/>
                <w:sz w:val="17"/>
              </w:rPr>
              <w:t>Delisting / suspension</w:t>
            </w:r>
          </w:p>
        </w:tc>
        <w:tc>
          <w:tcPr>
            <w:tcW w:w="7060" w:type="dxa"/>
          </w:tcPr>
          <w:p>
            <w:pPr>
              <w:spacing w:after="0" w:before="0"/>
            </w:pPr>
            <w:r/>
            <w:r>
              <w:rPr>
                <w:rFonts w:ascii="Arial" w:hAnsi="Arial" w:cs="Arial"/>
                <w:b w:val="0"/>
                <w:sz w:val="17"/>
              </w:rPr>
              <w:t>Security becomes ineligible — exclude from DP; margin call if it causes shortfall</w:t>
            </w:r>
          </w:p>
        </w:tc>
      </w:tr>
      <w:tr>
        <w:tc>
          <w:tcPr>
            <w:tcW w:w="2300" w:type="dxa"/>
          </w:tcPr>
          <w:p>
            <w:pPr>
              <w:spacing w:after="0" w:before="0"/>
            </w:pPr>
            <w:r/>
            <w:r>
              <w:rPr>
                <w:rFonts w:ascii="Arial" w:hAnsi="Arial" w:cs="Arial"/>
                <w:b w:val="0"/>
                <w:sz w:val="17"/>
              </w:rPr>
              <w:t>Removal from approved list</w:t>
            </w:r>
          </w:p>
        </w:tc>
        <w:tc>
          <w:tcPr>
            <w:tcW w:w="7060" w:type="dxa"/>
          </w:tcPr>
          <w:p>
            <w:pPr>
              <w:spacing w:after="0" w:before="0"/>
            </w:pPr>
            <w:r/>
            <w:r>
              <w:rPr>
                <w:rFonts w:ascii="Arial" w:hAnsi="Arial" w:cs="Arial"/>
                <w:b w:val="0"/>
                <w:sz w:val="17"/>
              </w:rPr>
              <w:t>Excluded at next revaluation; borrower notified to substitute</w:t>
            </w:r>
          </w:p>
        </w:tc>
      </w:tr>
    </w:tbl>
    <w:p/>
    <w:p>
      <w:pPr>
        <w:pStyle w:val="Heading2"/>
      </w:pPr>
      <w:r>
        <w:t>86.10 Interest, Charges &amp; Accounting</w:t>
      </w:r>
    </w:p>
    <w:p>
      <w:pPr>
        <w:pStyle w:val="ListParagraph"/>
        <w:numPr>
          <w:ilvl w:val="0"/>
          <w:numId w:val="2"/>
        </w:numPr>
      </w:pPr>
      <w:r>
        <w:rPr>
          <w:rFonts w:ascii="Arial" w:hAnsi="Arial" w:cs="Arial"/>
          <w:sz w:val="22"/>
        </w:rPr>
        <w:t>Interest: computed daily on the utilised balance (Section 24.6), debited monthly to the loan account; no compounding of penal charges.</w:t>
      </w:r>
    </w:p>
    <w:p>
      <w:pPr>
        <w:pStyle w:val="ListParagraph"/>
        <w:numPr>
          <w:ilvl w:val="0"/>
          <w:numId w:val="2"/>
        </w:numPr>
      </w:pPr>
      <w:r>
        <w:rPr>
          <w:rFonts w:ascii="Arial" w:hAnsi="Arial" w:cs="Arial"/>
          <w:sz w:val="22"/>
        </w:rPr>
        <w:t>Charges: processing fee, annual renewal/maintenance on the limit, depository pledge/lien charges (pass-through), and, where applicable, foreclosure — each taxable with GST (Section 31).</w:t>
      </w:r>
    </w:p>
    <w:p>
      <w:pPr>
        <w:pStyle w:val="ListParagraph"/>
        <w:numPr>
          <w:ilvl w:val="0"/>
          <w:numId w:val="2"/>
        </w:numPr>
      </w:pPr>
      <w:r>
        <w:rPr>
          <w:rFonts w:ascii="Arial" w:hAnsi="Arial" w:cs="Arial"/>
          <w:sz w:val="22"/>
        </w:rPr>
        <w:t>Accounting: disbursement/drawdown Dr Loan O/s / Cr Bank; daily accrual Dr Interest Receivable / Cr Interest Income; on invocation Dr Bank (sale proceeds) / Cr Loan O/s, surplus to a borrower-payable, shortfall to recovery (Section 8.2).</w:t>
      </w:r>
    </w:p>
    <w:p>
      <w:pPr>
        <w:pStyle w:val="Heading2"/>
      </w:pPr>
      <w:r>
        <w:t>86.11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6760"/>
      </w:tblGrid>
      <w:tr>
        <w:tc>
          <w:tcPr>
            <w:tcW w:w="2600" w:type="dxa"/>
            <w:shd w:val="clear" w:color="auto" w:fill="1F4E78"/>
          </w:tcPr>
          <w:p>
            <w:pPr>
              <w:spacing w:after="0" w:before="0"/>
            </w:pPr>
            <w:r/>
            <w:r>
              <w:rPr>
                <w:rFonts w:ascii="Arial" w:hAnsi="Arial" w:cs="Arial"/>
                <w:b/>
                <w:color w:val="FFFFFF"/>
                <w:sz w:val="17"/>
              </w:rPr>
              <w:t>Scenario</w:t>
            </w:r>
          </w:p>
        </w:tc>
        <w:tc>
          <w:tcPr>
            <w:tcW w:w="6760" w:type="dxa"/>
            <w:shd w:val="clear" w:color="auto" w:fill="1F4E78"/>
          </w:tcPr>
          <w:p>
            <w:pPr>
              <w:spacing w:after="0" w:before="0"/>
            </w:pPr>
            <w:r/>
            <w:r>
              <w:rPr>
                <w:rFonts w:ascii="Arial" w:hAnsi="Arial" w:cs="Arial"/>
                <w:b/>
                <w:color w:val="FFFFFF"/>
                <w:sz w:val="17"/>
              </w:rPr>
              <w:t>Expected handling</w:t>
            </w:r>
          </w:p>
        </w:tc>
      </w:tr>
      <w:tr>
        <w:tc>
          <w:tcPr>
            <w:tcW w:w="2600" w:type="dxa"/>
          </w:tcPr>
          <w:p>
            <w:pPr>
              <w:spacing w:after="0" w:before="0"/>
            </w:pPr>
            <w:r/>
            <w:r>
              <w:rPr>
                <w:rFonts w:ascii="Arial" w:hAnsi="Arial" w:cs="Arial"/>
                <w:b w:val="0"/>
                <w:sz w:val="17"/>
              </w:rPr>
              <w:t>Sharp price crash</w:t>
            </w:r>
          </w:p>
        </w:tc>
        <w:tc>
          <w:tcPr>
            <w:tcW w:w="6760" w:type="dxa"/>
          </w:tcPr>
          <w:p>
            <w:pPr>
              <w:spacing w:after="0" w:before="0"/>
            </w:pPr>
            <w:r/>
            <w:r>
              <w:rPr>
                <w:rFonts w:ascii="Arial" w:hAnsi="Arial" w:cs="Arial"/>
                <w:b w:val="0"/>
                <w:sz w:val="17"/>
              </w:rPr>
              <w:t>Daily revaluation → margin call → cure/invoke (§86.8)</w:t>
            </w:r>
          </w:p>
        </w:tc>
      </w:tr>
      <w:tr>
        <w:tc>
          <w:tcPr>
            <w:tcW w:w="2600" w:type="dxa"/>
          </w:tcPr>
          <w:p>
            <w:pPr>
              <w:spacing w:after="0" w:before="0"/>
            </w:pPr>
            <w:r/>
            <w:r>
              <w:rPr>
                <w:rFonts w:ascii="Arial" w:hAnsi="Arial" w:cs="Arial"/>
                <w:b w:val="0"/>
                <w:sz w:val="17"/>
              </w:rPr>
              <w:t>Lower circuit / cannot sell</w:t>
            </w:r>
          </w:p>
        </w:tc>
        <w:tc>
          <w:tcPr>
            <w:tcW w:w="6760" w:type="dxa"/>
          </w:tcPr>
          <w:p>
            <w:pPr>
              <w:spacing w:after="0" w:before="0"/>
            </w:pPr>
            <w:r/>
            <w:r>
              <w:rPr>
                <w:rFonts w:ascii="Arial" w:hAnsi="Arial" w:cs="Arial"/>
                <w:b w:val="0"/>
                <w:sz w:val="17"/>
              </w:rPr>
              <w:t>Defer liquidation; pursue other securities/recovery; log</w:t>
            </w:r>
          </w:p>
        </w:tc>
      </w:tr>
      <w:tr>
        <w:tc>
          <w:tcPr>
            <w:tcW w:w="2600" w:type="dxa"/>
          </w:tcPr>
          <w:p>
            <w:pPr>
              <w:spacing w:after="0" w:before="0"/>
            </w:pPr>
            <w:r/>
            <w:r>
              <w:rPr>
                <w:rFonts w:ascii="Arial" w:hAnsi="Arial" w:cs="Arial"/>
                <w:b w:val="0"/>
                <w:sz w:val="17"/>
              </w:rPr>
              <w:t>Scrip suspended / delisted</w:t>
            </w:r>
          </w:p>
        </w:tc>
        <w:tc>
          <w:tcPr>
            <w:tcW w:w="6760" w:type="dxa"/>
          </w:tcPr>
          <w:p>
            <w:pPr>
              <w:spacing w:after="0" w:before="0"/>
            </w:pPr>
            <w:r/>
            <w:r>
              <w:rPr>
                <w:rFonts w:ascii="Arial" w:hAnsi="Arial" w:cs="Arial"/>
                <w:b w:val="0"/>
                <w:sz w:val="17"/>
              </w:rPr>
              <w:t>Exclude from DP; margin call; substitute</w:t>
            </w:r>
          </w:p>
        </w:tc>
      </w:tr>
      <w:tr>
        <w:tc>
          <w:tcPr>
            <w:tcW w:w="2600" w:type="dxa"/>
          </w:tcPr>
          <w:p>
            <w:pPr>
              <w:spacing w:after="0" w:before="0"/>
            </w:pPr>
            <w:r/>
            <w:r>
              <w:rPr>
                <w:rFonts w:ascii="Arial" w:hAnsi="Arial" w:cs="Arial"/>
                <w:b w:val="0"/>
                <w:sz w:val="17"/>
              </w:rPr>
              <w:t>Scrip removed from approved list</w:t>
            </w:r>
          </w:p>
        </w:tc>
        <w:tc>
          <w:tcPr>
            <w:tcW w:w="6760" w:type="dxa"/>
          </w:tcPr>
          <w:p>
            <w:pPr>
              <w:spacing w:after="0" w:before="0"/>
            </w:pPr>
            <w:r/>
            <w:r>
              <w:rPr>
                <w:rFonts w:ascii="Arial" w:hAnsi="Arial" w:cs="Arial"/>
                <w:b w:val="0"/>
                <w:sz w:val="17"/>
              </w:rPr>
              <w:t>Exclude at next revaluation; notify to substitute</w:t>
            </w:r>
          </w:p>
        </w:tc>
      </w:tr>
      <w:tr>
        <w:tc>
          <w:tcPr>
            <w:tcW w:w="2600" w:type="dxa"/>
          </w:tcPr>
          <w:p>
            <w:pPr>
              <w:spacing w:after="0" w:before="0"/>
            </w:pPr>
            <w:r/>
            <w:r>
              <w:rPr>
                <w:rFonts w:ascii="Arial" w:hAnsi="Arial" w:cs="Arial"/>
                <w:b w:val="0"/>
                <w:sz w:val="17"/>
              </w:rPr>
              <w:t>Partial redemption</w:t>
            </w:r>
          </w:p>
        </w:tc>
        <w:tc>
          <w:tcPr>
            <w:tcW w:w="6760" w:type="dxa"/>
          </w:tcPr>
          <w:p>
            <w:pPr>
              <w:spacing w:after="0" w:before="0"/>
            </w:pPr>
            <w:r/>
            <w:r>
              <w:rPr>
                <w:rFonts w:ascii="Arial" w:hAnsi="Arial" w:cs="Arial"/>
                <w:b w:val="0"/>
                <w:sz w:val="17"/>
              </w:rPr>
              <w:t>Release securities pro-rata to repayment; recompute DP</w:t>
            </w:r>
          </w:p>
        </w:tc>
      </w:tr>
      <w:tr>
        <w:tc>
          <w:tcPr>
            <w:tcW w:w="2600" w:type="dxa"/>
          </w:tcPr>
          <w:p>
            <w:pPr>
              <w:spacing w:after="0" w:before="0"/>
            </w:pPr>
            <w:r/>
            <w:r>
              <w:rPr>
                <w:rFonts w:ascii="Arial" w:hAnsi="Arial" w:cs="Arial"/>
                <w:b w:val="0"/>
                <w:sz w:val="17"/>
              </w:rPr>
              <w:t>Substitution of securities</w:t>
            </w:r>
          </w:p>
        </w:tc>
        <w:tc>
          <w:tcPr>
            <w:tcW w:w="6760" w:type="dxa"/>
          </w:tcPr>
          <w:p>
            <w:pPr>
              <w:spacing w:after="0" w:before="0"/>
            </w:pPr>
            <w:r/>
            <w:r>
              <w:rPr>
                <w:rFonts w:ascii="Arial" w:hAnsi="Arial" w:cs="Arial"/>
                <w:b w:val="0"/>
                <w:sz w:val="17"/>
              </w:rPr>
              <w:t>Release one, pledge another; DP must remain sufficient</w:t>
            </w:r>
          </w:p>
        </w:tc>
      </w:tr>
      <w:tr>
        <w:tc>
          <w:tcPr>
            <w:tcW w:w="2600" w:type="dxa"/>
          </w:tcPr>
          <w:p>
            <w:pPr>
              <w:spacing w:after="0" w:before="0"/>
            </w:pPr>
            <w:r/>
            <w:r>
              <w:rPr>
                <w:rFonts w:ascii="Arial" w:hAnsi="Arial" w:cs="Arial"/>
                <w:b w:val="0"/>
                <w:sz w:val="17"/>
              </w:rPr>
              <w:t>Limit enhancement / reduction</w:t>
            </w:r>
          </w:p>
        </w:tc>
        <w:tc>
          <w:tcPr>
            <w:tcW w:w="6760" w:type="dxa"/>
          </w:tcPr>
          <w:p>
            <w:pPr>
              <w:spacing w:after="0" w:before="0"/>
            </w:pPr>
            <w:r/>
            <w:r>
              <w:rPr>
                <w:rFonts w:ascii="Arial" w:hAnsi="Arial" w:cs="Arial"/>
                <w:b w:val="0"/>
                <w:sz w:val="17"/>
              </w:rPr>
              <w:t>Re-underwrite / adjust; re-mark pledge as needed</w:t>
            </w:r>
          </w:p>
        </w:tc>
      </w:tr>
      <w:tr>
        <w:tc>
          <w:tcPr>
            <w:tcW w:w="2600" w:type="dxa"/>
          </w:tcPr>
          <w:p>
            <w:pPr>
              <w:spacing w:after="0" w:before="0"/>
            </w:pPr>
            <w:r/>
            <w:r>
              <w:rPr>
                <w:rFonts w:ascii="Arial" w:hAnsi="Arial" w:cs="Arial"/>
                <w:b w:val="0"/>
                <w:sz w:val="17"/>
              </w:rPr>
              <w:t>Renewal (annual)</w:t>
            </w:r>
          </w:p>
        </w:tc>
        <w:tc>
          <w:tcPr>
            <w:tcW w:w="6760" w:type="dxa"/>
          </w:tcPr>
          <w:p>
            <w:pPr>
              <w:spacing w:after="0" w:before="0"/>
            </w:pPr>
            <w:r/>
            <w:r>
              <w:rPr>
                <w:rFonts w:ascii="Arial" w:hAnsi="Arial" w:cs="Arial"/>
                <w:b w:val="0"/>
                <w:sz w:val="17"/>
              </w:rPr>
              <w:t>Review, revalue, re-sanction; roll the facility</w:t>
            </w:r>
          </w:p>
        </w:tc>
      </w:tr>
      <w:tr>
        <w:tc>
          <w:tcPr>
            <w:tcW w:w="2600" w:type="dxa"/>
          </w:tcPr>
          <w:p>
            <w:pPr>
              <w:spacing w:after="0" w:before="0"/>
            </w:pPr>
            <w:r/>
            <w:r>
              <w:rPr>
                <w:rFonts w:ascii="Arial" w:hAnsi="Arial" w:cs="Arial"/>
                <w:b w:val="0"/>
                <w:sz w:val="17"/>
              </w:rPr>
              <w:t>Corporate action mid-loan</w:t>
            </w:r>
          </w:p>
        </w:tc>
        <w:tc>
          <w:tcPr>
            <w:tcW w:w="6760" w:type="dxa"/>
          </w:tcPr>
          <w:p>
            <w:pPr>
              <w:spacing w:after="0" w:before="0"/>
            </w:pPr>
            <w:r/>
            <w:r>
              <w:rPr>
                <w:rFonts w:ascii="Arial" w:hAnsi="Arial" w:cs="Arial"/>
                <w:b w:val="0"/>
                <w:sz w:val="17"/>
              </w:rPr>
              <w:t>Per §86.9; re-mark and revalue</w:t>
            </w:r>
          </w:p>
        </w:tc>
      </w:tr>
      <w:tr>
        <w:tc>
          <w:tcPr>
            <w:tcW w:w="2600" w:type="dxa"/>
          </w:tcPr>
          <w:p>
            <w:pPr>
              <w:spacing w:after="0" w:before="0"/>
            </w:pPr>
            <w:r/>
            <w:r>
              <w:rPr>
                <w:rFonts w:ascii="Arial" w:hAnsi="Arial" w:cs="Arial"/>
                <w:b w:val="0"/>
                <w:sz w:val="17"/>
              </w:rPr>
              <w:t>Joint holders</w:t>
            </w:r>
          </w:p>
        </w:tc>
        <w:tc>
          <w:tcPr>
            <w:tcW w:w="6760" w:type="dxa"/>
          </w:tcPr>
          <w:p>
            <w:pPr>
              <w:spacing w:after="0" w:before="0"/>
            </w:pPr>
            <w:r/>
            <w:r>
              <w:rPr>
                <w:rFonts w:ascii="Arial" w:hAnsi="Arial" w:cs="Arial"/>
                <w:b w:val="0"/>
                <w:sz w:val="17"/>
              </w:rPr>
              <w:t>All demat holders authorise the pledge (OTP each)</w:t>
            </w:r>
          </w:p>
        </w:tc>
      </w:tr>
      <w:tr>
        <w:tc>
          <w:tcPr>
            <w:tcW w:w="2600" w:type="dxa"/>
          </w:tcPr>
          <w:p>
            <w:pPr>
              <w:spacing w:after="0" w:before="0"/>
            </w:pPr>
            <w:r/>
            <w:r>
              <w:rPr>
                <w:rFonts w:ascii="Arial" w:hAnsi="Arial" w:cs="Arial"/>
                <w:b w:val="0"/>
                <w:sz w:val="17"/>
              </w:rPr>
              <w:t>Borrower death</w:t>
            </w:r>
          </w:p>
        </w:tc>
        <w:tc>
          <w:tcPr>
            <w:tcW w:w="6760" w:type="dxa"/>
          </w:tcPr>
          <w:p>
            <w:pPr>
              <w:spacing w:after="0" w:before="0"/>
            </w:pPr>
            <w:r/>
            <w:r>
              <w:rPr>
                <w:rFonts w:ascii="Arial" w:hAnsi="Arial" w:cs="Arial"/>
                <w:b w:val="0"/>
                <w:sz w:val="17"/>
              </w:rPr>
              <w:t>Freeze; nominee/legal-heir process; settle from securities</w:t>
            </w:r>
          </w:p>
        </w:tc>
      </w:tr>
      <w:tr>
        <w:tc>
          <w:tcPr>
            <w:tcW w:w="2600" w:type="dxa"/>
          </w:tcPr>
          <w:p>
            <w:pPr>
              <w:spacing w:after="0" w:before="0"/>
            </w:pPr>
            <w:r/>
            <w:r>
              <w:rPr>
                <w:rFonts w:ascii="Arial" w:hAnsi="Arial" w:cs="Arial"/>
                <w:b w:val="0"/>
                <w:sz w:val="17"/>
              </w:rPr>
              <w:t>NRI repatriation</w:t>
            </w:r>
          </w:p>
        </w:tc>
        <w:tc>
          <w:tcPr>
            <w:tcW w:w="6760" w:type="dxa"/>
          </w:tcPr>
          <w:p>
            <w:pPr>
              <w:spacing w:after="0" w:before="0"/>
            </w:pPr>
            <w:r/>
            <w:r>
              <w:rPr>
                <w:rFonts w:ascii="Arial" w:hAnsi="Arial" w:cs="Arial"/>
                <w:b w:val="0"/>
                <w:sz w:val="17"/>
              </w:rPr>
              <w:t>Enforce FEMA end-use/account rules</w:t>
            </w:r>
          </w:p>
        </w:tc>
      </w:tr>
      <w:tr>
        <w:tc>
          <w:tcPr>
            <w:tcW w:w="2600" w:type="dxa"/>
          </w:tcPr>
          <w:p>
            <w:pPr>
              <w:spacing w:after="0" w:before="0"/>
            </w:pPr>
            <w:r/>
            <w:r>
              <w:rPr>
                <w:rFonts w:ascii="Arial" w:hAnsi="Arial" w:cs="Arial"/>
                <w:b w:val="0"/>
                <w:sz w:val="17"/>
              </w:rPr>
              <w:t>Dispute on invocation</w:t>
            </w:r>
          </w:p>
        </w:tc>
        <w:tc>
          <w:tcPr>
            <w:tcW w:w="6760" w:type="dxa"/>
          </w:tcPr>
          <w:p>
            <w:pPr>
              <w:spacing w:after="0" w:before="0"/>
            </w:pPr>
            <w:r/>
            <w:r>
              <w:rPr>
                <w:rFonts w:ascii="Arial" w:hAnsi="Arial" w:cs="Arial"/>
                <w:b w:val="0"/>
                <w:sz w:val="17"/>
              </w:rPr>
              <w:t>Hold, escalate to legal (§7.2); preserve audit trail</w:t>
            </w:r>
          </w:p>
        </w:tc>
      </w:tr>
      <w:tr>
        <w:tc>
          <w:tcPr>
            <w:tcW w:w="2600" w:type="dxa"/>
          </w:tcPr>
          <w:p>
            <w:pPr>
              <w:spacing w:after="0" w:before="0"/>
            </w:pPr>
            <w:r/>
            <w:r>
              <w:rPr>
                <w:rFonts w:ascii="Arial" w:hAnsi="Arial" w:cs="Arial"/>
                <w:b w:val="0"/>
                <w:sz w:val="17"/>
              </w:rPr>
              <w:t>ESOP financing</w:t>
            </w:r>
          </w:p>
        </w:tc>
        <w:tc>
          <w:tcPr>
            <w:tcW w:w="6760" w:type="dxa"/>
          </w:tcPr>
          <w:p>
            <w:pPr>
              <w:spacing w:after="0" w:before="0"/>
            </w:pPr>
            <w:r/>
            <w:r>
              <w:rPr>
                <w:rFonts w:ascii="Arial" w:hAnsi="Arial" w:cs="Arial"/>
                <w:b w:val="0"/>
                <w:sz w:val="17"/>
              </w:rPr>
              <w:t>Special controls on lock-in and exercise proceeds</w:t>
            </w:r>
          </w:p>
        </w:tc>
      </w:tr>
      <w:tr>
        <w:tc>
          <w:tcPr>
            <w:tcW w:w="2600" w:type="dxa"/>
          </w:tcPr>
          <w:p>
            <w:pPr>
              <w:spacing w:after="0" w:before="0"/>
            </w:pPr>
            <w:r/>
            <w:r>
              <w:rPr>
                <w:rFonts w:ascii="Arial" w:hAnsi="Arial" w:cs="Arial"/>
                <w:b w:val="0"/>
                <w:sz w:val="17"/>
              </w:rPr>
              <w:t>Concentration breach</w:t>
            </w:r>
          </w:p>
        </w:tc>
        <w:tc>
          <w:tcPr>
            <w:tcW w:w="6760" w:type="dxa"/>
          </w:tcPr>
          <w:p>
            <w:pPr>
              <w:spacing w:after="0" w:before="0"/>
            </w:pPr>
            <w:r/>
            <w:r>
              <w:rPr>
                <w:rFonts w:ascii="Arial" w:hAnsi="Arial" w:cs="Arial"/>
                <w:b w:val="0"/>
                <w:sz w:val="17"/>
              </w:rPr>
              <w:t>Reject/haircut per single-scrip and group caps (§86.14)</w:t>
            </w:r>
          </w:p>
        </w:tc>
      </w:tr>
    </w:tbl>
    <w:p/>
    <w:p>
      <w:pPr>
        <w:pStyle w:val="Heading2"/>
      </w:pPr>
      <w:r>
        <w:t>86.12 State Machine</w:t>
      </w:r>
    </w:p>
    <w:p>
      <w:pPr>
        <w:jc w:val="center"/>
      </w:pPr>
      <w:r>
        <w:drawing>
          <wp:inline xmlns:a="http://schemas.openxmlformats.org/drawingml/2006/main" xmlns:pic="http://schemas.openxmlformats.org/drawingml/2006/picture">
            <wp:extent cx="5120640" cy="8899508"/>
            <wp:docPr id="21" name="Picture 21"/>
            <wp:cNvGraphicFramePr>
              <a:graphicFrameLocks noChangeAspect="1"/>
            </wp:cNvGraphicFramePr>
            <a:graphic>
              <a:graphicData uri="http://schemas.openxmlformats.org/drawingml/2006/picture">
                <pic:pic>
                  <pic:nvPicPr>
                    <pic:cNvPr id="0" name="d16_las_state.png"/>
                    <pic:cNvPicPr/>
                  </pic:nvPicPr>
                  <pic:blipFill>
                    <a:blip r:embed="rId33"/>
                    <a:stretch>
                      <a:fillRect/>
                    </a:stretch>
                  </pic:blipFill>
                  <pic:spPr>
                    <a:xfrm>
                      <a:off x="0" y="0"/>
                      <a:ext cx="5120640" cy="8899508"/>
                    </a:xfrm>
                    <a:prstGeom prst="rect"/>
                  </pic:spPr>
                </pic:pic>
              </a:graphicData>
            </a:graphic>
          </wp:inline>
        </w:drawing>
      </w:r>
    </w:p>
    <w:p>
      <w:pPr>
        <w:jc w:val="center"/>
      </w:pPr>
      <w:r>
        <w:rPr>
          <w:rFonts w:ascii="Arial" w:hAnsi="Arial" w:cs="Arial"/>
          <w:i/>
          <w:color w:val="404040"/>
          <w:sz w:val="18"/>
        </w:rPr>
        <w:t>Figure 86.1 — LAS account &amp; pledge lifecycle, including margin-call, cure, invocation and release.</w:t>
      </w:r>
    </w:p>
    <w:p>
      <w:pPr>
        <w:pStyle w:val="Heading2"/>
      </w:pPr>
      <w:r>
        <w:t>86.13 Integrations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System</w:t>
            </w:r>
          </w:p>
        </w:tc>
        <w:tc>
          <w:tcPr>
            <w:tcW w:w="6360" w:type="dxa"/>
            <w:shd w:val="clear" w:color="auto" w:fill="1F4E78"/>
          </w:tcPr>
          <w:p>
            <w:pPr>
              <w:spacing w:after="0" w:before="0"/>
            </w:pPr>
            <w:r/>
            <w:r>
              <w:rPr>
                <w:rFonts w:ascii="Arial" w:hAnsi="Arial" w:cs="Arial"/>
                <w:b/>
                <w:color w:val="FFFFFF"/>
                <w:sz w:val="17"/>
              </w:rPr>
              <w:t>Purpose</w:t>
            </w:r>
          </w:p>
        </w:tc>
      </w:tr>
      <w:tr>
        <w:tc>
          <w:tcPr>
            <w:tcW w:w="3000" w:type="dxa"/>
          </w:tcPr>
          <w:p>
            <w:pPr>
              <w:spacing w:after="0" w:before="0"/>
            </w:pPr>
            <w:r/>
            <w:r>
              <w:rPr>
                <w:rFonts w:ascii="Arial" w:hAnsi="Arial" w:cs="Arial"/>
                <w:b w:val="0"/>
                <w:sz w:val="17"/>
              </w:rPr>
              <w:t>Depository (NSDL SPEED-e / CDSL EASIEST)</w:t>
            </w:r>
          </w:p>
        </w:tc>
        <w:tc>
          <w:tcPr>
            <w:tcW w:w="6360" w:type="dxa"/>
          </w:tcPr>
          <w:p>
            <w:pPr>
              <w:spacing w:after="0" w:before="0"/>
            </w:pPr>
            <w:r/>
            <w:r>
              <w:rPr>
                <w:rFonts w:ascii="Arial" w:hAnsi="Arial" w:cs="Arial"/>
                <w:b w:val="0"/>
                <w:sz w:val="17"/>
              </w:rPr>
              <w:t>Pledge creation, confirmation, invocation, release</w:t>
            </w:r>
          </w:p>
        </w:tc>
      </w:tr>
      <w:tr>
        <w:tc>
          <w:tcPr>
            <w:tcW w:w="3000" w:type="dxa"/>
          </w:tcPr>
          <w:p>
            <w:pPr>
              <w:spacing w:after="0" w:before="0"/>
            </w:pPr>
            <w:r/>
            <w:r>
              <w:rPr>
                <w:rFonts w:ascii="Arial" w:hAnsi="Arial" w:cs="Arial"/>
                <w:b w:val="0"/>
                <w:sz w:val="17"/>
              </w:rPr>
              <w:t>RTA (CAMS / KFintech)</w:t>
            </w:r>
          </w:p>
        </w:tc>
        <w:tc>
          <w:tcPr>
            <w:tcW w:w="6360" w:type="dxa"/>
          </w:tcPr>
          <w:p>
            <w:pPr>
              <w:spacing w:after="0" w:before="0"/>
            </w:pPr>
            <w:r/>
            <w:r>
              <w:rPr>
                <w:rFonts w:ascii="Arial" w:hAnsi="Arial" w:cs="Arial"/>
                <w:b w:val="0"/>
                <w:sz w:val="17"/>
              </w:rPr>
              <w:t>Lien marking/release for mutual-fund units</w:t>
            </w:r>
          </w:p>
        </w:tc>
      </w:tr>
      <w:tr>
        <w:tc>
          <w:tcPr>
            <w:tcW w:w="3000" w:type="dxa"/>
          </w:tcPr>
          <w:p>
            <w:pPr>
              <w:spacing w:after="0" w:before="0"/>
            </w:pPr>
            <w:r/>
            <w:r>
              <w:rPr>
                <w:rFonts w:ascii="Arial" w:hAnsi="Arial" w:cs="Arial"/>
                <w:b w:val="0"/>
                <w:sz w:val="17"/>
              </w:rPr>
              <w:t>Insurer</w:t>
            </w:r>
          </w:p>
        </w:tc>
        <w:tc>
          <w:tcPr>
            <w:tcW w:w="6360" w:type="dxa"/>
          </w:tcPr>
          <w:p>
            <w:pPr>
              <w:spacing w:after="0" w:before="0"/>
            </w:pPr>
            <w:r/>
            <w:r>
              <w:rPr>
                <w:rFonts w:ascii="Arial" w:hAnsi="Arial" w:cs="Arial"/>
                <w:b w:val="0"/>
                <w:sz w:val="17"/>
              </w:rPr>
              <w:t>Assignment/reassignment for policy-backed loans</w:t>
            </w:r>
          </w:p>
        </w:tc>
      </w:tr>
      <w:tr>
        <w:tc>
          <w:tcPr>
            <w:tcW w:w="3000" w:type="dxa"/>
          </w:tcPr>
          <w:p>
            <w:pPr>
              <w:spacing w:after="0" w:before="0"/>
            </w:pPr>
            <w:r/>
            <w:r>
              <w:rPr>
                <w:rFonts w:ascii="Arial" w:hAnsi="Arial" w:cs="Arial"/>
                <w:b w:val="0"/>
                <w:sz w:val="17"/>
              </w:rPr>
              <w:t>Price / NAV feed</w:t>
            </w:r>
          </w:p>
        </w:tc>
        <w:tc>
          <w:tcPr>
            <w:tcW w:w="6360" w:type="dxa"/>
          </w:tcPr>
          <w:p>
            <w:pPr>
              <w:spacing w:after="0" w:before="0"/>
            </w:pPr>
            <w:r/>
            <w:r>
              <w:rPr>
                <w:rFonts w:ascii="Arial" w:hAnsi="Arial" w:cs="Arial"/>
                <w:b w:val="0"/>
                <w:sz w:val="17"/>
              </w:rPr>
              <w:t>Daily revaluation of pledged securities</w:t>
            </w:r>
          </w:p>
        </w:tc>
      </w:tr>
      <w:tr>
        <w:tc>
          <w:tcPr>
            <w:tcW w:w="3000" w:type="dxa"/>
          </w:tcPr>
          <w:p>
            <w:pPr>
              <w:spacing w:after="0" w:before="0"/>
            </w:pPr>
            <w:r/>
            <w:r>
              <w:rPr>
                <w:rFonts w:ascii="Arial" w:hAnsi="Arial" w:cs="Arial"/>
                <w:b w:val="0"/>
                <w:sz w:val="17"/>
              </w:rPr>
              <w:t>Stock exchange reporting</w:t>
            </w:r>
          </w:p>
        </w:tc>
        <w:tc>
          <w:tcPr>
            <w:tcW w:w="6360" w:type="dxa"/>
          </w:tcPr>
          <w:p>
            <w:pPr>
              <w:spacing w:after="0" w:before="0"/>
            </w:pPr>
            <w:r/>
            <w:r>
              <w:rPr>
                <w:rFonts w:ascii="Arial" w:hAnsi="Arial" w:cs="Arial"/>
                <w:b w:val="0"/>
                <w:sz w:val="17"/>
              </w:rPr>
              <w:t>Report shares pledged in the NBFC’s favour (§86.2)</w:t>
            </w:r>
          </w:p>
        </w:tc>
      </w:tr>
      <w:tr>
        <w:tc>
          <w:tcPr>
            <w:tcW w:w="3000" w:type="dxa"/>
          </w:tcPr>
          <w:p>
            <w:pPr>
              <w:spacing w:after="0" w:before="0"/>
            </w:pPr>
            <w:r/>
            <w:r>
              <w:rPr>
                <w:rFonts w:ascii="Arial" w:hAnsi="Arial" w:cs="Arial"/>
                <w:b w:val="0"/>
                <w:sz w:val="17"/>
              </w:rPr>
              <w:t>Bank / penny-drop</w:t>
            </w:r>
          </w:p>
        </w:tc>
        <w:tc>
          <w:tcPr>
            <w:tcW w:w="6360" w:type="dxa"/>
          </w:tcPr>
          <w:p>
            <w:pPr>
              <w:spacing w:after="0" w:before="0"/>
            </w:pPr>
            <w:r/>
            <w:r>
              <w:rPr>
                <w:rFonts w:ascii="Arial" w:hAnsi="Arial" w:cs="Arial"/>
                <w:b w:val="0"/>
                <w:sz w:val="17"/>
              </w:rPr>
              <w:t>Disbursement &amp; interest-debit account verification</w:t>
            </w:r>
          </w:p>
        </w:tc>
      </w:tr>
      <w:tr>
        <w:tc>
          <w:tcPr>
            <w:tcW w:w="3000" w:type="dxa"/>
          </w:tcPr>
          <w:p>
            <w:pPr>
              <w:spacing w:after="0" w:before="0"/>
            </w:pPr>
            <w:r/>
            <w:r>
              <w:rPr>
                <w:rFonts w:ascii="Arial" w:hAnsi="Arial" w:cs="Arial"/>
                <w:b w:val="0"/>
                <w:sz w:val="17"/>
              </w:rPr>
              <w:t>CKYC / bureau</w:t>
            </w:r>
          </w:p>
        </w:tc>
        <w:tc>
          <w:tcPr>
            <w:tcW w:w="6360" w:type="dxa"/>
          </w:tcPr>
          <w:p>
            <w:pPr>
              <w:spacing w:after="0" w:before="0"/>
            </w:pPr>
            <w:r/>
            <w:r>
              <w:rPr>
                <w:rFonts w:ascii="Arial" w:hAnsi="Arial" w:cs="Arial"/>
                <w:b w:val="0"/>
                <w:sz w:val="17"/>
              </w:rPr>
              <w:t>Onboarding and underwriting (Sections 5, 10)</w:t>
            </w:r>
          </w:p>
        </w:tc>
      </w:tr>
    </w:tbl>
    <w:p/>
    <w:p>
      <w:pPr>
        <w:pStyle w:val="Heading2"/>
      </w:pPr>
      <w:r>
        <w:t>86.14 Risk Controls</w:t>
      </w:r>
    </w:p>
    <w:p>
      <w:pPr>
        <w:pStyle w:val="ListParagraph"/>
        <w:numPr>
          <w:ilvl w:val="0"/>
          <w:numId w:val="2"/>
        </w:numPr>
      </w:pPr>
      <w:r>
        <w:rPr>
          <w:rFonts w:ascii="Arial" w:hAnsi="Arial" w:cs="Arial"/>
          <w:sz w:val="22"/>
        </w:rPr>
        <w:t>Concentration: single-scrip and single-group caps per loan and across the portfolio; promoter/insider holdings excluded.</w:t>
      </w:r>
    </w:p>
    <w:p>
      <w:pPr>
        <w:pStyle w:val="ListParagraph"/>
        <w:numPr>
          <w:ilvl w:val="0"/>
          <w:numId w:val="2"/>
        </w:numPr>
      </w:pPr>
      <w:r>
        <w:rPr>
          <w:rFonts w:ascii="Arial" w:hAnsi="Arial" w:cs="Arial"/>
          <w:sz w:val="22"/>
        </w:rPr>
        <w:t>Volatility: volatility-linked haircuts; tighter LTV for higher-beta or F&amp;O-ban scrips.</w:t>
      </w:r>
    </w:p>
    <w:p>
      <w:pPr>
        <w:pStyle w:val="ListParagraph"/>
        <w:numPr>
          <w:ilvl w:val="0"/>
          <w:numId w:val="2"/>
        </w:numPr>
      </w:pPr>
      <w:r>
        <w:rPr>
          <w:rFonts w:ascii="Arial" w:hAnsi="Arial" w:cs="Arial"/>
          <w:sz w:val="22"/>
        </w:rPr>
        <w:t>Eligibility: only approved Group-I securities above the ₹5-lakh threshold; illiquid/locked-in excluded (§86.3).</w:t>
      </w:r>
    </w:p>
    <w:p>
      <w:pPr>
        <w:pStyle w:val="ListParagraph"/>
        <w:numPr>
          <w:ilvl w:val="0"/>
          <w:numId w:val="2"/>
        </w:numPr>
      </w:pPr>
      <w:r>
        <w:rPr>
          <w:rFonts w:ascii="Arial" w:hAnsi="Arial" w:cs="Arial"/>
          <w:sz w:val="22"/>
        </w:rPr>
        <w:t>End-use: monitored; restricted market/AML uses blocked; large-exposure and LEI checks (Sections 37, 43.2).</w:t>
      </w:r>
    </w:p>
    <w:p>
      <w:pPr>
        <w:pStyle w:val="Heading2"/>
      </w:pPr>
      <w:r>
        <w:t>86.15 Documents Generated</w:t>
      </w:r>
    </w:p>
    <w:p>
      <w:r>
        <w:rPr>
          <w:rFonts w:ascii="Arial" w:hAnsi="Arial" w:cs="Arial"/>
          <w:b w:val="0"/>
          <w:i w:val="0"/>
          <w:sz w:val="22"/>
        </w:rPr>
        <w:t>Sanction letter, LAS/overdraft agreement, demand promissory note (where used), pledge/lien confirmation, standing-instruction/e-mandate, Key Fact Statement, statement of account, and the release/NOC on closure — each a versioned template (Section 83) merged with live data.</w:t>
      </w:r>
    </w:p>
    <w:p>
      <w:pPr>
        <w:pStyle w:val="Heading2"/>
      </w:pPr>
      <w:r>
        <w:t>86.16 Field Catalog</w:t>
      </w:r>
    </w:p>
    <w:p>
      <w:r>
        <w:rPr>
          <w:rFonts w:ascii="Arial" w:hAnsi="Arial" w:cs="Arial"/>
          <w:b w:val="0"/>
          <w:i w:val="0"/>
          <w:sz w:val="22"/>
        </w:rPr>
        <w:t>The complete LAS field list — every field in Section 86.5 plus the pledge, revaluation and servicing fields — is included in the companion Field-Catalog spreadsheet, alongside the other products, as the authoritative machine-readable source for developers.</w:t>
      </w:r>
    </w:p>
    <w:p>
      <w:pPr>
        <w:pStyle w:val="Heading2"/>
      </w:pPr>
      <w:r>
        <w:t>86.17 Applying This Blueprint to Other Products</w:t>
      </w:r>
    </w:p>
    <w:p>
      <w:r>
        <w:rPr>
          <w:rFonts w:ascii="Arial" w:hAnsi="Arial" w:cs="Arial"/>
          <w:b w:val="0"/>
          <w:i w:val="0"/>
          <w:sz w:val="22"/>
        </w:rPr>
        <w:t>This structure — overview &amp; variants, regulatory framework, collateral/eligibility master, borrower types, complete application form, security/collateral lifecycle, computation, margin/servicing logic, corporate/asset events, accounting, scenarios &amp; edge cases, state machine, integrations, risk controls and documents — is the template for elaborating any product in Section 3 to the same depth. Priority candidates to expand next in this style: Loan Against Property (title/valuation/CERSAI lifecycle), Gold Loan (appraisal/vault/auction), and Supply Chain Finance (anchor programme/invoice lifecycle). Each reuses the common field library (Section 72.2) and differs mainly in its collateral module, computation and regulatory overlay.</w:t>
      </w:r>
    </w:p>
    <w:p>
      <w:r>
        <w:br w:type="page"/>
      </w:r>
    </w:p>
    <w:p>
      <w:r>
        <w:rPr>
          <w:rFonts w:ascii="Arial" w:hAnsi="Arial" w:cs="Arial"/>
          <w:b w:val="0"/>
          <w:i/>
          <w:sz w:val="22"/>
        </w:rPr>
        <w:t>Part V — Comprehensive Product Blueprints (Section 87) elaborates every remaining product in Section 3 to build depth, following the LAS template (Section 86). Each carries product-specific regulatory notes, a complete field set (additional to the common library, Section 72.2), computation/servicing logic, and a scenario/edge-case catalogue. Field lists here also flow into the companion Field-Catalog spreadsheet.</w:t>
      </w:r>
    </w:p>
    <w:p>
      <w:pPr>
        <w:pStyle w:val="Heading1"/>
      </w:pPr>
      <w:r>
        <w:t>87. Comprehensive Product Blueprints</w:t>
      </w:r>
    </w:p>
    <w:p>
      <w:r>
        <w:rPr>
          <w:rFonts w:ascii="Arial" w:hAnsi="Arial" w:cs="Arial"/>
          <w:b w:val="0"/>
          <w:i w:val="0"/>
          <w:sz w:val="22"/>
        </w:rPr>
        <w:t>These blueprints make each product directly buildable. They reuse the common field library (Section 72.2), the calculation methods (Section 45), the state machines (Section 25.2) and the integrations (Section 12); only the collateral module, computation and regulatory overlay differ per product.</w:t>
      </w:r>
    </w:p>
    <w:p>
      <w:pPr>
        <w:pStyle w:val="Heading2"/>
      </w:pPr>
      <w:r>
        <w:t>87.1 Loan Against Property (LAP) [LAP]</w:t>
      </w:r>
    </w:p>
    <w:p>
      <w:r>
        <w:rPr>
          <w:rFonts w:ascii="Arial" w:hAnsi="Arial" w:cs="Arial"/>
          <w:b w:val="0"/>
          <w:i w:val="0"/>
          <w:sz w:val="22"/>
        </w:rPr>
        <w:t>A secured term loan against a registered or equitable mortgage of residential, commercial or industrial property or land; enforceable under SARFAESI.</w:t>
      </w:r>
    </w:p>
    <w:p>
      <w:r>
        <w:rPr>
          <w:rFonts w:ascii="Arial" w:hAnsi="Arial" w:cs="Arial"/>
          <w:b/>
          <w:i w:val="0"/>
          <w:sz w:val="22"/>
        </w:rPr>
        <w:t>Regulatory, eligibility &amp; policy:</w:t>
      </w:r>
    </w:p>
    <w:p>
      <w:pPr>
        <w:pStyle w:val="ListParagraph"/>
        <w:numPr>
          <w:ilvl w:val="0"/>
          <w:numId w:val="2"/>
        </w:numPr>
      </w:pPr>
      <w:r>
        <w:rPr>
          <w:rFonts w:ascii="Arial" w:hAnsi="Arial" w:cs="Arial"/>
          <w:sz w:val="22"/>
        </w:rPr>
        <w:t>LTV by property type per NHB/RBI norms (higher for residential, lower for commercial/industrial/land); tenure typically up to ~15 years.</w:t>
      </w:r>
    </w:p>
    <w:p>
      <w:pPr>
        <w:pStyle w:val="ListParagraph"/>
        <w:numPr>
          <w:ilvl w:val="0"/>
          <w:numId w:val="2"/>
        </w:numPr>
      </w:pPr>
      <w:r>
        <w:rPr>
          <w:rFonts w:ascii="Arial" w:hAnsi="Arial" w:cs="Arial"/>
          <w:sz w:val="22"/>
        </w:rPr>
        <w:t>Mortgage registered or equitable; the security interest is registered on CERSAI within the prescribed timeline.</w:t>
      </w:r>
    </w:p>
    <w:p>
      <w:pPr>
        <w:pStyle w:val="ListParagraph"/>
        <w:numPr>
          <w:ilvl w:val="0"/>
          <w:numId w:val="2"/>
        </w:numPr>
      </w:pPr>
      <w:r>
        <w:rPr>
          <w:rFonts w:ascii="Arial" w:hAnsi="Arial" w:cs="Arial"/>
          <w:sz w:val="22"/>
        </w:rPr>
        <w:t>Title search &amp; legal opinion from an empanelled advocate; valuation (fair market, realisable, distress) by an empanelled valuer.</w:t>
      </w:r>
    </w:p>
    <w:p>
      <w:pPr>
        <w:pStyle w:val="ListParagraph"/>
        <w:numPr>
          <w:ilvl w:val="0"/>
          <w:numId w:val="2"/>
        </w:numPr>
      </w:pPr>
      <w:r>
        <w:rPr>
          <w:rFonts w:ascii="Arial" w:hAnsi="Arial" w:cs="Arial"/>
          <w:sz w:val="22"/>
        </w:rPr>
        <w:t>End-use monitored (business/working-capital/personal/debt-consolidation); property insurance with the lender as loss payee.</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Property Address &amp; Survey/Plot</w:t>
            </w:r>
          </w:p>
        </w:tc>
        <w:tc>
          <w:tcPr>
            <w:tcW w:w="1300" w:type="dxa"/>
          </w:tcPr>
          <w:p>
            <w:pPr>
              <w:spacing w:after="0" w:before="0"/>
            </w:pPr>
            <w:r/>
            <w:r>
              <w:rPr>
                <w:rFonts w:ascii="Arial" w:hAnsi="Arial" w:cs="Arial"/>
                <w:b w:val="0"/>
                <w:sz w:val="17"/>
              </w:rPr>
              <w:t>Address/Text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Full identification</w:t>
            </w:r>
          </w:p>
        </w:tc>
      </w:tr>
      <w:tr>
        <w:tc>
          <w:tcPr>
            <w:tcW w:w="2900" w:type="dxa"/>
          </w:tcPr>
          <w:p>
            <w:pPr>
              <w:spacing w:after="0" w:before="0"/>
            </w:pPr>
            <w:r/>
            <w:r>
              <w:rPr>
                <w:rFonts w:ascii="Arial" w:hAnsi="Arial" w:cs="Arial"/>
                <w:b w:val="0"/>
                <w:sz w:val="17"/>
              </w:rPr>
              <w:t>Property Type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Residential/Commercial/Industrial/Land</w:t>
            </w:r>
          </w:p>
        </w:tc>
      </w:tr>
      <w:tr>
        <w:tc>
          <w:tcPr>
            <w:tcW w:w="2900" w:type="dxa"/>
          </w:tcPr>
          <w:p>
            <w:pPr>
              <w:spacing w:after="0" w:before="0"/>
            </w:pPr>
            <w:r/>
            <w:r>
              <w:rPr>
                <w:rFonts w:ascii="Arial" w:hAnsi="Arial" w:cs="Arial"/>
                <w:b w:val="0"/>
                <w:sz w:val="17"/>
              </w:rPr>
              <w:t>Ownership Type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Freehold/Leasehold (residual lease caps tenure)</w:t>
            </w:r>
          </w:p>
        </w:tc>
      </w:tr>
      <w:tr>
        <w:tc>
          <w:tcPr>
            <w:tcW w:w="2900" w:type="dxa"/>
          </w:tcPr>
          <w:p>
            <w:pPr>
              <w:spacing w:after="0" w:before="0"/>
            </w:pPr>
            <w:r/>
            <w:r>
              <w:rPr>
                <w:rFonts w:ascii="Arial" w:hAnsi="Arial" w:cs="Arial"/>
                <w:b w:val="0"/>
                <w:sz w:val="17"/>
              </w:rPr>
              <w:t>Property Age / Built-up / Carpet Area</w:t>
            </w:r>
          </w:p>
        </w:tc>
        <w:tc>
          <w:tcPr>
            <w:tcW w:w="1300" w:type="dxa"/>
          </w:tcPr>
          <w:p>
            <w:pPr>
              <w:spacing w:after="0" w:before="0"/>
            </w:pPr>
            <w:r/>
            <w:r>
              <w:rPr>
                <w:rFonts w:ascii="Arial" w:hAnsi="Arial" w:cs="Arial"/>
                <w:b w:val="0"/>
                <w:sz w:val="17"/>
              </w:rPr>
              <w:t>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Sq.ft.</w:t>
            </w:r>
          </w:p>
        </w:tc>
      </w:tr>
      <w:tr>
        <w:tc>
          <w:tcPr>
            <w:tcW w:w="2900" w:type="dxa"/>
          </w:tcPr>
          <w:p>
            <w:pPr>
              <w:spacing w:after="0" w:before="0"/>
            </w:pPr>
            <w:r/>
            <w:r>
              <w:rPr>
                <w:rFonts w:ascii="Arial" w:hAnsi="Arial" w:cs="Arial"/>
                <w:b w:val="0"/>
                <w:sz w:val="17"/>
              </w:rPr>
              <w:t>Existing Encumbrance</w:t>
            </w:r>
          </w:p>
        </w:tc>
        <w:tc>
          <w:tcPr>
            <w:tcW w:w="1300" w:type="dxa"/>
          </w:tcPr>
          <w:p>
            <w:pPr>
              <w:spacing w:after="0" w:before="0"/>
            </w:pPr>
            <w:r/>
            <w:r>
              <w:rPr>
                <w:rFonts w:ascii="Arial" w:hAnsi="Arial" w:cs="Arial"/>
                <w:b w:val="0"/>
                <w:sz w:val="17"/>
              </w:rPr>
              <w:t>Boolean/Text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Details of any existing charge</w:t>
            </w:r>
          </w:p>
        </w:tc>
      </w:tr>
      <w:tr>
        <w:tc>
          <w:tcPr>
            <w:tcW w:w="2900" w:type="dxa"/>
          </w:tcPr>
          <w:p>
            <w:pPr>
              <w:spacing w:after="0" w:before="0"/>
            </w:pPr>
            <w:r/>
            <w:r>
              <w:rPr>
                <w:rFonts w:ascii="Arial" w:hAnsi="Arial" w:cs="Arial"/>
                <w:b w:val="0"/>
                <w:sz w:val="17"/>
              </w:rPr>
              <w:t>Property Owner</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Applicant/Co-applicant/Third-party mortgagor</w:t>
            </w:r>
          </w:p>
        </w:tc>
      </w:tr>
      <w:tr>
        <w:tc>
          <w:tcPr>
            <w:tcW w:w="2900" w:type="dxa"/>
          </w:tcPr>
          <w:p>
            <w:pPr>
              <w:spacing w:after="0" w:before="0"/>
            </w:pPr>
            <w:r/>
            <w:r>
              <w:rPr>
                <w:rFonts w:ascii="Arial" w:hAnsi="Arial" w:cs="Arial"/>
                <w:b w:val="0"/>
                <w:sz w:val="17"/>
              </w:rPr>
              <w:t>Title Deed &amp; Chain of Title</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Title Search &amp; Legal Opinion</w:t>
            </w:r>
          </w:p>
        </w:tc>
        <w:tc>
          <w:tcPr>
            <w:tcW w:w="1300" w:type="dxa"/>
          </w:tcPr>
          <w:p>
            <w:pPr>
              <w:spacing w:after="0" w:before="0"/>
            </w:pPr>
            <w:r/>
            <w:r>
              <w:rPr>
                <w:rFonts w:ascii="Arial" w:hAnsi="Arial" w:cs="Arial"/>
                <w:b w:val="0"/>
                <w:sz w:val="17"/>
              </w:rPr>
              <w:t>File/Status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Empanelled advocate</w:t>
            </w:r>
          </w:p>
        </w:tc>
      </w:tr>
      <w:tr>
        <w:tc>
          <w:tcPr>
            <w:tcW w:w="2900" w:type="dxa"/>
          </w:tcPr>
          <w:p>
            <w:pPr>
              <w:spacing w:after="0" w:before="0"/>
            </w:pPr>
            <w:r/>
            <w:r>
              <w:rPr>
                <w:rFonts w:ascii="Arial" w:hAnsi="Arial" w:cs="Arial"/>
                <w:b w:val="0"/>
                <w:sz w:val="17"/>
              </w:rPr>
              <w:t>Valuation Report</w:t>
            </w:r>
          </w:p>
        </w:tc>
        <w:tc>
          <w:tcPr>
            <w:tcW w:w="1300" w:type="dxa"/>
          </w:tcPr>
          <w:p>
            <w:pPr>
              <w:spacing w:after="0" w:before="0"/>
            </w:pPr>
            <w:r/>
            <w:r>
              <w:rPr>
                <w:rFonts w:ascii="Arial" w:hAnsi="Arial" w:cs="Arial"/>
                <w:b w:val="0"/>
                <w:sz w:val="17"/>
              </w:rPr>
              <w:t>Sub-form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Valuer, FMV, realisable, distress</w:t>
            </w:r>
          </w:p>
        </w:tc>
      </w:tr>
      <w:tr>
        <w:tc>
          <w:tcPr>
            <w:tcW w:w="2900" w:type="dxa"/>
          </w:tcPr>
          <w:p>
            <w:pPr>
              <w:spacing w:after="0" w:before="0"/>
            </w:pPr>
            <w:r/>
            <w:r>
              <w:rPr>
                <w:rFonts w:ascii="Arial" w:hAnsi="Arial" w:cs="Arial"/>
                <w:b w:val="0"/>
                <w:sz w:val="17"/>
              </w:rPr>
              <w:t>Encumbrance Certificate (EC)</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13/30-year period</w:t>
            </w:r>
          </w:p>
        </w:tc>
      </w:tr>
      <w:tr>
        <w:tc>
          <w:tcPr>
            <w:tcW w:w="2900" w:type="dxa"/>
          </w:tcPr>
          <w:p>
            <w:pPr>
              <w:spacing w:after="0" w:before="0"/>
            </w:pPr>
            <w:r/>
            <w:r>
              <w:rPr>
                <w:rFonts w:ascii="Arial" w:hAnsi="Arial" w:cs="Arial"/>
                <w:b w:val="0"/>
                <w:sz w:val="17"/>
              </w:rPr>
              <w:t>CERSAI Registration No.</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Security-interest registration</w:t>
            </w:r>
          </w:p>
        </w:tc>
      </w:tr>
      <w:tr>
        <w:tc>
          <w:tcPr>
            <w:tcW w:w="2900" w:type="dxa"/>
          </w:tcPr>
          <w:p>
            <w:pPr>
              <w:spacing w:after="0" w:before="0"/>
            </w:pPr>
            <w:r/>
            <w:r>
              <w:rPr>
                <w:rFonts w:ascii="Arial" w:hAnsi="Arial" w:cs="Arial"/>
                <w:b w:val="0"/>
                <w:sz w:val="17"/>
              </w:rPr>
              <w:t>Mortgage Type Executed</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Registered/Equitable</w:t>
            </w:r>
          </w:p>
        </w:tc>
      </w:tr>
      <w:tr>
        <w:tc>
          <w:tcPr>
            <w:tcW w:w="2900" w:type="dxa"/>
          </w:tcPr>
          <w:p>
            <w:pPr>
              <w:spacing w:after="0" w:before="0"/>
            </w:pPr>
            <w:r/>
            <w:r>
              <w:rPr>
                <w:rFonts w:ascii="Arial" w:hAnsi="Arial" w:cs="Arial"/>
                <w:b w:val="0"/>
                <w:sz w:val="17"/>
              </w:rPr>
              <w:t>Property Insurance</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Lender as loss payee</w:t>
            </w:r>
          </w:p>
        </w:tc>
      </w:tr>
      <w:tr>
        <w:tc>
          <w:tcPr>
            <w:tcW w:w="2900" w:type="dxa"/>
          </w:tcPr>
          <w:p>
            <w:pPr>
              <w:spacing w:after="0" w:before="0"/>
            </w:pPr>
            <w:r/>
            <w:r>
              <w:rPr>
                <w:rFonts w:ascii="Arial" w:hAnsi="Arial" w:cs="Arial"/>
                <w:b w:val="0"/>
                <w:sz w:val="17"/>
              </w:rPr>
              <w:t>Stage-wise Disbursement Schedule</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Under-construction/renovation</w:t>
            </w:r>
          </w:p>
        </w:tc>
      </w:tr>
    </w:tbl>
    <w:p/>
    <w:p>
      <w:r>
        <w:rPr>
          <w:rFonts w:ascii="Arial" w:hAnsi="Arial" w:cs="Arial"/>
          <w:b/>
          <w:i w:val="0"/>
          <w:sz w:val="22"/>
        </w:rPr>
        <w:t>Computation &amp; servicing:</w:t>
      </w:r>
    </w:p>
    <w:p>
      <w:r>
        <w:rPr>
          <w:rFonts w:ascii="Arial" w:hAnsi="Arial" w:cs="Arial"/>
          <w:b w:val="0"/>
          <w:i w:val="0"/>
          <w:sz w:val="22"/>
        </w:rPr>
        <w:t>Reducing-balance EMI (Section 45.3.5); sanctioned amount capped at LTV × property value; staged disbursement for under-construction tied to construction milestones with broken-period interest on each tranche (Section 24.3).</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Title defect / chain break</w:t>
            </w:r>
          </w:p>
        </w:tc>
        <w:tc>
          <w:tcPr>
            <w:tcW w:w="6360" w:type="dxa"/>
          </w:tcPr>
          <w:p>
            <w:pPr>
              <w:spacing w:after="0" w:before="0"/>
            </w:pPr>
            <w:r/>
            <w:r>
              <w:rPr>
                <w:rFonts w:ascii="Arial" w:hAnsi="Arial" w:cs="Arial"/>
                <w:b w:val="0"/>
                <w:sz w:val="17"/>
              </w:rPr>
              <w:t>Reject or cure before disbursal</w:t>
            </w:r>
          </w:p>
        </w:tc>
      </w:tr>
      <w:tr>
        <w:tc>
          <w:tcPr>
            <w:tcW w:w="3000" w:type="dxa"/>
          </w:tcPr>
          <w:p>
            <w:pPr>
              <w:spacing w:after="0" w:before="0"/>
            </w:pPr>
            <w:r/>
            <w:r>
              <w:rPr>
                <w:rFonts w:ascii="Arial" w:hAnsi="Arial" w:cs="Arial"/>
                <w:b w:val="0"/>
                <w:sz w:val="17"/>
              </w:rPr>
              <w:t>Valuation shortfall</w:t>
            </w:r>
          </w:p>
        </w:tc>
        <w:tc>
          <w:tcPr>
            <w:tcW w:w="6360" w:type="dxa"/>
          </w:tcPr>
          <w:p>
            <w:pPr>
              <w:spacing w:after="0" w:before="0"/>
            </w:pPr>
            <w:r/>
            <w:r>
              <w:rPr>
                <w:rFonts w:ascii="Arial" w:hAnsi="Arial" w:cs="Arial"/>
                <w:b w:val="0"/>
                <w:sz w:val="17"/>
              </w:rPr>
              <w:t>Reduce sanction to the LTV cap</w:t>
            </w:r>
          </w:p>
        </w:tc>
      </w:tr>
      <w:tr>
        <w:tc>
          <w:tcPr>
            <w:tcW w:w="3000" w:type="dxa"/>
          </w:tcPr>
          <w:p>
            <w:pPr>
              <w:spacing w:after="0" w:before="0"/>
            </w:pPr>
            <w:r/>
            <w:r>
              <w:rPr>
                <w:rFonts w:ascii="Arial" w:hAnsi="Arial" w:cs="Arial"/>
                <w:b w:val="0"/>
                <w:sz w:val="17"/>
              </w:rPr>
              <w:t>Third-party mortgagor</w:t>
            </w:r>
          </w:p>
        </w:tc>
        <w:tc>
          <w:tcPr>
            <w:tcW w:w="6360" w:type="dxa"/>
          </w:tcPr>
          <w:p>
            <w:pPr>
              <w:spacing w:after="0" w:before="0"/>
            </w:pPr>
            <w:r/>
            <w:r>
              <w:rPr>
                <w:rFonts w:ascii="Arial" w:hAnsi="Arial" w:cs="Arial"/>
                <w:b w:val="0"/>
                <w:sz w:val="17"/>
              </w:rPr>
              <w:t>Mortgagor KYC + consent + guarantee</w:t>
            </w:r>
          </w:p>
        </w:tc>
      </w:tr>
      <w:tr>
        <w:tc>
          <w:tcPr>
            <w:tcW w:w="3000" w:type="dxa"/>
          </w:tcPr>
          <w:p>
            <w:pPr>
              <w:spacing w:after="0" w:before="0"/>
            </w:pPr>
            <w:r/>
            <w:r>
              <w:rPr>
                <w:rFonts w:ascii="Arial" w:hAnsi="Arial" w:cs="Arial"/>
                <w:b w:val="0"/>
                <w:sz w:val="17"/>
              </w:rPr>
              <w:t>Existing charge on property</w:t>
            </w:r>
          </w:p>
        </w:tc>
        <w:tc>
          <w:tcPr>
            <w:tcW w:w="6360" w:type="dxa"/>
          </w:tcPr>
          <w:p>
            <w:pPr>
              <w:spacing w:after="0" w:before="0"/>
            </w:pPr>
            <w:r/>
            <w:r>
              <w:rPr>
                <w:rFonts w:ascii="Arial" w:hAnsi="Arial" w:cs="Arial"/>
                <w:b w:val="0"/>
                <w:sz w:val="17"/>
              </w:rPr>
              <w:t>NOC / pari-passu / reject</w:t>
            </w:r>
          </w:p>
        </w:tc>
      </w:tr>
      <w:tr>
        <w:tc>
          <w:tcPr>
            <w:tcW w:w="3000" w:type="dxa"/>
          </w:tcPr>
          <w:p>
            <w:pPr>
              <w:spacing w:after="0" w:before="0"/>
            </w:pPr>
            <w:r/>
            <w:r>
              <w:rPr>
                <w:rFonts w:ascii="Arial" w:hAnsi="Arial" w:cs="Arial"/>
                <w:b w:val="0"/>
                <w:sz w:val="17"/>
              </w:rPr>
              <w:t>Under-construction delay</w:t>
            </w:r>
          </w:p>
        </w:tc>
        <w:tc>
          <w:tcPr>
            <w:tcW w:w="6360" w:type="dxa"/>
          </w:tcPr>
          <w:p>
            <w:pPr>
              <w:spacing w:after="0" w:before="0"/>
            </w:pPr>
            <w:r/>
            <w:r>
              <w:rPr>
                <w:rFonts w:ascii="Arial" w:hAnsi="Arial" w:cs="Arial"/>
                <w:b w:val="0"/>
                <w:sz w:val="17"/>
              </w:rPr>
              <w:t>Hold the next tranche</w:t>
            </w:r>
          </w:p>
        </w:tc>
      </w:tr>
      <w:tr>
        <w:tc>
          <w:tcPr>
            <w:tcW w:w="3000" w:type="dxa"/>
          </w:tcPr>
          <w:p>
            <w:pPr>
              <w:spacing w:after="0" w:before="0"/>
            </w:pPr>
            <w:r/>
            <w:r>
              <w:rPr>
                <w:rFonts w:ascii="Arial" w:hAnsi="Arial" w:cs="Arial"/>
                <w:b w:val="0"/>
                <w:sz w:val="17"/>
              </w:rPr>
              <w:t>Property insurance lapse</w:t>
            </w:r>
          </w:p>
        </w:tc>
        <w:tc>
          <w:tcPr>
            <w:tcW w:w="6360" w:type="dxa"/>
          </w:tcPr>
          <w:p>
            <w:pPr>
              <w:spacing w:after="0" w:before="0"/>
            </w:pPr>
            <w:r/>
            <w:r>
              <w:rPr>
                <w:rFonts w:ascii="Arial" w:hAnsi="Arial" w:cs="Arial"/>
                <w:b w:val="0"/>
                <w:sz w:val="17"/>
              </w:rPr>
              <w:t>Force-place cover; penal charge</w:t>
            </w:r>
          </w:p>
        </w:tc>
      </w:tr>
      <w:tr>
        <w:tc>
          <w:tcPr>
            <w:tcW w:w="3000" w:type="dxa"/>
          </w:tcPr>
          <w:p>
            <w:pPr>
              <w:spacing w:after="0" w:before="0"/>
            </w:pPr>
            <w:r/>
            <w:r>
              <w:rPr>
                <w:rFonts w:ascii="Arial" w:hAnsi="Arial" w:cs="Arial"/>
                <w:b w:val="0"/>
                <w:sz w:val="17"/>
              </w:rPr>
              <w:t>Default</w:t>
            </w:r>
          </w:p>
        </w:tc>
        <w:tc>
          <w:tcPr>
            <w:tcW w:w="6360" w:type="dxa"/>
          </w:tcPr>
          <w:p>
            <w:pPr>
              <w:spacing w:after="0" w:before="0"/>
            </w:pPr>
            <w:r/>
            <w:r>
              <w:rPr>
                <w:rFonts w:ascii="Arial" w:hAnsi="Arial" w:cs="Arial"/>
                <w:b w:val="0"/>
                <w:sz w:val="17"/>
              </w:rPr>
              <w:t>SARFAESI: 13(2) demand → possession → sale</w:t>
            </w:r>
          </w:p>
        </w:tc>
      </w:tr>
      <w:tr>
        <w:tc>
          <w:tcPr>
            <w:tcW w:w="3000" w:type="dxa"/>
          </w:tcPr>
          <w:p>
            <w:pPr>
              <w:spacing w:after="0" w:before="0"/>
            </w:pPr>
            <w:r/>
            <w:r>
              <w:rPr>
                <w:rFonts w:ascii="Arial" w:hAnsi="Arial" w:cs="Arial"/>
                <w:b w:val="0"/>
                <w:sz w:val="17"/>
              </w:rPr>
              <w:t>Short residual lease</w:t>
            </w:r>
          </w:p>
        </w:tc>
        <w:tc>
          <w:tcPr>
            <w:tcW w:w="6360" w:type="dxa"/>
          </w:tcPr>
          <w:p>
            <w:pPr>
              <w:spacing w:after="0" w:before="0"/>
            </w:pPr>
            <w:r/>
            <w:r>
              <w:rPr>
                <w:rFonts w:ascii="Arial" w:hAnsi="Arial" w:cs="Arial"/>
                <w:b w:val="0"/>
                <w:sz w:val="17"/>
              </w:rPr>
              <w:t>Cap tenure within residual period</w:t>
            </w:r>
          </w:p>
        </w:tc>
      </w:tr>
    </w:tbl>
    <w:p/>
    <w:p>
      <w:r>
        <w:rPr>
          <w:rFonts w:ascii="Arial" w:hAnsi="Arial" w:cs="Arial"/>
          <w:b w:val="0"/>
          <w:i w:val="0"/>
          <w:sz w:val="22"/>
        </w:rPr>
        <w:t>Documents &amp; integrations: Sanction letter, LAP agreement, mortgage deed, KFS, valuation &amp; legal reports, insurance; integrations — CERSAI, empanelled valuer/advocate, property registry where available.</w:t>
      </w:r>
    </w:p>
    <w:p>
      <w:pPr>
        <w:pStyle w:val="Heading2"/>
      </w:pPr>
      <w:r>
        <w:t>87.2 Gold Loan [GL]</w:t>
      </w:r>
    </w:p>
    <w:p>
      <w:r>
        <w:rPr>
          <w:rFonts w:ascii="Arial" w:hAnsi="Arial" w:cs="Arial"/>
          <w:b w:val="0"/>
          <w:i w:val="0"/>
          <w:sz w:val="22"/>
        </w:rPr>
        <w:t>A short-tenure loan against pledge of gold ornaments/coins, appraised in-branch and held in the vault.</w:t>
      </w:r>
    </w:p>
    <w:p>
      <w:r>
        <w:rPr>
          <w:rFonts w:ascii="Arial" w:hAnsi="Arial" w:cs="Arial"/>
          <w:b/>
          <w:i w:val="0"/>
          <w:sz w:val="22"/>
        </w:rPr>
        <w:t>Regulatory, eligibility &amp; policy:</w:t>
      </w:r>
    </w:p>
    <w:p>
      <w:pPr>
        <w:pStyle w:val="ListParagraph"/>
        <w:numPr>
          <w:ilvl w:val="0"/>
          <w:numId w:val="2"/>
        </w:numPr>
      </w:pPr>
      <w:r>
        <w:rPr>
          <w:rFonts w:ascii="Arial" w:hAnsi="Arial" w:cs="Arial"/>
          <w:sz w:val="22"/>
        </w:rPr>
        <w:t>LTV within the RBI-prescribed ceiling on loan value per gram; a per-gram rate table by purity is updated to the prevailing gold price.</w:t>
      </w:r>
    </w:p>
    <w:p>
      <w:pPr>
        <w:pStyle w:val="ListParagraph"/>
        <w:numPr>
          <w:ilvl w:val="0"/>
          <w:numId w:val="2"/>
        </w:numPr>
      </w:pPr>
      <w:r>
        <w:rPr>
          <w:rFonts w:ascii="Arial" w:hAnsi="Arial" w:cs="Arial"/>
          <w:sz w:val="22"/>
        </w:rPr>
        <w:t>Only gold jewellery/specified coins accepted; purity/assay verification; custody in a CCTV-monitored strong-room.</w:t>
      </w:r>
    </w:p>
    <w:p>
      <w:pPr>
        <w:pStyle w:val="ListParagraph"/>
        <w:numPr>
          <w:ilvl w:val="0"/>
          <w:numId w:val="2"/>
        </w:numPr>
      </w:pPr>
      <w:r>
        <w:rPr>
          <w:rFonts w:ascii="Arial" w:hAnsi="Arial" w:cs="Arial"/>
          <w:sz w:val="22"/>
        </w:rPr>
        <w:t>Auction on default follows prescribed notice, reserve-price and transparency norms; surplus refunded, shortfall recovered.</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Ornament Details Grid</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Item, gross wt, net wt (ex-stones/wax), purity/karat, pieces</w:t>
            </w:r>
          </w:p>
        </w:tc>
      </w:tr>
      <w:tr>
        <w:tc>
          <w:tcPr>
            <w:tcW w:w="2900" w:type="dxa"/>
          </w:tcPr>
          <w:p>
            <w:pPr>
              <w:spacing w:after="0" w:before="0"/>
            </w:pPr>
            <w:r/>
            <w:r>
              <w:rPr>
                <w:rFonts w:ascii="Arial" w:hAnsi="Arial" w:cs="Arial"/>
                <w:b w:val="0"/>
                <w:sz w:val="17"/>
              </w:rPr>
              <w:t>Appraiser Name &amp; Certification</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Empanelled in-house/external</w:t>
            </w:r>
          </w:p>
        </w:tc>
      </w:tr>
      <w:tr>
        <w:tc>
          <w:tcPr>
            <w:tcW w:w="2900" w:type="dxa"/>
          </w:tcPr>
          <w:p>
            <w:pPr>
              <w:spacing w:after="0" w:before="0"/>
            </w:pPr>
            <w:r/>
            <w:r>
              <w:rPr>
                <w:rFonts w:ascii="Arial" w:hAnsi="Arial" w:cs="Arial"/>
                <w:b w:val="0"/>
                <w:sz w:val="17"/>
              </w:rPr>
              <w:t>Purity Test Method &amp; Result</w:t>
            </w:r>
          </w:p>
        </w:tc>
        <w:tc>
          <w:tcPr>
            <w:tcW w:w="1300" w:type="dxa"/>
          </w:tcPr>
          <w:p>
            <w:pPr>
              <w:spacing w:after="0" w:before="0"/>
            </w:pPr>
            <w:r/>
            <w:r>
              <w:rPr>
                <w:rFonts w:ascii="Arial" w:hAnsi="Arial" w:cs="Arial"/>
                <w:b w:val="0"/>
                <w:sz w:val="17"/>
              </w:rPr>
              <w:t>Dropdown/Text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Touchstone/XRF/acid</w:t>
            </w:r>
          </w:p>
        </w:tc>
      </w:tr>
      <w:tr>
        <w:tc>
          <w:tcPr>
            <w:tcW w:w="2900" w:type="dxa"/>
          </w:tcPr>
          <w:p>
            <w:pPr>
              <w:spacing w:after="0" w:before="0"/>
            </w:pPr>
            <w:r/>
            <w:r>
              <w:rPr>
                <w:rFonts w:ascii="Arial" w:hAnsi="Arial" w:cs="Arial"/>
                <w:b w:val="0"/>
                <w:sz w:val="17"/>
              </w:rPr>
              <w:t>Appraised Value per Item / Total</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System-computed from purity rate table</w:t>
            </w:r>
          </w:p>
        </w:tc>
      </w:tr>
      <w:tr>
        <w:tc>
          <w:tcPr>
            <w:tcW w:w="2900" w:type="dxa"/>
          </w:tcPr>
          <w:p>
            <w:pPr>
              <w:spacing w:after="0" w:before="0"/>
            </w:pPr>
            <w:r/>
            <w:r>
              <w:rPr>
                <w:rFonts w:ascii="Arial" w:hAnsi="Arial" w:cs="Arial"/>
                <w:b w:val="0"/>
                <w:sz w:val="17"/>
              </w:rPr>
              <w:t>Photograph of Ornaments</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Packet / Pledge Card Number</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Unique per packet</w:t>
            </w:r>
          </w:p>
        </w:tc>
      </w:tr>
      <w:tr>
        <w:tc>
          <w:tcPr>
            <w:tcW w:w="2900" w:type="dxa"/>
          </w:tcPr>
          <w:p>
            <w:pPr>
              <w:spacing w:after="0" w:before="0"/>
            </w:pPr>
            <w:r/>
            <w:r>
              <w:rPr>
                <w:rFonts w:ascii="Arial" w:hAnsi="Arial" w:cs="Arial"/>
                <w:b w:val="0"/>
                <w:sz w:val="17"/>
              </w:rPr>
              <w:t>Vault / Strong-room Location &amp; Rack</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Physical custody tracking</w:t>
            </w:r>
          </w:p>
        </w:tc>
      </w:tr>
      <w:tr>
        <w:tc>
          <w:tcPr>
            <w:tcW w:w="2900" w:type="dxa"/>
          </w:tcPr>
          <w:p>
            <w:pPr>
              <w:spacing w:after="0" w:before="0"/>
            </w:pPr>
            <w:r/>
            <w:r>
              <w:rPr>
                <w:rFonts w:ascii="Arial" w:hAnsi="Arial" w:cs="Arial"/>
                <w:b w:val="0"/>
                <w:sz w:val="17"/>
              </w:rPr>
              <w:t>CCTV Reference</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Timestamp / camera at appraisal</w:t>
            </w:r>
          </w:p>
        </w:tc>
      </w:tr>
      <w:tr>
        <w:tc>
          <w:tcPr>
            <w:tcW w:w="2900" w:type="dxa"/>
          </w:tcPr>
          <w:p>
            <w:pPr>
              <w:spacing w:after="0" w:before="0"/>
            </w:pPr>
            <w:r/>
            <w:r>
              <w:rPr>
                <w:rFonts w:ascii="Arial" w:hAnsi="Arial" w:cs="Arial"/>
                <w:b w:val="0"/>
                <w:sz w:val="17"/>
              </w:rPr>
              <w:t>Insurance of Pledged Ornaments</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Vault cover</w:t>
            </w:r>
          </w:p>
        </w:tc>
      </w:tr>
      <w:tr>
        <w:tc>
          <w:tcPr>
            <w:tcW w:w="2900" w:type="dxa"/>
          </w:tcPr>
          <w:p>
            <w:pPr>
              <w:spacing w:after="0" w:before="0"/>
            </w:pPr>
            <w:r/>
            <w:r>
              <w:rPr>
                <w:rFonts w:ascii="Arial" w:hAnsi="Arial" w:cs="Arial"/>
                <w:b w:val="0"/>
                <w:sz w:val="17"/>
              </w:rPr>
              <w:t>Interest Scheme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Monthly servicing / bullet</w:t>
            </w:r>
          </w:p>
        </w:tc>
      </w:tr>
      <w:tr>
        <w:tc>
          <w:tcPr>
            <w:tcW w:w="2900" w:type="dxa"/>
          </w:tcPr>
          <w:p>
            <w:pPr>
              <w:spacing w:after="0" w:before="0"/>
            </w:pPr>
            <w:r/>
            <w:r>
              <w:rPr>
                <w:rFonts w:ascii="Arial" w:hAnsi="Arial" w:cs="Arial"/>
                <w:b w:val="0"/>
                <w:sz w:val="17"/>
              </w:rPr>
              <w:t>Auction Clause Acknowledgement</w:t>
            </w:r>
          </w:p>
        </w:tc>
        <w:tc>
          <w:tcPr>
            <w:tcW w:w="1300" w:type="dxa"/>
          </w:tcPr>
          <w:p>
            <w:pPr>
              <w:spacing w:after="0" w:before="0"/>
            </w:pPr>
            <w:r/>
            <w:r>
              <w:rPr>
                <w:rFonts w:ascii="Arial" w:hAnsi="Arial" w:cs="Arial"/>
                <w:b w:val="0"/>
                <w:sz w:val="17"/>
              </w:rPr>
              <w:t>e-sign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At agreement stage</w:t>
            </w:r>
          </w:p>
        </w:tc>
      </w:tr>
    </w:tbl>
    <w:p/>
    <w:p>
      <w:r>
        <w:rPr>
          <w:rFonts w:ascii="Arial" w:hAnsi="Arial" w:cs="Arial"/>
          <w:b/>
          <w:i w:val="0"/>
          <w:sz w:val="22"/>
        </w:rPr>
        <w:t>Computation &amp; servicing:</w:t>
      </w:r>
    </w:p>
    <w:p>
      <w:r>
        <w:rPr>
          <w:rFonts w:ascii="Arial" w:hAnsi="Arial" w:cs="Arial"/>
          <w:b w:val="0"/>
          <w:i w:val="0"/>
          <w:sz w:val="22"/>
        </w:rPr>
        <w:t>Bullet simple interest (Section 45.3.1) or monthly interest servicing; LTV = loan ÷ appraised value ≤ cap; daily gold-price monitoring for high-LTV accounts; proportionate interest recomputation on part-redemption (Section 24.11).</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Spurious / low-purity gold</w:t>
            </w:r>
          </w:p>
        </w:tc>
        <w:tc>
          <w:tcPr>
            <w:tcW w:w="6360" w:type="dxa"/>
          </w:tcPr>
          <w:p>
            <w:pPr>
              <w:spacing w:after="0" w:before="0"/>
            </w:pPr>
            <w:r/>
            <w:r>
              <w:rPr>
                <w:rFonts w:ascii="Arial" w:hAnsi="Arial" w:cs="Arial"/>
                <w:b w:val="0"/>
                <w:sz w:val="17"/>
              </w:rPr>
              <w:t>Reject at appraisal</w:t>
            </w:r>
          </w:p>
        </w:tc>
      </w:tr>
      <w:tr>
        <w:tc>
          <w:tcPr>
            <w:tcW w:w="3000" w:type="dxa"/>
          </w:tcPr>
          <w:p>
            <w:pPr>
              <w:spacing w:after="0" w:before="0"/>
            </w:pPr>
            <w:r/>
            <w:r>
              <w:rPr>
                <w:rFonts w:ascii="Arial" w:hAnsi="Arial" w:cs="Arial"/>
                <w:b w:val="0"/>
                <w:sz w:val="17"/>
              </w:rPr>
              <w:t>Gold price crash</w:t>
            </w:r>
          </w:p>
        </w:tc>
        <w:tc>
          <w:tcPr>
            <w:tcW w:w="6360" w:type="dxa"/>
          </w:tcPr>
          <w:p>
            <w:pPr>
              <w:spacing w:after="0" w:before="0"/>
            </w:pPr>
            <w:r/>
            <w:r>
              <w:rPr>
                <w:rFonts w:ascii="Arial" w:hAnsi="Arial" w:cs="Arial"/>
                <w:b w:val="0"/>
                <w:sz w:val="17"/>
              </w:rPr>
              <w:t>LTV breach → top-up / part-repay / auction</w:t>
            </w:r>
          </w:p>
        </w:tc>
      </w:tr>
      <w:tr>
        <w:tc>
          <w:tcPr>
            <w:tcW w:w="3000" w:type="dxa"/>
          </w:tcPr>
          <w:p>
            <w:pPr>
              <w:spacing w:after="0" w:before="0"/>
            </w:pPr>
            <w:r/>
            <w:r>
              <w:rPr>
                <w:rFonts w:ascii="Arial" w:hAnsi="Arial" w:cs="Arial"/>
                <w:b w:val="0"/>
                <w:sz w:val="17"/>
              </w:rPr>
              <w:t>Non-redemption at maturity</w:t>
            </w:r>
          </w:p>
        </w:tc>
        <w:tc>
          <w:tcPr>
            <w:tcW w:w="6360" w:type="dxa"/>
          </w:tcPr>
          <w:p>
            <w:pPr>
              <w:spacing w:after="0" w:before="0"/>
            </w:pPr>
            <w:r/>
            <w:r>
              <w:rPr>
                <w:rFonts w:ascii="Arial" w:hAnsi="Arial" w:cs="Arial"/>
                <w:b w:val="0"/>
                <w:sz w:val="17"/>
              </w:rPr>
              <w:t>Notice → auction</w:t>
            </w:r>
          </w:p>
        </w:tc>
      </w:tr>
      <w:tr>
        <w:tc>
          <w:tcPr>
            <w:tcW w:w="3000" w:type="dxa"/>
          </w:tcPr>
          <w:p>
            <w:pPr>
              <w:spacing w:after="0" w:before="0"/>
            </w:pPr>
            <w:r/>
            <w:r>
              <w:rPr>
                <w:rFonts w:ascii="Arial" w:hAnsi="Arial" w:cs="Arial"/>
                <w:b w:val="0"/>
                <w:sz w:val="17"/>
              </w:rPr>
              <w:t>Part-release of ornaments</w:t>
            </w:r>
          </w:p>
        </w:tc>
        <w:tc>
          <w:tcPr>
            <w:tcW w:w="6360" w:type="dxa"/>
          </w:tcPr>
          <w:p>
            <w:pPr>
              <w:spacing w:after="0" w:before="0"/>
            </w:pPr>
            <w:r/>
            <w:r>
              <w:rPr>
                <w:rFonts w:ascii="Arial" w:hAnsi="Arial" w:cs="Arial"/>
                <w:b w:val="0"/>
                <w:sz w:val="17"/>
              </w:rPr>
              <w:t>Proportionate repayment; re-appraise remainder</w:t>
            </w:r>
          </w:p>
        </w:tc>
      </w:tr>
      <w:tr>
        <w:tc>
          <w:tcPr>
            <w:tcW w:w="3000" w:type="dxa"/>
          </w:tcPr>
          <w:p>
            <w:pPr>
              <w:spacing w:after="0" w:before="0"/>
            </w:pPr>
            <w:r/>
            <w:r>
              <w:rPr>
                <w:rFonts w:ascii="Arial" w:hAnsi="Arial" w:cs="Arial"/>
                <w:b w:val="0"/>
                <w:sz w:val="17"/>
              </w:rPr>
              <w:t>Re-pledge / top-up</w:t>
            </w:r>
          </w:p>
        </w:tc>
        <w:tc>
          <w:tcPr>
            <w:tcW w:w="6360" w:type="dxa"/>
          </w:tcPr>
          <w:p>
            <w:pPr>
              <w:spacing w:after="0" w:before="0"/>
            </w:pPr>
            <w:r/>
            <w:r>
              <w:rPr>
                <w:rFonts w:ascii="Arial" w:hAnsi="Arial" w:cs="Arial"/>
                <w:b w:val="0"/>
                <w:sz w:val="17"/>
              </w:rPr>
              <w:t>Revalue at current rate</w:t>
            </w:r>
          </w:p>
        </w:tc>
      </w:tr>
      <w:tr>
        <w:tc>
          <w:tcPr>
            <w:tcW w:w="3000" w:type="dxa"/>
          </w:tcPr>
          <w:p>
            <w:pPr>
              <w:spacing w:after="0" w:before="0"/>
            </w:pPr>
            <w:r/>
            <w:r>
              <w:rPr>
                <w:rFonts w:ascii="Arial" w:hAnsi="Arial" w:cs="Arial"/>
                <w:b w:val="0"/>
                <w:sz w:val="17"/>
              </w:rPr>
              <w:t>Auction surplus / shortfall</w:t>
            </w:r>
          </w:p>
        </w:tc>
        <w:tc>
          <w:tcPr>
            <w:tcW w:w="6360" w:type="dxa"/>
          </w:tcPr>
          <w:p>
            <w:pPr>
              <w:spacing w:after="0" w:before="0"/>
            </w:pPr>
            <w:r/>
            <w:r>
              <w:rPr>
                <w:rFonts w:ascii="Arial" w:hAnsi="Arial" w:cs="Arial"/>
                <w:b w:val="0"/>
                <w:sz w:val="17"/>
              </w:rPr>
              <w:t>Refund surplus / recover shortfall</w:t>
            </w:r>
          </w:p>
        </w:tc>
      </w:tr>
      <w:tr>
        <w:tc>
          <w:tcPr>
            <w:tcW w:w="3000" w:type="dxa"/>
          </w:tcPr>
          <w:p>
            <w:pPr>
              <w:spacing w:after="0" w:before="0"/>
            </w:pPr>
            <w:r/>
            <w:r>
              <w:rPr>
                <w:rFonts w:ascii="Arial" w:hAnsi="Arial" w:cs="Arial"/>
                <w:b w:val="0"/>
                <w:sz w:val="17"/>
              </w:rPr>
              <w:t>Vault theft / loss</w:t>
            </w:r>
          </w:p>
        </w:tc>
        <w:tc>
          <w:tcPr>
            <w:tcW w:w="6360" w:type="dxa"/>
          </w:tcPr>
          <w:p>
            <w:pPr>
              <w:spacing w:after="0" w:before="0"/>
            </w:pPr>
            <w:r/>
            <w:r>
              <w:rPr>
                <w:rFonts w:ascii="Arial" w:hAnsi="Arial" w:cs="Arial"/>
                <w:b w:val="0"/>
                <w:sz w:val="17"/>
              </w:rPr>
              <w:t>Insurance claim; borrower made whole per policy</w:t>
            </w:r>
          </w:p>
        </w:tc>
      </w:tr>
    </w:tbl>
    <w:p/>
    <w:p>
      <w:r>
        <w:rPr>
          <w:rFonts w:ascii="Arial" w:hAnsi="Arial" w:cs="Arial"/>
          <w:b w:val="0"/>
          <w:i w:val="0"/>
          <w:sz w:val="22"/>
        </w:rPr>
        <w:t>Documents &amp; integrations: Pledge agreement, packet card, appraisal certificate, auction notice, KFS; integrations — gold-price feed, empanelled appraiser, insurer.</w:t>
      </w:r>
    </w:p>
    <w:p>
      <w:pPr>
        <w:pStyle w:val="Heading2"/>
      </w:pPr>
      <w:r>
        <w:t>87.3 Vehicle / Two-Wheeler Loan [VL / TW]</w:t>
      </w:r>
    </w:p>
    <w:p>
      <w:r>
        <w:rPr>
          <w:rFonts w:ascii="Arial" w:hAnsi="Arial" w:cs="Arial"/>
          <w:b w:val="0"/>
          <w:i w:val="0"/>
          <w:sz w:val="22"/>
        </w:rPr>
        <w:t>Financing of new and used cars and two-wheelers, secured by hypothecation of the vehicle.</w:t>
      </w:r>
    </w:p>
    <w:p>
      <w:r>
        <w:rPr>
          <w:rFonts w:ascii="Arial" w:hAnsi="Arial" w:cs="Arial"/>
          <w:b/>
          <w:i w:val="0"/>
          <w:sz w:val="22"/>
        </w:rPr>
        <w:t>Regulatory, eligibility &amp; policy:</w:t>
      </w:r>
    </w:p>
    <w:p>
      <w:pPr>
        <w:pStyle w:val="ListParagraph"/>
        <w:numPr>
          <w:ilvl w:val="0"/>
          <w:numId w:val="2"/>
        </w:numPr>
      </w:pPr>
      <w:r>
        <w:rPr>
          <w:rFonts w:ascii="Arial" w:hAnsi="Arial" w:cs="Arial"/>
          <w:sz w:val="22"/>
        </w:rPr>
        <w:t>LTV by vehicle type/age; hypothecation endorsed at the RTO and verified via Vahan; comprehensive insurance with the lender as loss payee.</w:t>
      </w:r>
    </w:p>
    <w:p>
      <w:pPr>
        <w:pStyle w:val="ListParagraph"/>
        <w:numPr>
          <w:ilvl w:val="0"/>
          <w:numId w:val="2"/>
        </w:numPr>
      </w:pPr>
      <w:r>
        <w:rPr>
          <w:rFonts w:ascii="Arial" w:hAnsi="Arial" w:cs="Arial"/>
          <w:sz w:val="22"/>
        </w:rPr>
        <w:t>Dealer/DSA sourcing via an empanelled master; independent valuation for used vehicles.</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Vehicle Type/Make/Model/Variant</w:t>
            </w:r>
          </w:p>
        </w:tc>
        <w:tc>
          <w:tcPr>
            <w:tcW w:w="1300" w:type="dxa"/>
          </w:tcPr>
          <w:p>
            <w:pPr>
              <w:spacing w:after="0" w:before="0"/>
            </w:pPr>
            <w:r/>
            <w:r>
              <w:rPr>
                <w:rFonts w:ascii="Arial" w:hAnsi="Arial" w:cs="Arial"/>
                <w:b w:val="0"/>
                <w:sz w:val="17"/>
              </w:rPr>
              <w:t>Dropdown/Text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New / Used Flag</w:t>
            </w:r>
          </w:p>
        </w:tc>
        <w:tc>
          <w:tcPr>
            <w:tcW w:w="1300" w:type="dxa"/>
          </w:tcPr>
          <w:p>
            <w:pPr>
              <w:spacing w:after="0" w:before="0"/>
            </w:pPr>
            <w:r/>
            <w:r>
              <w:rPr>
                <w:rFonts w:ascii="Arial" w:hAnsi="Arial" w:cs="Arial"/>
                <w:b w:val="0"/>
                <w:sz w:val="17"/>
              </w:rPr>
              <w:t>Boolean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Drives LTV &amp; valuation</w:t>
            </w:r>
          </w:p>
        </w:tc>
      </w:tr>
      <w:tr>
        <w:tc>
          <w:tcPr>
            <w:tcW w:w="2900" w:type="dxa"/>
          </w:tcPr>
          <w:p>
            <w:pPr>
              <w:spacing w:after="0" w:before="0"/>
            </w:pPr>
            <w:r/>
            <w:r>
              <w:rPr>
                <w:rFonts w:ascii="Arial" w:hAnsi="Arial" w:cs="Arial"/>
                <w:b w:val="0"/>
                <w:sz w:val="17"/>
              </w:rPr>
              <w:t>Ex-showroom / On-road Price</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Dealer Name &amp; Code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Empanelled</w:t>
            </w:r>
          </w:p>
        </w:tc>
      </w:tr>
      <w:tr>
        <w:tc>
          <w:tcPr>
            <w:tcW w:w="2900" w:type="dxa"/>
          </w:tcPr>
          <w:p>
            <w:pPr>
              <w:spacing w:after="0" w:before="0"/>
            </w:pPr>
            <w:r/>
            <w:r>
              <w:rPr>
                <w:rFonts w:ascii="Arial" w:hAnsi="Arial" w:cs="Arial"/>
                <w:b w:val="0"/>
                <w:sz w:val="17"/>
              </w:rPr>
              <w:t>Invoice Number &amp; Date</w:t>
            </w:r>
          </w:p>
        </w:tc>
        <w:tc>
          <w:tcPr>
            <w:tcW w:w="1300" w:type="dxa"/>
          </w:tcPr>
          <w:p>
            <w:pPr>
              <w:spacing w:after="0" w:before="0"/>
            </w:pPr>
            <w:r/>
            <w:r>
              <w:rPr>
                <w:rFonts w:ascii="Arial" w:hAnsi="Arial" w:cs="Arial"/>
                <w:b w:val="0"/>
                <w:sz w:val="17"/>
              </w:rPr>
              <w:t>Text/Date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Down Payment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Chassis / Engine Number</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Registration Number</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Post-RTO registration</w:t>
            </w:r>
          </w:p>
        </w:tc>
      </w:tr>
      <w:tr>
        <w:tc>
          <w:tcPr>
            <w:tcW w:w="2900" w:type="dxa"/>
          </w:tcPr>
          <w:p>
            <w:pPr>
              <w:spacing w:after="0" w:before="0"/>
            </w:pPr>
            <w:r/>
            <w:r>
              <w:rPr>
                <w:rFonts w:ascii="Arial" w:hAnsi="Arial" w:cs="Arial"/>
                <w:b w:val="0"/>
                <w:sz w:val="17"/>
              </w:rPr>
              <w:t>RC Copy</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Insurance Policy &amp; Validity</w:t>
            </w:r>
          </w:p>
        </w:tc>
        <w:tc>
          <w:tcPr>
            <w:tcW w:w="1300" w:type="dxa"/>
          </w:tcPr>
          <w:p>
            <w:pPr>
              <w:spacing w:after="0" w:before="0"/>
            </w:pPr>
            <w:r/>
            <w:r>
              <w:rPr>
                <w:rFonts w:ascii="Arial" w:hAnsi="Arial" w:cs="Arial"/>
                <w:b w:val="0"/>
                <w:sz w:val="17"/>
              </w:rPr>
              <w:t>Text/Date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Lender as loss payee</w:t>
            </w:r>
          </w:p>
        </w:tc>
      </w:tr>
      <w:tr>
        <w:tc>
          <w:tcPr>
            <w:tcW w:w="2900" w:type="dxa"/>
          </w:tcPr>
          <w:p>
            <w:pPr>
              <w:spacing w:after="0" w:before="0"/>
            </w:pPr>
            <w:r/>
            <w:r>
              <w:rPr>
                <w:rFonts w:ascii="Arial" w:hAnsi="Arial" w:cs="Arial"/>
                <w:b w:val="0"/>
                <w:sz w:val="17"/>
              </w:rPr>
              <w:t>Hypothecation Endorsement (Vahan)</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Pending/Confirmed</w:t>
            </w:r>
          </w:p>
        </w:tc>
      </w:tr>
      <w:tr>
        <w:tc>
          <w:tcPr>
            <w:tcW w:w="2900" w:type="dxa"/>
          </w:tcPr>
          <w:p>
            <w:pPr>
              <w:spacing w:after="0" w:before="0"/>
            </w:pPr>
            <w:r/>
            <w:r>
              <w:rPr>
                <w:rFonts w:ascii="Arial" w:hAnsi="Arial" w:cs="Arial"/>
                <w:b w:val="0"/>
                <w:sz w:val="17"/>
              </w:rPr>
              <w:t>Used-Vehicle Valuation</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Pre-owned</w:t>
            </w:r>
          </w:p>
        </w:tc>
      </w:tr>
    </w:tbl>
    <w:p/>
    <w:p>
      <w:r>
        <w:rPr>
          <w:rFonts w:ascii="Arial" w:hAnsi="Arial" w:cs="Arial"/>
          <w:b/>
          <w:i w:val="0"/>
          <w:sz w:val="22"/>
        </w:rPr>
        <w:t>Computation &amp; servicing:</w:t>
      </w:r>
    </w:p>
    <w:p>
      <w:r>
        <w:rPr>
          <w:rFonts w:ascii="Arial" w:hAnsi="Arial" w:cs="Arial"/>
          <w:b w:val="0"/>
          <w:i w:val="0"/>
          <w:sz w:val="22"/>
        </w:rPr>
        <w:t>Reducing-balance EMI, frequently advance EMI (Section 45.3.10); financed amount = on-road price less down payment within LTV; hypothecation charge marked; insurance-renewal and end-of-term tracking.</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RTO hypothecation delay</w:t>
            </w:r>
          </w:p>
        </w:tc>
        <w:tc>
          <w:tcPr>
            <w:tcW w:w="6360" w:type="dxa"/>
          </w:tcPr>
          <w:p>
            <w:pPr>
              <w:spacing w:after="0" w:before="0"/>
            </w:pPr>
            <w:r/>
            <w:r>
              <w:rPr>
                <w:rFonts w:ascii="Arial" w:hAnsi="Arial" w:cs="Arial"/>
                <w:b w:val="0"/>
                <w:sz w:val="17"/>
              </w:rPr>
              <w:t>Track to confirmation before/at disbursal per policy</w:t>
            </w:r>
          </w:p>
        </w:tc>
      </w:tr>
      <w:tr>
        <w:tc>
          <w:tcPr>
            <w:tcW w:w="3000" w:type="dxa"/>
          </w:tcPr>
          <w:p>
            <w:pPr>
              <w:spacing w:after="0" w:before="0"/>
            </w:pPr>
            <w:r/>
            <w:r>
              <w:rPr>
                <w:rFonts w:ascii="Arial" w:hAnsi="Arial" w:cs="Arial"/>
                <w:b w:val="0"/>
                <w:sz w:val="17"/>
              </w:rPr>
              <w:t>Insurance lapse</w:t>
            </w:r>
          </w:p>
        </w:tc>
        <w:tc>
          <w:tcPr>
            <w:tcW w:w="6360" w:type="dxa"/>
          </w:tcPr>
          <w:p>
            <w:pPr>
              <w:spacing w:after="0" w:before="0"/>
            </w:pPr>
            <w:r/>
            <w:r>
              <w:rPr>
                <w:rFonts w:ascii="Arial" w:hAnsi="Arial" w:cs="Arial"/>
                <w:b w:val="0"/>
                <w:sz w:val="17"/>
              </w:rPr>
              <w:t>Force-place cover; penal charge</w:t>
            </w:r>
          </w:p>
        </w:tc>
      </w:tr>
      <w:tr>
        <w:tc>
          <w:tcPr>
            <w:tcW w:w="3000" w:type="dxa"/>
          </w:tcPr>
          <w:p>
            <w:pPr>
              <w:spacing w:after="0" w:before="0"/>
            </w:pPr>
            <w:r/>
            <w:r>
              <w:rPr>
                <w:rFonts w:ascii="Arial" w:hAnsi="Arial" w:cs="Arial"/>
                <w:b w:val="0"/>
                <w:sz w:val="17"/>
              </w:rPr>
              <w:t>Default</w:t>
            </w:r>
          </w:p>
        </w:tc>
        <w:tc>
          <w:tcPr>
            <w:tcW w:w="6360" w:type="dxa"/>
          </w:tcPr>
          <w:p>
            <w:pPr>
              <w:spacing w:after="0" w:before="0"/>
            </w:pPr>
            <w:r/>
            <w:r>
              <w:rPr>
                <w:rFonts w:ascii="Arial" w:hAnsi="Arial" w:cs="Arial"/>
                <w:b w:val="0"/>
                <w:sz w:val="17"/>
              </w:rPr>
              <w:t>Repossession: notice → yard → sale (Section 7)</w:t>
            </w:r>
          </w:p>
        </w:tc>
      </w:tr>
      <w:tr>
        <w:tc>
          <w:tcPr>
            <w:tcW w:w="3000" w:type="dxa"/>
          </w:tcPr>
          <w:p>
            <w:pPr>
              <w:spacing w:after="0" w:before="0"/>
            </w:pPr>
            <w:r/>
            <w:r>
              <w:rPr>
                <w:rFonts w:ascii="Arial" w:hAnsi="Arial" w:cs="Arial"/>
                <w:b w:val="0"/>
                <w:sz w:val="17"/>
              </w:rPr>
              <w:t>Used-vehicle valuation shortfall</w:t>
            </w:r>
          </w:p>
        </w:tc>
        <w:tc>
          <w:tcPr>
            <w:tcW w:w="6360" w:type="dxa"/>
          </w:tcPr>
          <w:p>
            <w:pPr>
              <w:spacing w:after="0" w:before="0"/>
            </w:pPr>
            <w:r/>
            <w:r>
              <w:rPr>
                <w:rFonts w:ascii="Arial" w:hAnsi="Arial" w:cs="Arial"/>
                <w:b w:val="0"/>
                <w:sz w:val="17"/>
              </w:rPr>
              <w:t>Reduce LTV/sanction</w:t>
            </w:r>
          </w:p>
        </w:tc>
      </w:tr>
      <w:tr>
        <w:tc>
          <w:tcPr>
            <w:tcW w:w="3000" w:type="dxa"/>
          </w:tcPr>
          <w:p>
            <w:pPr>
              <w:spacing w:after="0" w:before="0"/>
            </w:pPr>
            <w:r/>
            <w:r>
              <w:rPr>
                <w:rFonts w:ascii="Arial" w:hAnsi="Arial" w:cs="Arial"/>
                <w:b w:val="0"/>
                <w:sz w:val="17"/>
              </w:rPr>
              <w:t>Dealer subvention (no-cost EMI)</w:t>
            </w:r>
          </w:p>
        </w:tc>
        <w:tc>
          <w:tcPr>
            <w:tcW w:w="6360" w:type="dxa"/>
          </w:tcPr>
          <w:p>
            <w:pPr>
              <w:spacing w:after="0" w:before="0"/>
            </w:pPr>
            <w:r/>
            <w:r>
              <w:rPr>
                <w:rFonts w:ascii="Arial" w:hAnsi="Arial" w:cs="Arial"/>
                <w:b w:val="0"/>
                <w:sz w:val="17"/>
              </w:rPr>
              <w:t>Per Section 45.7</w:t>
            </w:r>
          </w:p>
        </w:tc>
      </w:tr>
      <w:tr>
        <w:tc>
          <w:tcPr>
            <w:tcW w:w="3000" w:type="dxa"/>
          </w:tcPr>
          <w:p>
            <w:pPr>
              <w:spacing w:after="0" w:before="0"/>
            </w:pPr>
            <w:r/>
            <w:r>
              <w:rPr>
                <w:rFonts w:ascii="Arial" w:hAnsi="Arial" w:cs="Arial"/>
                <w:b w:val="0"/>
                <w:sz w:val="17"/>
              </w:rPr>
              <w:t>Total loss / theft</w:t>
            </w:r>
          </w:p>
        </w:tc>
        <w:tc>
          <w:tcPr>
            <w:tcW w:w="6360" w:type="dxa"/>
          </w:tcPr>
          <w:p>
            <w:pPr>
              <w:spacing w:after="0" w:before="0"/>
            </w:pPr>
            <w:r/>
            <w:r>
              <w:rPr>
                <w:rFonts w:ascii="Arial" w:hAnsi="Arial" w:cs="Arial"/>
                <w:b w:val="0"/>
                <w:sz w:val="17"/>
              </w:rPr>
              <w:t>Insurance settlement applied to the loan</w:t>
            </w:r>
          </w:p>
        </w:tc>
      </w:tr>
    </w:tbl>
    <w:p/>
    <w:p>
      <w:r>
        <w:rPr>
          <w:rFonts w:ascii="Arial" w:hAnsi="Arial" w:cs="Arial"/>
          <w:b w:val="0"/>
          <w:i w:val="0"/>
          <w:sz w:val="22"/>
        </w:rPr>
        <w:t>Documents &amp; integrations: Sanction, hypothecation agreement, RC, insurance, KFS; integrations — Vahan/MoRTH, insurer, dealer master.</w:t>
      </w:r>
    </w:p>
    <w:p>
      <w:pPr>
        <w:pStyle w:val="Heading2"/>
      </w:pPr>
      <w:r>
        <w:t>87.4 Commercial Vehicle &amp; Construction Equipment (CV/CE) [CVCE]</w:t>
      </w:r>
    </w:p>
    <w:p>
      <w:r>
        <w:rPr>
          <w:rFonts w:ascii="Arial" w:hAnsi="Arial" w:cs="Arial"/>
          <w:b w:val="0"/>
          <w:i w:val="0"/>
          <w:sz w:val="22"/>
        </w:rPr>
        <w:t>Financing of trucks, buses, tippers and earth-moving/construction equipment, including fleet-financing structures — higher ticket than passenger vehicles.</w:t>
      </w:r>
    </w:p>
    <w:p>
      <w:r>
        <w:rPr>
          <w:rFonts w:ascii="Arial" w:hAnsi="Arial" w:cs="Arial"/>
          <w:b/>
          <w:i w:val="0"/>
          <w:sz w:val="22"/>
        </w:rPr>
        <w:t>Regulatory, eligibility &amp; policy:</w:t>
      </w:r>
    </w:p>
    <w:p>
      <w:pPr>
        <w:pStyle w:val="ListParagraph"/>
        <w:numPr>
          <w:ilvl w:val="0"/>
          <w:numId w:val="2"/>
        </w:numPr>
      </w:pPr>
      <w:r>
        <w:rPr>
          <w:rFonts w:ascii="Arial" w:hAnsi="Arial" w:cs="Arial"/>
          <w:sz w:val="22"/>
        </w:rPr>
        <w:t>Hypothecation on commercial registries; permit/route documentation for transport vehicles; fleet facility limits for multi-unit operators.</w:t>
      </w:r>
    </w:p>
    <w:p>
      <w:pPr>
        <w:pStyle w:val="ListParagraph"/>
        <w:numPr>
          <w:ilvl w:val="0"/>
          <w:numId w:val="2"/>
        </w:numPr>
      </w:pPr>
      <w:r>
        <w:rPr>
          <w:rFonts w:ascii="Arial" w:hAnsi="Arial" w:cs="Arial"/>
          <w:sz w:val="22"/>
        </w:rPr>
        <w:t>Underwriting on route/trip economics or fleet cash flow rather than salary.</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Vehicle/Equipment Category</w:t>
            </w:r>
          </w:p>
        </w:tc>
        <w:tc>
          <w:tcPr>
            <w:tcW w:w="1300" w:type="dxa"/>
          </w:tcPr>
          <w:p>
            <w:pPr>
              <w:spacing w:after="0" w:before="0"/>
            </w:pPr>
            <w:r/>
            <w:r>
              <w:rPr>
                <w:rFonts w:ascii="Arial" w:hAnsi="Arial" w:cs="Arial"/>
                <w:b w:val="0"/>
                <w:sz w:val="17"/>
              </w:rPr>
              <w:t>Multi-select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Truck/Bus/Tipper/Excavator/Loader/Crane</w:t>
            </w:r>
          </w:p>
        </w:tc>
      </w:tr>
      <w:tr>
        <w:tc>
          <w:tcPr>
            <w:tcW w:w="2900" w:type="dxa"/>
          </w:tcPr>
          <w:p>
            <w:pPr>
              <w:spacing w:after="0" w:before="0"/>
            </w:pPr>
            <w:r/>
            <w:r>
              <w:rPr>
                <w:rFonts w:ascii="Arial" w:hAnsi="Arial" w:cs="Arial"/>
                <w:b w:val="0"/>
                <w:sz w:val="17"/>
              </w:rPr>
              <w:t>Make/Model &amp; Chassis/Serial No.</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New / Used Flag &amp; Valuation</w:t>
            </w:r>
          </w:p>
        </w:tc>
        <w:tc>
          <w:tcPr>
            <w:tcW w:w="1300" w:type="dxa"/>
          </w:tcPr>
          <w:p>
            <w:pPr>
              <w:spacing w:after="0" w:before="0"/>
            </w:pPr>
            <w:r/>
            <w:r>
              <w:rPr>
                <w:rFonts w:ascii="Arial" w:hAnsi="Arial" w:cs="Arial"/>
                <w:b w:val="0"/>
                <w:sz w:val="17"/>
              </w:rPr>
              <w:t>Boolean/File</w:t>
            </w:r>
          </w:p>
        </w:tc>
        <w:tc>
          <w:tcPr>
            <w:tcW w:w="1300" w:type="dxa"/>
          </w:tcPr>
          <w:p>
            <w:pPr>
              <w:spacing w:after="0" w:before="0"/>
            </w:pPr>
            <w:r/>
            <w:r>
              <w:rPr>
                <w:rFonts w:ascii="Arial" w:hAnsi="Arial" w:cs="Arial"/>
                <w:b w:val="0"/>
                <w:sz w:val="17"/>
              </w:rPr>
              <w:t>Yes/Cond</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Permit / Route Details</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Transport permits</w:t>
            </w:r>
          </w:p>
        </w:tc>
      </w:tr>
      <w:tr>
        <w:tc>
          <w:tcPr>
            <w:tcW w:w="2900" w:type="dxa"/>
          </w:tcPr>
          <w:p>
            <w:pPr>
              <w:spacing w:after="0" w:before="0"/>
            </w:pPr>
            <w:r/>
            <w:r>
              <w:rPr>
                <w:rFonts w:ascii="Arial" w:hAnsi="Arial" w:cs="Arial"/>
                <w:b w:val="0"/>
                <w:sz w:val="17"/>
              </w:rPr>
              <w:t>Fleet Size (multi-unit)</w:t>
            </w:r>
          </w:p>
        </w:tc>
        <w:tc>
          <w:tcPr>
            <w:tcW w:w="1300" w:type="dxa"/>
          </w:tcPr>
          <w:p>
            <w:pPr>
              <w:spacing w:after="0" w:before="0"/>
            </w:pPr>
            <w:r/>
            <w:r>
              <w:rPr>
                <w:rFonts w:ascii="Arial" w:hAnsi="Arial" w:cs="Arial"/>
                <w:b w:val="0"/>
                <w:sz w:val="17"/>
              </w:rPr>
              <w:t>Number</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Fleet facility</w:t>
            </w:r>
          </w:p>
        </w:tc>
      </w:tr>
      <w:tr>
        <w:tc>
          <w:tcPr>
            <w:tcW w:w="2900" w:type="dxa"/>
          </w:tcPr>
          <w:p>
            <w:pPr>
              <w:spacing w:after="0" w:before="0"/>
            </w:pPr>
            <w:r/>
            <w:r>
              <w:rPr>
                <w:rFonts w:ascii="Arial" w:hAnsi="Arial" w:cs="Arial"/>
                <w:b w:val="0"/>
                <w:sz w:val="17"/>
              </w:rPr>
              <w:t>Operator Vintage / Existing Fleet</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Experience &amp; existing units</w:t>
            </w:r>
          </w:p>
        </w:tc>
      </w:tr>
      <w:tr>
        <w:tc>
          <w:tcPr>
            <w:tcW w:w="2900" w:type="dxa"/>
          </w:tcPr>
          <w:p>
            <w:pPr>
              <w:spacing w:after="0" w:before="0"/>
            </w:pPr>
            <w:r/>
            <w:r>
              <w:rPr>
                <w:rFonts w:ascii="Arial" w:hAnsi="Arial" w:cs="Arial"/>
                <w:b w:val="0"/>
                <w:sz w:val="17"/>
              </w:rPr>
              <w:t>Hypothecation Endorsement</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Commercial registry</w:t>
            </w:r>
          </w:p>
        </w:tc>
      </w:tr>
      <w:tr>
        <w:tc>
          <w:tcPr>
            <w:tcW w:w="2900" w:type="dxa"/>
          </w:tcPr>
          <w:p>
            <w:pPr>
              <w:spacing w:after="0" w:before="0"/>
            </w:pPr>
            <w:r/>
            <w:r>
              <w:rPr>
                <w:rFonts w:ascii="Arial" w:hAnsi="Arial" w:cs="Arial"/>
                <w:b w:val="0"/>
                <w:sz w:val="17"/>
              </w:rPr>
              <w:t>Comprehensive + Third-Party Insurance</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bl>
    <w:p/>
    <w:p>
      <w:r>
        <w:rPr>
          <w:rFonts w:ascii="Arial" w:hAnsi="Arial" w:cs="Arial"/>
          <w:b/>
          <w:i w:val="0"/>
          <w:sz w:val="22"/>
        </w:rPr>
        <w:t>Computation &amp; servicing:</w:t>
      </w:r>
    </w:p>
    <w:p>
      <w:r>
        <w:rPr>
          <w:rFonts w:ascii="Arial" w:hAnsi="Arial" w:cs="Arial"/>
          <w:b w:val="0"/>
          <w:i w:val="0"/>
          <w:sz w:val="22"/>
        </w:rPr>
        <w:t>Reducing-balance EMI; fleet facilities apply multi-unit limits; income assessed on route/trip economics or consolidated fleet cash flow; used-equipment valuation for pre-owned.</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Multi-unit fleet application</w:t>
            </w:r>
          </w:p>
        </w:tc>
        <w:tc>
          <w:tcPr>
            <w:tcW w:w="6360" w:type="dxa"/>
          </w:tcPr>
          <w:p>
            <w:pPr>
              <w:spacing w:after="0" w:before="0"/>
            </w:pPr>
            <w:r/>
            <w:r>
              <w:rPr>
                <w:rFonts w:ascii="Arial" w:hAnsi="Arial" w:cs="Arial"/>
                <w:b w:val="0"/>
                <w:sz w:val="17"/>
              </w:rPr>
              <w:t>Fleet limit; unit-wise hypothecation</w:t>
            </w:r>
          </w:p>
        </w:tc>
      </w:tr>
      <w:tr>
        <w:tc>
          <w:tcPr>
            <w:tcW w:w="3000" w:type="dxa"/>
          </w:tcPr>
          <w:p>
            <w:pPr>
              <w:spacing w:after="0" w:before="0"/>
            </w:pPr>
            <w:r/>
            <w:r>
              <w:rPr>
                <w:rFonts w:ascii="Arial" w:hAnsi="Arial" w:cs="Arial"/>
                <w:b w:val="0"/>
                <w:sz w:val="17"/>
              </w:rPr>
              <w:t>Permit expiry</w:t>
            </w:r>
          </w:p>
        </w:tc>
        <w:tc>
          <w:tcPr>
            <w:tcW w:w="6360" w:type="dxa"/>
          </w:tcPr>
          <w:p>
            <w:pPr>
              <w:spacing w:after="0" w:before="0"/>
            </w:pPr>
            <w:r/>
            <w:r>
              <w:rPr>
                <w:rFonts w:ascii="Arial" w:hAnsi="Arial" w:cs="Arial"/>
                <w:b w:val="0"/>
                <w:sz w:val="17"/>
              </w:rPr>
              <w:t>Flag; recovery/early-warning</w:t>
            </w:r>
          </w:p>
        </w:tc>
      </w:tr>
      <w:tr>
        <w:tc>
          <w:tcPr>
            <w:tcW w:w="3000" w:type="dxa"/>
          </w:tcPr>
          <w:p>
            <w:pPr>
              <w:spacing w:after="0" w:before="0"/>
            </w:pPr>
            <w:r/>
            <w:r>
              <w:rPr>
                <w:rFonts w:ascii="Arial" w:hAnsi="Arial" w:cs="Arial"/>
                <w:b w:val="0"/>
                <w:sz w:val="17"/>
              </w:rPr>
              <w:t>Route/economics deterioration</w:t>
            </w:r>
          </w:p>
        </w:tc>
        <w:tc>
          <w:tcPr>
            <w:tcW w:w="6360" w:type="dxa"/>
          </w:tcPr>
          <w:p>
            <w:pPr>
              <w:spacing w:after="0" w:before="0"/>
            </w:pPr>
            <w:r/>
            <w:r>
              <w:rPr>
                <w:rFonts w:ascii="Arial" w:hAnsi="Arial" w:cs="Arial"/>
                <w:b w:val="0"/>
                <w:sz w:val="17"/>
              </w:rPr>
              <w:t>Early-warning (Section 37)</w:t>
            </w:r>
          </w:p>
        </w:tc>
      </w:tr>
      <w:tr>
        <w:tc>
          <w:tcPr>
            <w:tcW w:w="3000" w:type="dxa"/>
          </w:tcPr>
          <w:p>
            <w:pPr>
              <w:spacing w:after="0" w:before="0"/>
            </w:pPr>
            <w:r/>
            <w:r>
              <w:rPr>
                <w:rFonts w:ascii="Arial" w:hAnsi="Arial" w:cs="Arial"/>
                <w:b w:val="0"/>
                <w:sz w:val="17"/>
              </w:rPr>
              <w:t>Default</w:t>
            </w:r>
          </w:p>
        </w:tc>
        <w:tc>
          <w:tcPr>
            <w:tcW w:w="6360" w:type="dxa"/>
          </w:tcPr>
          <w:p>
            <w:pPr>
              <w:spacing w:after="0" w:before="0"/>
            </w:pPr>
            <w:r/>
            <w:r>
              <w:rPr>
                <w:rFonts w:ascii="Arial" w:hAnsi="Arial" w:cs="Arial"/>
                <w:b w:val="0"/>
                <w:sz w:val="17"/>
              </w:rPr>
              <w:t>Repossession &amp; sale</w:t>
            </w:r>
          </w:p>
        </w:tc>
      </w:tr>
      <w:tr>
        <w:tc>
          <w:tcPr>
            <w:tcW w:w="3000" w:type="dxa"/>
          </w:tcPr>
          <w:p>
            <w:pPr>
              <w:spacing w:after="0" w:before="0"/>
            </w:pPr>
            <w:r/>
            <w:r>
              <w:rPr>
                <w:rFonts w:ascii="Arial" w:hAnsi="Arial" w:cs="Arial"/>
                <w:b w:val="0"/>
                <w:sz w:val="17"/>
              </w:rPr>
              <w:t>Used-equipment valuation</w:t>
            </w:r>
          </w:p>
        </w:tc>
        <w:tc>
          <w:tcPr>
            <w:tcW w:w="6360" w:type="dxa"/>
          </w:tcPr>
          <w:p>
            <w:pPr>
              <w:spacing w:after="0" w:before="0"/>
            </w:pPr>
            <w:r/>
            <w:r>
              <w:rPr>
                <w:rFonts w:ascii="Arial" w:hAnsi="Arial" w:cs="Arial"/>
                <w:b w:val="0"/>
                <w:sz w:val="17"/>
              </w:rPr>
              <w:t>Independent valuation; LTV adjust</w:t>
            </w:r>
          </w:p>
        </w:tc>
      </w:tr>
    </w:tbl>
    <w:p/>
    <w:p>
      <w:r>
        <w:rPr>
          <w:rFonts w:ascii="Arial" w:hAnsi="Arial" w:cs="Arial"/>
          <w:b w:val="0"/>
          <w:i w:val="0"/>
          <w:sz w:val="22"/>
        </w:rPr>
        <w:t>Documents &amp; integrations: Sanction, hypothecation agreement, permits, insurance, KFS; integrations — registry, insurer, valuer.</w:t>
      </w:r>
    </w:p>
    <w:p>
      <w:pPr>
        <w:pStyle w:val="Heading2"/>
      </w:pPr>
      <w:r>
        <w:t>87.5 Tractor &amp; Farm Equipment Loan [TRACTOR]</w:t>
      </w:r>
    </w:p>
    <w:p>
      <w:r>
        <w:rPr>
          <w:rFonts w:ascii="Arial" w:hAnsi="Arial" w:cs="Arial"/>
          <w:b w:val="0"/>
          <w:i w:val="0"/>
          <w:sz w:val="22"/>
        </w:rPr>
        <w:t>Rural/agri financing for tractors, harvesters and farm implements, with repayment aligned to crop/harvest cash-flow cycles.</w:t>
      </w:r>
    </w:p>
    <w:p>
      <w:r>
        <w:rPr>
          <w:rFonts w:ascii="Arial" w:hAnsi="Arial" w:cs="Arial"/>
          <w:b/>
          <w:i w:val="0"/>
          <w:sz w:val="22"/>
        </w:rPr>
        <w:t>Regulatory, eligibility &amp; policy:</w:t>
      </w:r>
    </w:p>
    <w:p>
      <w:pPr>
        <w:pStyle w:val="ListParagraph"/>
        <w:numPr>
          <w:ilvl w:val="0"/>
          <w:numId w:val="2"/>
        </w:numPr>
      </w:pPr>
      <w:r>
        <w:rPr>
          <w:rFonts w:ascii="Arial" w:hAnsi="Arial" w:cs="Arial"/>
          <w:sz w:val="22"/>
        </w:rPr>
        <w:t>LTV by equipment age; seasonal/half-yearly repayment options aligned to Rabi/Kharif in addition to monthly EMI; frequently subsidy-linked.</w:t>
      </w:r>
    </w:p>
    <w:p>
      <w:pPr>
        <w:pStyle w:val="ListParagraph"/>
        <w:numPr>
          <w:ilvl w:val="0"/>
          <w:numId w:val="2"/>
        </w:numPr>
      </w:pPr>
      <w:r>
        <w:rPr>
          <w:rFonts w:ascii="Arial" w:hAnsi="Arial" w:cs="Arial"/>
          <w:sz w:val="22"/>
        </w:rPr>
        <w:t>Land-holding verification (survey/Khasra) and crop pattern support eligibility.</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Equipment Category</w:t>
            </w:r>
          </w:p>
        </w:tc>
        <w:tc>
          <w:tcPr>
            <w:tcW w:w="1300" w:type="dxa"/>
          </w:tcPr>
          <w:p>
            <w:pPr>
              <w:spacing w:after="0" w:before="0"/>
            </w:pPr>
            <w:r/>
            <w:r>
              <w:rPr>
                <w:rFonts w:ascii="Arial" w:hAnsi="Arial" w:cs="Arial"/>
                <w:b w:val="0"/>
                <w:sz w:val="17"/>
              </w:rPr>
              <w:t>Multi-select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Tractor/Harvester/Rotavator/Irrigation</w:t>
            </w:r>
          </w:p>
        </w:tc>
      </w:tr>
      <w:tr>
        <w:tc>
          <w:tcPr>
            <w:tcW w:w="2900" w:type="dxa"/>
          </w:tcPr>
          <w:p>
            <w:pPr>
              <w:spacing w:after="0" w:before="0"/>
            </w:pPr>
            <w:r/>
            <w:r>
              <w:rPr>
                <w:rFonts w:ascii="Arial" w:hAnsi="Arial" w:cs="Arial"/>
                <w:b w:val="0"/>
                <w:sz w:val="17"/>
              </w:rPr>
              <w:t>Land Holding Details</w:t>
            </w:r>
          </w:p>
        </w:tc>
        <w:tc>
          <w:tcPr>
            <w:tcW w:w="1300" w:type="dxa"/>
          </w:tcPr>
          <w:p>
            <w:pPr>
              <w:spacing w:after="0" w:before="0"/>
            </w:pPr>
            <w:r/>
            <w:r>
              <w:rPr>
                <w:rFonts w:ascii="Arial" w:hAnsi="Arial" w:cs="Arial"/>
                <w:b w:val="0"/>
                <w:sz w:val="17"/>
              </w:rPr>
              <w:t>Text/Number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Survey/Khasra no., area owned/leased, crop pattern</w:t>
            </w:r>
          </w:p>
        </w:tc>
      </w:tr>
      <w:tr>
        <w:tc>
          <w:tcPr>
            <w:tcW w:w="2900" w:type="dxa"/>
          </w:tcPr>
          <w:p>
            <w:pPr>
              <w:spacing w:after="0" w:before="0"/>
            </w:pPr>
            <w:r/>
            <w:r>
              <w:rPr>
                <w:rFonts w:ascii="Arial" w:hAnsi="Arial" w:cs="Arial"/>
                <w:b w:val="0"/>
                <w:sz w:val="17"/>
              </w:rPr>
              <w:t>Equipment Make/Model &amp; Dealer</w:t>
            </w:r>
          </w:p>
        </w:tc>
        <w:tc>
          <w:tcPr>
            <w:tcW w:w="1300" w:type="dxa"/>
          </w:tcPr>
          <w:p>
            <w:pPr>
              <w:spacing w:after="0" w:before="0"/>
            </w:pPr>
            <w:r/>
            <w:r>
              <w:rPr>
                <w:rFonts w:ascii="Arial" w:hAnsi="Arial" w:cs="Arial"/>
                <w:b w:val="0"/>
                <w:sz w:val="17"/>
              </w:rPr>
              <w:t>Text/Reference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Repayment Frequency</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Monthly / Half-yearly / Seasonal</w:t>
            </w:r>
          </w:p>
        </w:tc>
      </w:tr>
      <w:tr>
        <w:tc>
          <w:tcPr>
            <w:tcW w:w="2900" w:type="dxa"/>
          </w:tcPr>
          <w:p>
            <w:pPr>
              <w:spacing w:after="0" w:before="0"/>
            </w:pPr>
            <w:r/>
            <w:r>
              <w:rPr>
                <w:rFonts w:ascii="Arial" w:hAnsi="Arial" w:cs="Arial"/>
                <w:b w:val="0"/>
                <w:sz w:val="17"/>
              </w:rPr>
              <w:t>Hypothecation of Equipment</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Insurance</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Subsidy Reference</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Where scheme-linked (Section 3.9)</w:t>
            </w:r>
          </w:p>
        </w:tc>
      </w:tr>
    </w:tbl>
    <w:p/>
    <w:p>
      <w:r>
        <w:rPr>
          <w:rFonts w:ascii="Arial" w:hAnsi="Arial" w:cs="Arial"/>
          <w:b/>
          <w:i w:val="0"/>
          <w:sz w:val="22"/>
        </w:rPr>
        <w:t>Computation &amp; servicing:</w:t>
      </w:r>
    </w:p>
    <w:p>
      <w:r>
        <w:rPr>
          <w:rFonts w:ascii="Arial" w:hAnsi="Arial" w:cs="Arial"/>
          <w:b w:val="0"/>
          <w:i w:val="0"/>
          <w:sz w:val="22"/>
        </w:rPr>
        <w:t>Reducing-balance with seasonal instalments aligned to harvest inflows; LTV by equipment age; subsidy tracked to claim status where applicable.</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Crop failure / poor monsoon</w:t>
            </w:r>
          </w:p>
        </w:tc>
        <w:tc>
          <w:tcPr>
            <w:tcW w:w="6360" w:type="dxa"/>
          </w:tcPr>
          <w:p>
            <w:pPr>
              <w:spacing w:after="0" w:before="0"/>
            </w:pPr>
            <w:r/>
            <w:r>
              <w:rPr>
                <w:rFonts w:ascii="Arial" w:hAnsi="Arial" w:cs="Arial"/>
                <w:b w:val="0"/>
                <w:sz w:val="17"/>
              </w:rPr>
              <w:t>Restructure / moratorium (Section 32)</w:t>
            </w:r>
          </w:p>
        </w:tc>
      </w:tr>
      <w:tr>
        <w:tc>
          <w:tcPr>
            <w:tcW w:w="3000" w:type="dxa"/>
          </w:tcPr>
          <w:p>
            <w:pPr>
              <w:spacing w:after="0" w:before="0"/>
            </w:pPr>
            <w:r/>
            <w:r>
              <w:rPr>
                <w:rFonts w:ascii="Arial" w:hAnsi="Arial" w:cs="Arial"/>
                <w:b w:val="0"/>
                <w:sz w:val="17"/>
              </w:rPr>
              <w:t>Seasonal cash-flow mismatch</w:t>
            </w:r>
          </w:p>
        </w:tc>
        <w:tc>
          <w:tcPr>
            <w:tcW w:w="6360" w:type="dxa"/>
          </w:tcPr>
          <w:p>
            <w:pPr>
              <w:spacing w:after="0" w:before="0"/>
            </w:pPr>
            <w:r/>
            <w:r>
              <w:rPr>
                <w:rFonts w:ascii="Arial" w:hAnsi="Arial" w:cs="Arial"/>
                <w:b w:val="0"/>
                <w:sz w:val="17"/>
              </w:rPr>
              <w:t>Seasonal repayment schedule</w:t>
            </w:r>
          </w:p>
        </w:tc>
      </w:tr>
      <w:tr>
        <w:tc>
          <w:tcPr>
            <w:tcW w:w="3000" w:type="dxa"/>
          </w:tcPr>
          <w:p>
            <w:pPr>
              <w:spacing w:after="0" w:before="0"/>
            </w:pPr>
            <w:r/>
            <w:r>
              <w:rPr>
                <w:rFonts w:ascii="Arial" w:hAnsi="Arial" w:cs="Arial"/>
                <w:b w:val="0"/>
                <w:sz w:val="17"/>
              </w:rPr>
              <w:t>Land-record verification</w:t>
            </w:r>
          </w:p>
        </w:tc>
        <w:tc>
          <w:tcPr>
            <w:tcW w:w="6360" w:type="dxa"/>
          </w:tcPr>
          <w:p>
            <w:pPr>
              <w:spacing w:after="0" w:before="0"/>
            </w:pPr>
            <w:r/>
            <w:r>
              <w:rPr>
                <w:rFonts w:ascii="Arial" w:hAnsi="Arial" w:cs="Arial"/>
                <w:b w:val="0"/>
                <w:sz w:val="17"/>
              </w:rPr>
              <w:t>Confirm ownership/lease before sanction</w:t>
            </w:r>
          </w:p>
        </w:tc>
      </w:tr>
      <w:tr>
        <w:tc>
          <w:tcPr>
            <w:tcW w:w="3000" w:type="dxa"/>
          </w:tcPr>
          <w:p>
            <w:pPr>
              <w:spacing w:after="0" w:before="0"/>
            </w:pPr>
            <w:r/>
            <w:r>
              <w:rPr>
                <w:rFonts w:ascii="Arial" w:hAnsi="Arial" w:cs="Arial"/>
                <w:b w:val="0"/>
                <w:sz w:val="17"/>
              </w:rPr>
              <w:t>Subsidy claim</w:t>
            </w:r>
          </w:p>
        </w:tc>
        <w:tc>
          <w:tcPr>
            <w:tcW w:w="6360" w:type="dxa"/>
          </w:tcPr>
          <w:p>
            <w:pPr>
              <w:spacing w:after="0" w:before="0"/>
            </w:pPr>
            <w:r/>
            <w:r>
              <w:rPr>
                <w:rFonts w:ascii="Arial" w:hAnsi="Arial" w:cs="Arial"/>
                <w:b w:val="0"/>
                <w:sz w:val="17"/>
              </w:rPr>
              <w:t>Track with nodal agency (Section 3.9)</w:t>
            </w:r>
          </w:p>
        </w:tc>
      </w:tr>
      <w:tr>
        <w:tc>
          <w:tcPr>
            <w:tcW w:w="3000" w:type="dxa"/>
          </w:tcPr>
          <w:p>
            <w:pPr>
              <w:spacing w:after="0" w:before="0"/>
            </w:pPr>
            <w:r/>
            <w:r>
              <w:rPr>
                <w:rFonts w:ascii="Arial" w:hAnsi="Arial" w:cs="Arial"/>
                <w:b w:val="0"/>
                <w:sz w:val="17"/>
              </w:rPr>
              <w:t>Default</w:t>
            </w:r>
          </w:p>
        </w:tc>
        <w:tc>
          <w:tcPr>
            <w:tcW w:w="6360" w:type="dxa"/>
          </w:tcPr>
          <w:p>
            <w:pPr>
              <w:spacing w:after="0" w:before="0"/>
            </w:pPr>
            <w:r/>
            <w:r>
              <w:rPr>
                <w:rFonts w:ascii="Arial" w:hAnsi="Arial" w:cs="Arial"/>
                <w:b w:val="0"/>
                <w:sz w:val="17"/>
              </w:rPr>
              <w:t>Repossession in rural context; recovery</w:t>
            </w:r>
          </w:p>
        </w:tc>
      </w:tr>
    </w:tbl>
    <w:p/>
    <w:p>
      <w:r>
        <w:rPr>
          <w:rFonts w:ascii="Arial" w:hAnsi="Arial" w:cs="Arial"/>
          <w:b w:val="0"/>
          <w:i w:val="0"/>
          <w:sz w:val="22"/>
        </w:rPr>
        <w:t>Documents &amp; integrations: Sanction, hypothecation agreement, land records, insurance, KFS; integrations — subsidy nodal agency, dealer, insurer.</w:t>
      </w:r>
    </w:p>
    <w:p>
      <w:pPr>
        <w:pStyle w:val="Heading2"/>
      </w:pPr>
      <w:r>
        <w:t>87.6 Electric Vehicle (EV) Financing [EV]</w:t>
      </w:r>
    </w:p>
    <w:p>
      <w:r>
        <w:rPr>
          <w:rFonts w:ascii="Arial" w:hAnsi="Arial" w:cs="Arial"/>
          <w:b w:val="0"/>
          <w:i w:val="0"/>
          <w:sz w:val="22"/>
        </w:rPr>
        <w:t>A variant of vehicle finance for electric vehicles, with battery-ownership and charging-infrastructure considerations.</w:t>
      </w:r>
    </w:p>
    <w:p>
      <w:r>
        <w:rPr>
          <w:rFonts w:ascii="Arial" w:hAnsi="Arial" w:cs="Arial"/>
          <w:b/>
          <w:i w:val="0"/>
          <w:sz w:val="22"/>
        </w:rPr>
        <w:t>Regulatory, eligibility &amp; policy:</w:t>
      </w:r>
    </w:p>
    <w:p>
      <w:pPr>
        <w:pStyle w:val="ListParagraph"/>
        <w:numPr>
          <w:ilvl w:val="0"/>
          <w:numId w:val="2"/>
        </w:numPr>
      </w:pPr>
      <w:r>
        <w:rPr>
          <w:rFonts w:ascii="Arial" w:hAnsi="Arial" w:cs="Arial"/>
          <w:sz w:val="22"/>
        </w:rPr>
        <w:t>Battery ownership model determines collateral (battery included vs Battery-as-a-Service excluded); optional green/EV rate concession; FAME/state-subsidy linkage.</w:t>
      </w:r>
    </w:p>
    <w:p>
      <w:pPr>
        <w:pStyle w:val="ListParagraph"/>
        <w:numPr>
          <w:ilvl w:val="0"/>
          <w:numId w:val="2"/>
        </w:numPr>
      </w:pPr>
      <w:r>
        <w:rPr>
          <w:rFonts w:ascii="Arial" w:hAnsi="Arial" w:cs="Arial"/>
          <w:sz w:val="22"/>
        </w:rPr>
        <w:t>Hypothecation of the vehicle (and battery, if owned).</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EV Category</w:t>
            </w:r>
          </w:p>
        </w:tc>
        <w:tc>
          <w:tcPr>
            <w:tcW w:w="1300" w:type="dxa"/>
          </w:tcPr>
          <w:p>
            <w:pPr>
              <w:spacing w:after="0" w:before="0"/>
            </w:pPr>
            <w:r/>
            <w:r>
              <w:rPr>
                <w:rFonts w:ascii="Arial" w:hAnsi="Arial" w:cs="Arial"/>
                <w:b w:val="0"/>
                <w:sz w:val="17"/>
              </w:rPr>
              <w:t>Multi-select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e-2W / e-3W / Passenger / Commercial EV</w:t>
            </w:r>
          </w:p>
        </w:tc>
      </w:tr>
      <w:tr>
        <w:tc>
          <w:tcPr>
            <w:tcW w:w="2900" w:type="dxa"/>
          </w:tcPr>
          <w:p>
            <w:pPr>
              <w:spacing w:after="0" w:before="0"/>
            </w:pPr>
            <w:r/>
            <w:r>
              <w:rPr>
                <w:rFonts w:ascii="Arial" w:hAnsi="Arial" w:cs="Arial"/>
                <w:b w:val="0"/>
                <w:sz w:val="17"/>
              </w:rPr>
              <w:t>Battery Ownership Model</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Included / Battery-as-a-Service</w:t>
            </w:r>
          </w:p>
        </w:tc>
      </w:tr>
      <w:tr>
        <w:tc>
          <w:tcPr>
            <w:tcW w:w="2900" w:type="dxa"/>
          </w:tcPr>
          <w:p>
            <w:pPr>
              <w:spacing w:after="0" w:before="0"/>
            </w:pPr>
            <w:r/>
            <w:r>
              <w:rPr>
                <w:rFonts w:ascii="Arial" w:hAnsi="Arial" w:cs="Arial"/>
                <w:b w:val="0"/>
                <w:sz w:val="17"/>
              </w:rPr>
              <w:t>Vehicle &amp; Battery Details</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Capacity, warranty, charging type</w:t>
            </w:r>
          </w:p>
        </w:tc>
      </w:tr>
      <w:tr>
        <w:tc>
          <w:tcPr>
            <w:tcW w:w="2900" w:type="dxa"/>
          </w:tcPr>
          <w:p>
            <w:pPr>
              <w:spacing w:after="0" w:before="0"/>
            </w:pPr>
            <w:r/>
            <w:r>
              <w:rPr>
                <w:rFonts w:ascii="Arial" w:hAnsi="Arial" w:cs="Arial"/>
                <w:b w:val="0"/>
                <w:sz w:val="17"/>
              </w:rPr>
              <w:t>Battery Warranty / Health Certificate</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Charging Infrastructure Access</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No</w:t>
            </w:r>
          </w:p>
        </w:tc>
        <w:tc>
          <w:tcPr>
            <w:tcW w:w="3860" w:type="dxa"/>
          </w:tcPr>
          <w:p>
            <w:pPr>
              <w:spacing w:after="0" w:before="0"/>
            </w:pPr>
            <w:r/>
            <w:r>
              <w:rPr>
                <w:rFonts w:ascii="Arial" w:hAnsi="Arial" w:cs="Arial"/>
                <w:b w:val="0"/>
                <w:sz w:val="17"/>
              </w:rPr>
              <w:t>Home/public arrangement</w:t>
            </w:r>
          </w:p>
        </w:tc>
      </w:tr>
      <w:tr>
        <w:tc>
          <w:tcPr>
            <w:tcW w:w="2900" w:type="dxa"/>
          </w:tcPr>
          <w:p>
            <w:pPr>
              <w:spacing w:after="0" w:before="0"/>
            </w:pPr>
            <w:r/>
            <w:r>
              <w:rPr>
                <w:rFonts w:ascii="Arial" w:hAnsi="Arial" w:cs="Arial"/>
                <w:b w:val="0"/>
                <w:sz w:val="17"/>
              </w:rPr>
              <w:t>Subsidy Reference</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FAME/state scheme</w:t>
            </w:r>
          </w:p>
        </w:tc>
      </w:tr>
      <w:tr>
        <w:tc>
          <w:tcPr>
            <w:tcW w:w="2900" w:type="dxa"/>
          </w:tcPr>
          <w:p>
            <w:pPr>
              <w:spacing w:after="0" w:before="0"/>
            </w:pPr>
            <w:r/>
            <w:r>
              <w:rPr>
                <w:rFonts w:ascii="Arial" w:hAnsi="Arial" w:cs="Arial"/>
                <w:b w:val="0"/>
                <w:sz w:val="17"/>
              </w:rPr>
              <w:t>Hypothecation (vehicle + battery if owned)</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bl>
    <w:p/>
    <w:p>
      <w:r>
        <w:rPr>
          <w:rFonts w:ascii="Arial" w:hAnsi="Arial" w:cs="Arial"/>
          <w:b/>
          <w:i w:val="0"/>
          <w:sz w:val="22"/>
        </w:rPr>
        <w:t>Computation &amp; servicing:</w:t>
      </w:r>
    </w:p>
    <w:p>
      <w:r>
        <w:rPr>
          <w:rFonts w:ascii="Arial" w:hAnsi="Arial" w:cs="Arial"/>
          <w:b w:val="0"/>
          <w:i w:val="0"/>
          <w:sz w:val="22"/>
        </w:rPr>
        <w:t>Reducing-balance EMI; collateral value net of any BaaS battery; residual-value sensitivity factored into LTV; green concession applied per policy (Section 45.7 mechanics).</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Battery degradation / replacement</w:t>
            </w:r>
          </w:p>
        </w:tc>
        <w:tc>
          <w:tcPr>
            <w:tcW w:w="6360" w:type="dxa"/>
          </w:tcPr>
          <w:p>
            <w:pPr>
              <w:spacing w:after="0" w:before="0"/>
            </w:pPr>
            <w:r/>
            <w:r>
              <w:rPr>
                <w:rFonts w:ascii="Arial" w:hAnsi="Arial" w:cs="Arial"/>
                <w:b w:val="0"/>
                <w:sz w:val="17"/>
              </w:rPr>
              <w:t>Health cert at origination; residual-value policy</w:t>
            </w:r>
          </w:p>
        </w:tc>
      </w:tr>
      <w:tr>
        <w:tc>
          <w:tcPr>
            <w:tcW w:w="3000" w:type="dxa"/>
          </w:tcPr>
          <w:p>
            <w:pPr>
              <w:spacing w:after="0" w:before="0"/>
            </w:pPr>
            <w:r/>
            <w:r>
              <w:rPr>
                <w:rFonts w:ascii="Arial" w:hAnsi="Arial" w:cs="Arial"/>
                <w:b w:val="0"/>
                <w:sz w:val="17"/>
              </w:rPr>
              <w:t>BaaS subscription default</w:t>
            </w:r>
          </w:p>
        </w:tc>
        <w:tc>
          <w:tcPr>
            <w:tcW w:w="6360" w:type="dxa"/>
          </w:tcPr>
          <w:p>
            <w:pPr>
              <w:spacing w:after="0" w:before="0"/>
            </w:pPr>
            <w:r/>
            <w:r>
              <w:rPr>
                <w:rFonts w:ascii="Arial" w:hAnsi="Arial" w:cs="Arial"/>
                <w:b w:val="0"/>
                <w:sz w:val="17"/>
              </w:rPr>
              <w:t>Battery excluded from collateral; coordinate with provider</w:t>
            </w:r>
          </w:p>
        </w:tc>
      </w:tr>
      <w:tr>
        <w:tc>
          <w:tcPr>
            <w:tcW w:w="3000" w:type="dxa"/>
          </w:tcPr>
          <w:p>
            <w:pPr>
              <w:spacing w:after="0" w:before="0"/>
            </w:pPr>
            <w:r/>
            <w:r>
              <w:rPr>
                <w:rFonts w:ascii="Arial" w:hAnsi="Arial" w:cs="Arial"/>
                <w:b w:val="0"/>
                <w:sz w:val="17"/>
              </w:rPr>
              <w:t>Resale-value uncertainty</w:t>
            </w:r>
          </w:p>
        </w:tc>
        <w:tc>
          <w:tcPr>
            <w:tcW w:w="6360" w:type="dxa"/>
          </w:tcPr>
          <w:p>
            <w:pPr>
              <w:spacing w:after="0" w:before="0"/>
            </w:pPr>
            <w:r/>
            <w:r>
              <w:rPr>
                <w:rFonts w:ascii="Arial" w:hAnsi="Arial" w:cs="Arial"/>
                <w:b w:val="0"/>
                <w:sz w:val="17"/>
              </w:rPr>
              <w:t>Conservative LTV</w:t>
            </w:r>
          </w:p>
        </w:tc>
      </w:tr>
      <w:tr>
        <w:tc>
          <w:tcPr>
            <w:tcW w:w="3000" w:type="dxa"/>
          </w:tcPr>
          <w:p>
            <w:pPr>
              <w:spacing w:after="0" w:before="0"/>
            </w:pPr>
            <w:r/>
            <w:r>
              <w:rPr>
                <w:rFonts w:ascii="Arial" w:hAnsi="Arial" w:cs="Arial"/>
                <w:b w:val="0"/>
                <w:sz w:val="17"/>
              </w:rPr>
              <w:t>Subsidy claim</w:t>
            </w:r>
          </w:p>
        </w:tc>
        <w:tc>
          <w:tcPr>
            <w:tcW w:w="6360" w:type="dxa"/>
          </w:tcPr>
          <w:p>
            <w:pPr>
              <w:spacing w:after="0" w:before="0"/>
            </w:pPr>
            <w:r/>
            <w:r>
              <w:rPr>
                <w:rFonts w:ascii="Arial" w:hAnsi="Arial" w:cs="Arial"/>
                <w:b w:val="0"/>
                <w:sz w:val="17"/>
              </w:rPr>
              <w:t>Track FAME/state subsidy</w:t>
            </w:r>
          </w:p>
        </w:tc>
      </w:tr>
      <w:tr>
        <w:tc>
          <w:tcPr>
            <w:tcW w:w="3000" w:type="dxa"/>
          </w:tcPr>
          <w:p>
            <w:pPr>
              <w:spacing w:after="0" w:before="0"/>
            </w:pPr>
            <w:r/>
            <w:r>
              <w:rPr>
                <w:rFonts w:ascii="Arial" w:hAnsi="Arial" w:cs="Arial"/>
                <w:b w:val="0"/>
                <w:sz w:val="17"/>
              </w:rPr>
              <w:t>Charging dependency</w:t>
            </w:r>
          </w:p>
        </w:tc>
        <w:tc>
          <w:tcPr>
            <w:tcW w:w="6360" w:type="dxa"/>
          </w:tcPr>
          <w:p>
            <w:pPr>
              <w:spacing w:after="0" w:before="0"/>
            </w:pPr>
            <w:r/>
            <w:r>
              <w:rPr>
                <w:rFonts w:ascii="Arial" w:hAnsi="Arial" w:cs="Arial"/>
                <w:b w:val="0"/>
                <w:sz w:val="17"/>
              </w:rPr>
              <w:t>Informational; no hard block</w:t>
            </w:r>
          </w:p>
        </w:tc>
      </w:tr>
    </w:tbl>
    <w:p/>
    <w:p>
      <w:r>
        <w:rPr>
          <w:rFonts w:ascii="Arial" w:hAnsi="Arial" w:cs="Arial"/>
          <w:b w:val="0"/>
          <w:i w:val="0"/>
          <w:sz w:val="22"/>
        </w:rPr>
        <w:t>Documents &amp; integrations: Sanction, hypothecation agreement, battery warranty, insurance, KFS; integrations — Vahan, subsidy portal, insurer.</w:t>
      </w:r>
    </w:p>
    <w:p>
      <w:pPr>
        <w:pStyle w:val="Heading2"/>
      </w:pPr>
      <w:r>
        <w:t>87.7 Affordable Housing Loan [AHL]</w:t>
      </w:r>
    </w:p>
    <w:p>
      <w:r>
        <w:rPr>
          <w:rFonts w:ascii="Arial" w:hAnsi="Arial" w:cs="Arial"/>
          <w:b w:val="0"/>
          <w:i w:val="0"/>
          <w:sz w:val="22"/>
        </w:rPr>
        <w:t>Home purchase/construction/extension loans for EWS/LIG/MIG borrowers, often linked to PMAY credit-linked subsidy, usually written by an NBFC’s Housing Finance arm.</w:t>
      </w:r>
    </w:p>
    <w:p>
      <w:r>
        <w:rPr>
          <w:rFonts w:ascii="Arial" w:hAnsi="Arial" w:cs="Arial"/>
          <w:b/>
          <w:i w:val="0"/>
          <w:sz w:val="22"/>
        </w:rPr>
        <w:t>Regulatory, eligibility &amp; policy:</w:t>
      </w:r>
    </w:p>
    <w:p>
      <w:pPr>
        <w:pStyle w:val="ListParagraph"/>
        <w:numPr>
          <w:ilvl w:val="0"/>
          <w:numId w:val="2"/>
        </w:numPr>
      </w:pPr>
      <w:r>
        <w:rPr>
          <w:rFonts w:ascii="Arial" w:hAnsi="Arial" w:cs="Arial"/>
          <w:sz w:val="22"/>
        </w:rPr>
        <w:t>Income-segment bands (EWS/LIG/MIG) per scheme/internal policy; LTV by property-value slab per NHB/RBI housing norms.</w:t>
      </w:r>
    </w:p>
    <w:p>
      <w:pPr>
        <w:pStyle w:val="ListParagraph"/>
        <w:numPr>
          <w:ilvl w:val="0"/>
          <w:numId w:val="2"/>
        </w:numPr>
      </w:pPr>
      <w:r>
        <w:rPr>
          <w:rFonts w:ascii="Arial" w:hAnsi="Arial" w:cs="Arial"/>
          <w:sz w:val="22"/>
        </w:rPr>
        <w:t>PMAY-CLSS subsidy tracked where applicable (Section 3.9); property mortgage per the LAP collateral pattern.</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Property Purpose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Purchase/Self-Construction/Extension/Improvement</w:t>
            </w:r>
          </w:p>
        </w:tc>
      </w:tr>
      <w:tr>
        <w:tc>
          <w:tcPr>
            <w:tcW w:w="2900" w:type="dxa"/>
          </w:tcPr>
          <w:p>
            <w:pPr>
              <w:spacing w:after="0" w:before="0"/>
            </w:pPr>
            <w:r/>
            <w:r>
              <w:rPr>
                <w:rFonts w:ascii="Arial" w:hAnsi="Arial" w:cs="Arial"/>
                <w:b w:val="0"/>
                <w:sz w:val="17"/>
              </w:rPr>
              <w:t>Income Segment Declared</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EWS/LIG/MIG-I/MIG-II</w:t>
            </w:r>
          </w:p>
        </w:tc>
      </w:tr>
      <w:tr>
        <w:tc>
          <w:tcPr>
            <w:tcW w:w="2900" w:type="dxa"/>
          </w:tcPr>
          <w:p>
            <w:pPr>
              <w:spacing w:after="0" w:before="0"/>
            </w:pPr>
            <w:r/>
            <w:r>
              <w:rPr>
                <w:rFonts w:ascii="Arial" w:hAnsi="Arial" w:cs="Arial"/>
                <w:b w:val="0"/>
                <w:sz w:val="17"/>
              </w:rPr>
              <w:t>Property Details &amp; Cost</w:t>
            </w:r>
          </w:p>
        </w:tc>
        <w:tc>
          <w:tcPr>
            <w:tcW w:w="1300" w:type="dxa"/>
          </w:tcPr>
          <w:p>
            <w:pPr>
              <w:spacing w:after="0" w:before="0"/>
            </w:pPr>
            <w:r/>
            <w:r>
              <w:rPr>
                <w:rFonts w:ascii="Arial" w:hAnsi="Arial" w:cs="Arial"/>
                <w:b w:val="0"/>
                <w:sz w:val="17"/>
              </w:rPr>
              <w:t>Address/Currency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PMAY-CLSS Linkage</w:t>
            </w:r>
          </w:p>
        </w:tc>
        <w:tc>
          <w:tcPr>
            <w:tcW w:w="1300" w:type="dxa"/>
          </w:tcPr>
          <w:p>
            <w:pPr>
              <w:spacing w:after="0" w:before="0"/>
            </w:pPr>
            <w:r/>
            <w:r>
              <w:rPr>
                <w:rFonts w:ascii="Arial" w:hAnsi="Arial" w:cs="Arial"/>
                <w:b w:val="0"/>
                <w:sz w:val="17"/>
              </w:rPr>
              <w:t>Boolean</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Subsidy eligibility</w:t>
            </w:r>
          </w:p>
        </w:tc>
      </w:tr>
      <w:tr>
        <w:tc>
          <w:tcPr>
            <w:tcW w:w="2900" w:type="dxa"/>
          </w:tcPr>
          <w:p>
            <w:pPr>
              <w:spacing w:after="0" w:before="0"/>
            </w:pPr>
            <w:r/>
            <w:r>
              <w:rPr>
                <w:rFonts w:ascii="Arial" w:hAnsi="Arial" w:cs="Arial"/>
                <w:b w:val="0"/>
                <w:sz w:val="17"/>
              </w:rPr>
              <w:t>Mortgage of Property</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Per LAP collateral (title/valuation/CERSAI)</w:t>
            </w:r>
          </w:p>
        </w:tc>
      </w:tr>
      <w:tr>
        <w:tc>
          <w:tcPr>
            <w:tcW w:w="2900" w:type="dxa"/>
          </w:tcPr>
          <w:p>
            <w:pPr>
              <w:spacing w:after="0" w:before="0"/>
            </w:pPr>
            <w:r/>
            <w:r>
              <w:rPr>
                <w:rFonts w:ascii="Arial" w:hAnsi="Arial" w:cs="Arial"/>
                <w:b w:val="0"/>
                <w:sz w:val="17"/>
              </w:rPr>
              <w:t>Stage-wise Disbursement</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Under-construction</w:t>
            </w:r>
          </w:p>
        </w:tc>
      </w:tr>
      <w:tr>
        <w:tc>
          <w:tcPr>
            <w:tcW w:w="2900" w:type="dxa"/>
          </w:tcPr>
          <w:p>
            <w:pPr>
              <w:spacing w:after="0" w:before="0"/>
            </w:pPr>
            <w:r/>
            <w:r>
              <w:rPr>
                <w:rFonts w:ascii="Arial" w:hAnsi="Arial" w:cs="Arial"/>
                <w:b w:val="0"/>
                <w:sz w:val="17"/>
              </w:rPr>
              <w:t>Subsidy Claim Status</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Nodal-agency tracking</w:t>
            </w:r>
          </w:p>
        </w:tc>
      </w:tr>
    </w:tbl>
    <w:p/>
    <w:p>
      <w:r>
        <w:rPr>
          <w:rFonts w:ascii="Arial" w:hAnsi="Arial" w:cs="Arial"/>
          <w:b/>
          <w:i w:val="0"/>
          <w:sz w:val="22"/>
        </w:rPr>
        <w:t>Computation &amp; servicing:</w:t>
      </w:r>
    </w:p>
    <w:p>
      <w:r>
        <w:rPr>
          <w:rFonts w:ascii="Arial" w:hAnsi="Arial" w:cs="Arial"/>
          <w:b w:val="0"/>
          <w:i w:val="0"/>
          <w:sz w:val="22"/>
        </w:rPr>
        <w:t>Reducing-balance EMI; LTV by property-value slab; subsidy (if claimed) applied to reduce principal/EMI; staged disbursement for under-construction.</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Subsidy eligibility/claim</w:t>
            </w:r>
          </w:p>
        </w:tc>
        <w:tc>
          <w:tcPr>
            <w:tcW w:w="6360" w:type="dxa"/>
          </w:tcPr>
          <w:p>
            <w:pPr>
              <w:spacing w:after="0" w:before="0"/>
            </w:pPr>
            <w:r/>
            <w:r>
              <w:rPr>
                <w:rFonts w:ascii="Arial" w:hAnsi="Arial" w:cs="Arial"/>
                <w:b w:val="0"/>
                <w:sz w:val="17"/>
              </w:rPr>
              <w:t>Verify segment; track claim to nodal agency</w:t>
            </w:r>
          </w:p>
        </w:tc>
      </w:tr>
      <w:tr>
        <w:tc>
          <w:tcPr>
            <w:tcW w:w="3000" w:type="dxa"/>
          </w:tcPr>
          <w:p>
            <w:pPr>
              <w:spacing w:after="0" w:before="0"/>
            </w:pPr>
            <w:r/>
            <w:r>
              <w:rPr>
                <w:rFonts w:ascii="Arial" w:hAnsi="Arial" w:cs="Arial"/>
                <w:b w:val="0"/>
                <w:sz w:val="17"/>
              </w:rPr>
              <w:t>Income-segment verification</w:t>
            </w:r>
          </w:p>
        </w:tc>
        <w:tc>
          <w:tcPr>
            <w:tcW w:w="6360" w:type="dxa"/>
          </w:tcPr>
          <w:p>
            <w:pPr>
              <w:spacing w:after="0" w:before="0"/>
            </w:pPr>
            <w:r/>
            <w:r>
              <w:rPr>
                <w:rFonts w:ascii="Arial" w:hAnsi="Arial" w:cs="Arial"/>
                <w:b w:val="0"/>
                <w:sz w:val="17"/>
              </w:rPr>
              <w:t>Document-based confirmation</w:t>
            </w:r>
          </w:p>
        </w:tc>
      </w:tr>
      <w:tr>
        <w:tc>
          <w:tcPr>
            <w:tcW w:w="3000" w:type="dxa"/>
          </w:tcPr>
          <w:p>
            <w:pPr>
              <w:spacing w:after="0" w:before="0"/>
            </w:pPr>
            <w:r/>
            <w:r>
              <w:rPr>
                <w:rFonts w:ascii="Arial" w:hAnsi="Arial" w:cs="Arial"/>
                <w:b w:val="0"/>
                <w:sz w:val="17"/>
              </w:rPr>
              <w:t>Under-construction delay</w:t>
            </w:r>
          </w:p>
        </w:tc>
        <w:tc>
          <w:tcPr>
            <w:tcW w:w="6360" w:type="dxa"/>
          </w:tcPr>
          <w:p>
            <w:pPr>
              <w:spacing w:after="0" w:before="0"/>
            </w:pPr>
            <w:r/>
            <w:r>
              <w:rPr>
                <w:rFonts w:ascii="Arial" w:hAnsi="Arial" w:cs="Arial"/>
                <w:b w:val="0"/>
                <w:sz w:val="17"/>
              </w:rPr>
              <w:t>Hold next tranche</w:t>
            </w:r>
          </w:p>
        </w:tc>
      </w:tr>
      <w:tr>
        <w:tc>
          <w:tcPr>
            <w:tcW w:w="3000" w:type="dxa"/>
          </w:tcPr>
          <w:p>
            <w:pPr>
              <w:spacing w:after="0" w:before="0"/>
            </w:pPr>
            <w:r/>
            <w:r>
              <w:rPr>
                <w:rFonts w:ascii="Arial" w:hAnsi="Arial" w:cs="Arial"/>
                <w:b w:val="0"/>
                <w:sz w:val="17"/>
              </w:rPr>
              <w:t>Title defect</w:t>
            </w:r>
          </w:p>
        </w:tc>
        <w:tc>
          <w:tcPr>
            <w:tcW w:w="6360" w:type="dxa"/>
          </w:tcPr>
          <w:p>
            <w:pPr>
              <w:spacing w:after="0" w:before="0"/>
            </w:pPr>
            <w:r/>
            <w:r>
              <w:rPr>
                <w:rFonts w:ascii="Arial" w:hAnsi="Arial" w:cs="Arial"/>
                <w:b w:val="0"/>
                <w:sz w:val="17"/>
              </w:rPr>
              <w:t>Cure before disbursal</w:t>
            </w:r>
          </w:p>
        </w:tc>
      </w:tr>
      <w:tr>
        <w:tc>
          <w:tcPr>
            <w:tcW w:w="3000" w:type="dxa"/>
          </w:tcPr>
          <w:p>
            <w:pPr>
              <w:spacing w:after="0" w:before="0"/>
            </w:pPr>
            <w:r/>
            <w:r>
              <w:rPr>
                <w:rFonts w:ascii="Arial" w:hAnsi="Arial" w:cs="Arial"/>
                <w:b w:val="0"/>
                <w:sz w:val="17"/>
              </w:rPr>
              <w:t>Resale before subsidy lock-in</w:t>
            </w:r>
          </w:p>
        </w:tc>
        <w:tc>
          <w:tcPr>
            <w:tcW w:w="6360" w:type="dxa"/>
          </w:tcPr>
          <w:p>
            <w:pPr>
              <w:spacing w:after="0" w:before="0"/>
            </w:pPr>
            <w:r/>
            <w:r>
              <w:rPr>
                <w:rFonts w:ascii="Arial" w:hAnsi="Arial" w:cs="Arial"/>
                <w:b w:val="0"/>
                <w:sz w:val="17"/>
              </w:rPr>
              <w:t>Handle per scheme conditions</w:t>
            </w:r>
          </w:p>
        </w:tc>
      </w:tr>
    </w:tbl>
    <w:p/>
    <w:p>
      <w:r>
        <w:rPr>
          <w:rFonts w:ascii="Arial" w:hAnsi="Arial" w:cs="Arial"/>
          <w:b w:val="0"/>
          <w:i w:val="0"/>
          <w:sz w:val="22"/>
        </w:rPr>
        <w:t>Documents &amp; integrations: Sanction, agreement, mortgage deed, KFS, valuation/legal, insurance; integrations — PMAY nodal agency, CERSAI, valuer.</w:t>
      </w:r>
    </w:p>
    <w:p>
      <w:pPr>
        <w:pStyle w:val="Heading2"/>
      </w:pPr>
      <w:r>
        <w:t>87.8 Reverse Mortgage Loan [RML]</w:t>
      </w:r>
    </w:p>
    <w:p>
      <w:r>
        <w:rPr>
          <w:rFonts w:ascii="Arial" w:hAnsi="Arial" w:cs="Arial"/>
          <w:b w:val="0"/>
          <w:i w:val="0"/>
          <w:sz w:val="22"/>
        </w:rPr>
        <w:t>RBI’s reverse-mortgage scheme for senior citizens: the lender pays the borrower a lump sum or periodic annuity against home equity with no EMI; the loan plus accrued interest is recovered from the sale of the property after the borrower’s death or permanent vacation.</w:t>
      </w:r>
    </w:p>
    <w:p>
      <w:r>
        <w:rPr>
          <w:rFonts w:ascii="Arial" w:hAnsi="Arial" w:cs="Arial"/>
          <w:b/>
          <w:i w:val="0"/>
          <w:sz w:val="22"/>
        </w:rPr>
        <w:t>Regulatory, eligibility &amp; policy:</w:t>
      </w:r>
    </w:p>
    <w:p>
      <w:pPr>
        <w:pStyle w:val="ListParagraph"/>
        <w:numPr>
          <w:ilvl w:val="0"/>
          <w:numId w:val="2"/>
        </w:numPr>
      </w:pPr>
      <w:r>
        <w:rPr>
          <w:rFonts w:ascii="Arial" w:hAnsi="Arial" w:cs="Arial"/>
          <w:sz w:val="22"/>
        </w:rPr>
        <w:t>Minimum borrower age (typically 60; co-borrower spouse 58); payout modes (lump sum/annuity/line of credit); LTV by age band; maximum tenure capped or tied to life expectancy.</w:t>
      </w:r>
    </w:p>
    <w:p>
      <w:pPr>
        <w:pStyle w:val="ListParagraph"/>
        <w:numPr>
          <w:ilvl w:val="0"/>
          <w:numId w:val="2"/>
        </w:numPr>
      </w:pPr>
      <w:r>
        <w:rPr>
          <w:rFonts w:ascii="Arial" w:hAnsi="Arial" w:cs="Arial"/>
          <w:sz w:val="22"/>
        </w:rPr>
        <w:t>No transfer of ownership during the borrower’s lifetime/occupation; legal heirs’ acknowledgement of terms is captured.</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Borrower (and Spouse) KYC — age-verified</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DOB drives eligibility</w:t>
            </w:r>
          </w:p>
        </w:tc>
      </w:tr>
      <w:tr>
        <w:tc>
          <w:tcPr>
            <w:tcW w:w="2900" w:type="dxa"/>
          </w:tcPr>
          <w:p>
            <w:pPr>
              <w:spacing w:after="0" w:before="0"/>
            </w:pPr>
            <w:r/>
            <w:r>
              <w:rPr>
                <w:rFonts w:ascii="Arial" w:hAnsi="Arial" w:cs="Arial"/>
                <w:b w:val="0"/>
                <w:sz w:val="17"/>
              </w:rPr>
              <w:t>Property Details &amp; Valuation</w:t>
            </w:r>
          </w:p>
        </w:tc>
        <w:tc>
          <w:tcPr>
            <w:tcW w:w="1300" w:type="dxa"/>
          </w:tcPr>
          <w:p>
            <w:pPr>
              <w:spacing w:after="0" w:before="0"/>
            </w:pPr>
            <w:r/>
            <w:r>
              <w:rPr>
                <w:rFonts w:ascii="Arial" w:hAnsi="Arial" w:cs="Arial"/>
                <w:b w:val="0"/>
                <w:sz w:val="17"/>
              </w:rPr>
              <w:t>Address/Currency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Self-occupied residential, clear title</w:t>
            </w:r>
          </w:p>
        </w:tc>
      </w:tr>
      <w:tr>
        <w:tc>
          <w:tcPr>
            <w:tcW w:w="2900" w:type="dxa"/>
          </w:tcPr>
          <w:p>
            <w:pPr>
              <w:spacing w:after="0" w:before="0"/>
            </w:pPr>
            <w:r/>
            <w:r>
              <w:rPr>
                <w:rFonts w:ascii="Arial" w:hAnsi="Arial" w:cs="Arial"/>
                <w:b w:val="0"/>
                <w:sz w:val="17"/>
              </w:rPr>
              <w:t>Payout Mode Selected</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Lump sum/Annuity/Line of credit</w:t>
            </w:r>
          </w:p>
        </w:tc>
      </w:tr>
      <w:tr>
        <w:tc>
          <w:tcPr>
            <w:tcW w:w="2900" w:type="dxa"/>
          </w:tcPr>
          <w:p>
            <w:pPr>
              <w:spacing w:after="0" w:before="0"/>
            </w:pPr>
            <w:r/>
            <w:r>
              <w:rPr>
                <w:rFonts w:ascii="Arial" w:hAnsi="Arial" w:cs="Arial"/>
                <w:b w:val="0"/>
                <w:sz w:val="17"/>
              </w:rPr>
              <w:t>Legal Heirs Acknowledgement</w:t>
            </w:r>
          </w:p>
        </w:tc>
        <w:tc>
          <w:tcPr>
            <w:tcW w:w="1300" w:type="dxa"/>
          </w:tcPr>
          <w:p>
            <w:pPr>
              <w:spacing w:after="0" w:before="0"/>
            </w:pPr>
            <w:r/>
            <w:r>
              <w:rPr>
                <w:rFonts w:ascii="Arial" w:hAnsi="Arial" w:cs="Arial"/>
                <w:b w:val="0"/>
                <w:sz w:val="17"/>
              </w:rPr>
              <w:t>Document/e-sign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Disclosure of terms</w:t>
            </w:r>
          </w:p>
        </w:tc>
      </w:tr>
      <w:tr>
        <w:tc>
          <w:tcPr>
            <w:tcW w:w="2900" w:type="dxa"/>
          </w:tcPr>
          <w:p>
            <w:pPr>
              <w:spacing w:after="0" w:before="0"/>
            </w:pPr>
            <w:r/>
            <w:r>
              <w:rPr>
                <w:rFonts w:ascii="Arial" w:hAnsi="Arial" w:cs="Arial"/>
                <w:b w:val="0"/>
                <w:sz w:val="17"/>
              </w:rPr>
              <w:t>Mortgage of Property</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No ownership transfer during occupancy</w:t>
            </w:r>
          </w:p>
        </w:tc>
      </w:tr>
      <w:tr>
        <w:tc>
          <w:tcPr>
            <w:tcW w:w="2900" w:type="dxa"/>
          </w:tcPr>
          <w:p>
            <w:pPr>
              <w:spacing w:after="0" w:before="0"/>
            </w:pPr>
            <w:r/>
            <w:r>
              <w:rPr>
                <w:rFonts w:ascii="Arial" w:hAnsi="Arial" w:cs="Arial"/>
                <w:b w:val="0"/>
                <w:sz w:val="17"/>
              </w:rPr>
              <w:t>Periodic Property Revaluation</w:t>
            </w:r>
          </w:p>
        </w:tc>
        <w:tc>
          <w:tcPr>
            <w:tcW w:w="1300" w:type="dxa"/>
          </w:tcPr>
          <w:p>
            <w:pPr>
              <w:spacing w:after="0" w:before="0"/>
            </w:pPr>
            <w:r/>
            <w:r>
              <w:rPr>
                <w:rFonts w:ascii="Arial" w:hAnsi="Arial" w:cs="Arial"/>
                <w:b w:val="0"/>
                <w:sz w:val="17"/>
              </w:rPr>
              <w:t>Report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Recovery on Death/Vacation</w:t>
            </w:r>
          </w:p>
        </w:tc>
        <w:tc>
          <w:tcPr>
            <w:tcW w:w="1300" w:type="dxa"/>
          </w:tcPr>
          <w:p>
            <w:pPr>
              <w:spacing w:after="0" w:before="0"/>
            </w:pPr>
            <w:r/>
            <w:r>
              <w:rPr>
                <w:rFonts w:ascii="Arial" w:hAnsi="Arial" w:cs="Arial"/>
                <w:b w:val="0"/>
                <w:sz w:val="17"/>
              </w:rPr>
              <w:t>Workflow</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Sale process, settlement with heirs</w:t>
            </w:r>
          </w:p>
        </w:tc>
      </w:tr>
    </w:tbl>
    <w:p/>
    <w:p>
      <w:r>
        <w:rPr>
          <w:rFonts w:ascii="Arial" w:hAnsi="Arial" w:cs="Arial"/>
          <w:b/>
          <w:i w:val="0"/>
          <w:sz w:val="22"/>
        </w:rPr>
        <w:t>Computation &amp; servicing:</w:t>
      </w:r>
    </w:p>
    <w:p>
      <w:r>
        <w:rPr>
          <w:rFonts w:ascii="Arial" w:hAnsi="Arial" w:cs="Arial"/>
          <w:b w:val="0"/>
          <w:i w:val="0"/>
          <w:sz w:val="22"/>
        </w:rPr>
        <w:t>Negative amortisation — the outstanding (payouts + accrued interest) grows over time; periodic revaluation monitors coverage; on death/vacation the property is sold and any residual settled with heirs.</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Borrower death / permanent vacation</w:t>
            </w:r>
          </w:p>
        </w:tc>
        <w:tc>
          <w:tcPr>
            <w:tcW w:w="6360" w:type="dxa"/>
          </w:tcPr>
          <w:p>
            <w:pPr>
              <w:spacing w:after="0" w:before="0"/>
            </w:pPr>
            <w:r/>
            <w:r>
              <w:rPr>
                <w:rFonts w:ascii="Arial" w:hAnsi="Arial" w:cs="Arial"/>
                <w:b w:val="0"/>
                <w:sz w:val="17"/>
              </w:rPr>
              <w:t>Trigger recovery workflow; settle with heirs</w:t>
            </w:r>
          </w:p>
        </w:tc>
      </w:tr>
      <w:tr>
        <w:tc>
          <w:tcPr>
            <w:tcW w:w="3000" w:type="dxa"/>
          </w:tcPr>
          <w:p>
            <w:pPr>
              <w:spacing w:after="0" w:before="0"/>
            </w:pPr>
            <w:r/>
            <w:r>
              <w:rPr>
                <w:rFonts w:ascii="Arial" w:hAnsi="Arial" w:cs="Arial"/>
                <w:b w:val="0"/>
                <w:sz w:val="17"/>
              </w:rPr>
              <w:t>Heirs wish to retain property</w:t>
            </w:r>
          </w:p>
        </w:tc>
        <w:tc>
          <w:tcPr>
            <w:tcW w:w="6360" w:type="dxa"/>
          </w:tcPr>
          <w:p>
            <w:pPr>
              <w:spacing w:after="0" w:before="0"/>
            </w:pPr>
            <w:r/>
            <w:r>
              <w:rPr>
                <w:rFonts w:ascii="Arial" w:hAnsi="Arial" w:cs="Arial"/>
                <w:b w:val="0"/>
                <w:sz w:val="17"/>
              </w:rPr>
              <w:t>Allow settlement of dues to redeem</w:t>
            </w:r>
          </w:p>
        </w:tc>
      </w:tr>
      <w:tr>
        <w:tc>
          <w:tcPr>
            <w:tcW w:w="3000" w:type="dxa"/>
          </w:tcPr>
          <w:p>
            <w:pPr>
              <w:spacing w:after="0" w:before="0"/>
            </w:pPr>
            <w:r/>
            <w:r>
              <w:rPr>
                <w:rFonts w:ascii="Arial" w:hAnsi="Arial" w:cs="Arial"/>
                <w:b w:val="0"/>
                <w:sz w:val="17"/>
              </w:rPr>
              <w:t>Property value decline</w:t>
            </w:r>
          </w:p>
        </w:tc>
        <w:tc>
          <w:tcPr>
            <w:tcW w:w="6360" w:type="dxa"/>
          </w:tcPr>
          <w:p>
            <w:pPr>
              <w:spacing w:after="0" w:before="0"/>
            </w:pPr>
            <w:r/>
            <w:r>
              <w:rPr>
                <w:rFonts w:ascii="Arial" w:hAnsi="Arial" w:cs="Arial"/>
                <w:b w:val="0"/>
                <w:sz w:val="17"/>
              </w:rPr>
              <w:t>Monitor; lender bears no-negative-equity per scheme</w:t>
            </w:r>
          </w:p>
        </w:tc>
      </w:tr>
      <w:tr>
        <w:tc>
          <w:tcPr>
            <w:tcW w:w="3000" w:type="dxa"/>
          </w:tcPr>
          <w:p>
            <w:pPr>
              <w:spacing w:after="0" w:before="0"/>
            </w:pPr>
            <w:r/>
            <w:r>
              <w:rPr>
                <w:rFonts w:ascii="Arial" w:hAnsi="Arial" w:cs="Arial"/>
                <w:b w:val="0"/>
                <w:sz w:val="17"/>
              </w:rPr>
              <w:t>Longevity beyond tenure</w:t>
            </w:r>
          </w:p>
        </w:tc>
        <w:tc>
          <w:tcPr>
            <w:tcW w:w="6360" w:type="dxa"/>
          </w:tcPr>
          <w:p>
            <w:pPr>
              <w:spacing w:after="0" w:before="0"/>
            </w:pPr>
            <w:r/>
            <w:r>
              <w:rPr>
                <w:rFonts w:ascii="Arial" w:hAnsi="Arial" w:cs="Arial"/>
                <w:b w:val="0"/>
                <w:sz w:val="17"/>
              </w:rPr>
              <w:t>Handle per scheme (payouts may cease, interest accrues)</w:t>
            </w:r>
          </w:p>
        </w:tc>
      </w:tr>
      <w:tr>
        <w:tc>
          <w:tcPr>
            <w:tcW w:w="3000" w:type="dxa"/>
          </w:tcPr>
          <w:p>
            <w:pPr>
              <w:spacing w:after="0" w:before="0"/>
            </w:pPr>
            <w:r/>
            <w:r>
              <w:rPr>
                <w:rFonts w:ascii="Arial" w:hAnsi="Arial" w:cs="Arial"/>
                <w:b w:val="0"/>
                <w:sz w:val="17"/>
              </w:rPr>
              <w:t>Spouse continuation</w:t>
            </w:r>
          </w:p>
        </w:tc>
        <w:tc>
          <w:tcPr>
            <w:tcW w:w="6360" w:type="dxa"/>
          </w:tcPr>
          <w:p>
            <w:pPr>
              <w:spacing w:after="0" w:before="0"/>
            </w:pPr>
            <w:r/>
            <w:r>
              <w:rPr>
                <w:rFonts w:ascii="Arial" w:hAnsi="Arial" w:cs="Arial"/>
                <w:b w:val="0"/>
                <w:sz w:val="17"/>
              </w:rPr>
              <w:t>Surviving spouse continues per joint terms</w:t>
            </w:r>
          </w:p>
        </w:tc>
      </w:tr>
    </w:tbl>
    <w:p/>
    <w:p>
      <w:r>
        <w:rPr>
          <w:rFonts w:ascii="Arial" w:hAnsi="Arial" w:cs="Arial"/>
          <w:b w:val="0"/>
          <w:i w:val="0"/>
          <w:sz w:val="22"/>
        </w:rPr>
        <w:t>Documents &amp; integrations: Sanction, reverse-mortgage agreement, mortgage deed, heirs’ acknowledgement, KFS; integrations — valuer, CERSAI.</w:t>
      </w:r>
    </w:p>
    <w:p>
      <w:pPr>
        <w:pStyle w:val="Heading2"/>
      </w:pPr>
      <w:r>
        <w:t>87.9 Lease Rental Discounting (LRD) [LRD]</w:t>
      </w:r>
    </w:p>
    <w:p>
      <w:r>
        <w:rPr>
          <w:rFonts w:ascii="Arial" w:hAnsi="Arial" w:cs="Arial"/>
          <w:b w:val="0"/>
          <w:i w:val="0"/>
          <w:sz w:val="22"/>
        </w:rPr>
        <w:t>A term loan to a commercial property owner secured by assignment/escrow of future rentals from a leased property rather than the property’s sale value alone.</w:t>
      </w:r>
    </w:p>
    <w:p>
      <w:r>
        <w:rPr>
          <w:rFonts w:ascii="Arial" w:hAnsi="Arial" w:cs="Arial"/>
          <w:b/>
          <w:i w:val="0"/>
          <w:sz w:val="22"/>
        </w:rPr>
        <w:t>Regulatory, eligibility &amp; policy:</w:t>
      </w:r>
    </w:p>
    <w:p>
      <w:pPr>
        <w:pStyle w:val="ListParagraph"/>
        <w:numPr>
          <w:ilvl w:val="0"/>
          <w:numId w:val="2"/>
        </w:numPr>
      </w:pPr>
      <w:r>
        <w:rPr>
          <w:rFonts w:ascii="Arial" w:hAnsi="Arial" w:cs="Arial"/>
          <w:sz w:val="22"/>
        </w:rPr>
        <w:t>Eligible property/tenant categories with tenant credit-rating thresholds; loan capped as a multiple of discounted future rentals.</w:t>
      </w:r>
    </w:p>
    <w:p>
      <w:pPr>
        <w:pStyle w:val="ListParagraph"/>
        <w:numPr>
          <w:ilvl w:val="0"/>
          <w:numId w:val="2"/>
        </w:numPr>
      </w:pPr>
      <w:r>
        <w:rPr>
          <w:rFonts w:ascii="Arial" w:hAnsi="Arial" w:cs="Arial"/>
          <w:sz w:val="22"/>
        </w:rPr>
        <w:t>Loan tenure capped within the residual lease period (with renewal assumptions per policy); rentals routed through a lender-controlled escrow.</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Property Details</w:t>
            </w:r>
          </w:p>
        </w:tc>
        <w:tc>
          <w:tcPr>
            <w:tcW w:w="1300" w:type="dxa"/>
          </w:tcPr>
          <w:p>
            <w:pPr>
              <w:spacing w:after="0" w:before="0"/>
            </w:pPr>
            <w:r/>
            <w:r>
              <w:rPr>
                <w:rFonts w:ascii="Arial" w:hAnsi="Arial" w:cs="Arial"/>
                <w:b w:val="0"/>
                <w:sz w:val="17"/>
              </w:rPr>
              <w:t>Address/Text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Lease Agreement Details</w:t>
            </w:r>
          </w:p>
        </w:tc>
        <w:tc>
          <w:tcPr>
            <w:tcW w:w="1300" w:type="dxa"/>
          </w:tcPr>
          <w:p>
            <w:pPr>
              <w:spacing w:after="0" w:before="0"/>
            </w:pPr>
            <w:r/>
            <w:r>
              <w:rPr>
                <w:rFonts w:ascii="Arial" w:hAnsi="Arial" w:cs="Arial"/>
                <w:b w:val="0"/>
                <w:sz w:val="17"/>
              </w:rPr>
              <w:t>Text/File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Tenant, start/end date, rental, escalation clause</w:t>
            </w:r>
          </w:p>
        </w:tc>
      </w:tr>
      <w:tr>
        <w:tc>
          <w:tcPr>
            <w:tcW w:w="2900" w:type="dxa"/>
          </w:tcPr>
          <w:p>
            <w:pPr>
              <w:spacing w:after="0" w:before="0"/>
            </w:pPr>
            <w:r/>
            <w:r>
              <w:rPr>
                <w:rFonts w:ascii="Arial" w:hAnsi="Arial" w:cs="Arial"/>
                <w:b w:val="0"/>
                <w:sz w:val="17"/>
              </w:rPr>
              <w:t>Tenant Credit Profile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Bureau/financial check on the tenant</w:t>
            </w:r>
          </w:p>
        </w:tc>
      </w:tr>
      <w:tr>
        <w:tc>
          <w:tcPr>
            <w:tcW w:w="2900" w:type="dxa"/>
          </w:tcPr>
          <w:p>
            <w:pPr>
              <w:spacing w:after="0" w:before="0"/>
            </w:pPr>
            <w:r/>
            <w:r>
              <w:rPr>
                <w:rFonts w:ascii="Arial" w:hAnsi="Arial" w:cs="Arial"/>
                <w:b w:val="0"/>
                <w:sz w:val="17"/>
              </w:rPr>
              <w:t>Rental Escrow Account</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Tenant pays rent into a controlled escrow</w:t>
            </w:r>
          </w:p>
        </w:tc>
      </w:tr>
      <w:tr>
        <w:tc>
          <w:tcPr>
            <w:tcW w:w="2900" w:type="dxa"/>
          </w:tcPr>
          <w:p>
            <w:pPr>
              <w:spacing w:after="0" w:before="0"/>
            </w:pPr>
            <w:r/>
            <w:r>
              <w:rPr>
                <w:rFonts w:ascii="Arial" w:hAnsi="Arial" w:cs="Arial"/>
                <w:b w:val="0"/>
                <w:sz w:val="17"/>
              </w:rPr>
              <w:t>Assignment of Lease Rentals</w:t>
            </w:r>
          </w:p>
        </w:tc>
        <w:tc>
          <w:tcPr>
            <w:tcW w:w="1300" w:type="dxa"/>
          </w:tcPr>
          <w:p>
            <w:pPr>
              <w:spacing w:after="0" w:before="0"/>
            </w:pPr>
            <w:r/>
            <w:r>
              <w:rPr>
                <w:rFonts w:ascii="Arial" w:hAnsi="Arial" w:cs="Arial"/>
                <w:b w:val="0"/>
                <w:sz w:val="17"/>
              </w:rPr>
              <w:t>Document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Registered/notarised as applicable</w:t>
            </w:r>
          </w:p>
        </w:tc>
      </w:tr>
      <w:tr>
        <w:tc>
          <w:tcPr>
            <w:tcW w:w="2900" w:type="dxa"/>
          </w:tcPr>
          <w:p>
            <w:pPr>
              <w:spacing w:after="0" w:before="0"/>
            </w:pPr>
            <w:r/>
            <w:r>
              <w:rPr>
                <w:rFonts w:ascii="Arial" w:hAnsi="Arial" w:cs="Arial"/>
                <w:b w:val="0"/>
                <w:sz w:val="17"/>
              </w:rPr>
              <w:t>Property Mortgage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Per LAP collateral fields</w:t>
            </w:r>
          </w:p>
        </w:tc>
      </w:tr>
      <w:tr>
        <w:tc>
          <w:tcPr>
            <w:tcW w:w="2900" w:type="dxa"/>
          </w:tcPr>
          <w:p>
            <w:pPr>
              <w:spacing w:after="0" w:before="0"/>
            </w:pPr>
            <w:r/>
            <w:r>
              <w:rPr>
                <w:rFonts w:ascii="Arial" w:hAnsi="Arial" w:cs="Arial"/>
                <w:b w:val="0"/>
                <w:sz w:val="17"/>
              </w:rPr>
              <w:t>Requested Amount &amp; Tenure</w:t>
            </w:r>
          </w:p>
        </w:tc>
        <w:tc>
          <w:tcPr>
            <w:tcW w:w="1300" w:type="dxa"/>
          </w:tcPr>
          <w:p>
            <w:pPr>
              <w:spacing w:after="0" w:before="0"/>
            </w:pPr>
            <w:r/>
            <w:r>
              <w:rPr>
                <w:rFonts w:ascii="Arial" w:hAnsi="Arial" w:cs="Arial"/>
                <w:b w:val="0"/>
                <w:sz w:val="17"/>
              </w:rPr>
              <w:t>Currency/Number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residual lease</w:t>
            </w:r>
          </w:p>
        </w:tc>
      </w:tr>
    </w:tbl>
    <w:p/>
    <w:p>
      <w:r>
        <w:rPr>
          <w:rFonts w:ascii="Arial" w:hAnsi="Arial" w:cs="Arial"/>
          <w:b/>
          <w:i w:val="0"/>
          <w:sz w:val="22"/>
        </w:rPr>
        <w:t>Computation &amp; servicing:</w:t>
      </w:r>
    </w:p>
    <w:p>
      <w:r>
        <w:rPr>
          <w:rFonts w:ascii="Arial" w:hAnsi="Arial" w:cs="Arial"/>
          <w:b w:val="0"/>
          <w:i w:val="0"/>
          <w:sz w:val="22"/>
        </w:rPr>
        <w:t>Loan sized as a multiple of discounted future rentals; instalments serviced from the escrowed rentals; tenure ≤ residual lease; coverage (rental ÷ instalment) monitored.</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Tenant vacates / defaults</w:t>
            </w:r>
          </w:p>
        </w:tc>
        <w:tc>
          <w:tcPr>
            <w:tcW w:w="6360" w:type="dxa"/>
          </w:tcPr>
          <w:p>
            <w:pPr>
              <w:spacing w:after="0" w:before="0"/>
            </w:pPr>
            <w:r/>
            <w:r>
              <w:rPr>
                <w:rFonts w:ascii="Arial" w:hAnsi="Arial" w:cs="Arial"/>
                <w:b w:val="0"/>
                <w:sz w:val="17"/>
              </w:rPr>
              <w:t>Coverage breach → early-warning; re-lease/top-up</w:t>
            </w:r>
          </w:p>
        </w:tc>
      </w:tr>
      <w:tr>
        <w:tc>
          <w:tcPr>
            <w:tcW w:w="3000" w:type="dxa"/>
          </w:tcPr>
          <w:p>
            <w:pPr>
              <w:spacing w:after="0" w:before="0"/>
            </w:pPr>
            <w:r/>
            <w:r>
              <w:rPr>
                <w:rFonts w:ascii="Arial" w:hAnsi="Arial" w:cs="Arial"/>
                <w:b w:val="0"/>
                <w:sz w:val="17"/>
              </w:rPr>
              <w:t>Lease non-renewal</w:t>
            </w:r>
          </w:p>
        </w:tc>
        <w:tc>
          <w:tcPr>
            <w:tcW w:w="6360" w:type="dxa"/>
          </w:tcPr>
          <w:p>
            <w:pPr>
              <w:spacing w:after="0" w:before="0"/>
            </w:pPr>
            <w:r/>
            <w:r>
              <w:rPr>
                <w:rFonts w:ascii="Arial" w:hAnsi="Arial" w:cs="Arial"/>
                <w:b w:val="0"/>
                <w:sz w:val="17"/>
              </w:rPr>
              <w:t>Tenure/coverage re-assessed at renewal</w:t>
            </w:r>
          </w:p>
        </w:tc>
      </w:tr>
      <w:tr>
        <w:tc>
          <w:tcPr>
            <w:tcW w:w="3000" w:type="dxa"/>
          </w:tcPr>
          <w:p>
            <w:pPr>
              <w:spacing w:after="0" w:before="0"/>
            </w:pPr>
            <w:r/>
            <w:r>
              <w:rPr>
                <w:rFonts w:ascii="Arial" w:hAnsi="Arial" w:cs="Arial"/>
                <w:b w:val="0"/>
                <w:sz w:val="17"/>
              </w:rPr>
              <w:t>Rental revision</w:t>
            </w:r>
          </w:p>
        </w:tc>
        <w:tc>
          <w:tcPr>
            <w:tcW w:w="6360" w:type="dxa"/>
          </w:tcPr>
          <w:p>
            <w:pPr>
              <w:spacing w:after="0" w:before="0"/>
            </w:pPr>
            <w:r/>
            <w:r>
              <w:rPr>
                <w:rFonts w:ascii="Arial" w:hAnsi="Arial" w:cs="Arial"/>
                <w:b w:val="0"/>
                <w:sz w:val="17"/>
              </w:rPr>
              <w:t>Re-compute coverage</w:t>
            </w:r>
          </w:p>
        </w:tc>
      </w:tr>
      <w:tr>
        <w:tc>
          <w:tcPr>
            <w:tcW w:w="3000" w:type="dxa"/>
          </w:tcPr>
          <w:p>
            <w:pPr>
              <w:spacing w:after="0" w:before="0"/>
            </w:pPr>
            <w:r/>
            <w:r>
              <w:rPr>
                <w:rFonts w:ascii="Arial" w:hAnsi="Arial" w:cs="Arial"/>
                <w:b w:val="0"/>
                <w:sz w:val="17"/>
              </w:rPr>
              <w:t>Escrow diversion</w:t>
            </w:r>
          </w:p>
        </w:tc>
        <w:tc>
          <w:tcPr>
            <w:tcW w:w="6360" w:type="dxa"/>
          </w:tcPr>
          <w:p>
            <w:pPr>
              <w:spacing w:after="0" w:before="0"/>
            </w:pPr>
            <w:r/>
            <w:r>
              <w:rPr>
                <w:rFonts w:ascii="Arial" w:hAnsi="Arial" w:cs="Arial"/>
                <w:b w:val="0"/>
                <w:sz w:val="17"/>
              </w:rPr>
              <w:t>Enforce escrow mandate; legal action</w:t>
            </w:r>
          </w:p>
        </w:tc>
      </w:tr>
      <w:tr>
        <w:tc>
          <w:tcPr>
            <w:tcW w:w="3000" w:type="dxa"/>
          </w:tcPr>
          <w:p>
            <w:pPr>
              <w:spacing w:after="0" w:before="0"/>
            </w:pPr>
            <w:r/>
            <w:r>
              <w:rPr>
                <w:rFonts w:ascii="Arial" w:hAnsi="Arial" w:cs="Arial"/>
                <w:b w:val="0"/>
                <w:sz w:val="17"/>
              </w:rPr>
              <w:t>Property sale</w:t>
            </w:r>
          </w:p>
        </w:tc>
        <w:tc>
          <w:tcPr>
            <w:tcW w:w="6360" w:type="dxa"/>
          </w:tcPr>
          <w:p>
            <w:pPr>
              <w:spacing w:after="0" w:before="0"/>
            </w:pPr>
            <w:r/>
            <w:r>
              <w:rPr>
                <w:rFonts w:ascii="Arial" w:hAnsi="Arial" w:cs="Arial"/>
                <w:b w:val="0"/>
                <w:sz w:val="17"/>
              </w:rPr>
              <w:t>Prepayment/assignment handling</w:t>
            </w:r>
          </w:p>
        </w:tc>
      </w:tr>
    </w:tbl>
    <w:p/>
    <w:p>
      <w:r>
        <w:rPr>
          <w:rFonts w:ascii="Arial" w:hAnsi="Arial" w:cs="Arial"/>
          <w:b w:val="0"/>
          <w:i w:val="0"/>
          <w:sz w:val="22"/>
        </w:rPr>
        <w:t>Documents &amp; integrations: Sanction, LRD agreement, assignment deed, escrow mandate, mortgage, KFS; integrations — escrow bank, valuer, CERSAI.</w:t>
      </w:r>
    </w:p>
    <w:p>
      <w:pPr>
        <w:pStyle w:val="Heading2"/>
      </w:pPr>
      <w:r>
        <w:t>87.10 Loan Against FD / Insurance Policy / Mutual Funds [LAFD]</w:t>
      </w:r>
    </w:p>
    <w:p>
      <w:r>
        <w:rPr>
          <w:rFonts w:ascii="Arial" w:hAnsi="Arial" w:cs="Arial"/>
          <w:b w:val="0"/>
          <w:i w:val="0"/>
          <w:sz w:val="22"/>
        </w:rPr>
        <w:t>An overdraft/term loan against lien-marked bank Fixed Deposits, insurance policy surrender value, or mutual-fund units — a lower-risk cousin of LAS, often with minimal underwriting since the collateral is highly liquid.</w:t>
      </w:r>
    </w:p>
    <w:p>
      <w:r>
        <w:rPr>
          <w:rFonts w:ascii="Arial" w:hAnsi="Arial" w:cs="Arial"/>
          <w:b/>
          <w:i w:val="0"/>
          <w:sz w:val="22"/>
        </w:rPr>
        <w:t>Regulatory, eligibility &amp; policy:</w:t>
      </w:r>
    </w:p>
    <w:p>
      <w:pPr>
        <w:pStyle w:val="ListParagraph"/>
        <w:numPr>
          <w:ilvl w:val="0"/>
          <w:numId w:val="2"/>
        </w:numPr>
      </w:pPr>
      <w:r>
        <w:rPr>
          <w:rFonts w:ascii="Arial" w:hAnsi="Arial" w:cs="Arial"/>
          <w:sz w:val="22"/>
        </w:rPr>
        <w:t>LTV by collateral type (e.g., FD 90–95%, insurance surrender-value-based, MF per the LAS table); lien marked with the issuer (bank/insurer/AMC).</w:t>
      </w:r>
    </w:p>
    <w:p>
      <w:pPr>
        <w:pStyle w:val="ListParagraph"/>
        <w:numPr>
          <w:ilvl w:val="0"/>
          <w:numId w:val="2"/>
        </w:numPr>
      </w:pPr>
      <w:r>
        <w:rPr>
          <w:rFonts w:ascii="Arial" w:hAnsi="Arial" w:cs="Arial"/>
          <w:sz w:val="22"/>
        </w:rPr>
        <w:t>For FD-backed loans, interest is typically 1–2% above the FD rate.</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Collateral Reference</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FD receipt no. / policy no. / folio no., issuer, value</w:t>
            </w:r>
          </w:p>
        </w:tc>
      </w:tr>
      <w:tr>
        <w:tc>
          <w:tcPr>
            <w:tcW w:w="2900" w:type="dxa"/>
          </w:tcPr>
          <w:p>
            <w:pPr>
              <w:spacing w:after="0" w:before="0"/>
            </w:pPr>
            <w:r/>
            <w:r>
              <w:rPr>
                <w:rFonts w:ascii="Arial" w:hAnsi="Arial" w:cs="Arial"/>
                <w:b w:val="0"/>
                <w:sz w:val="17"/>
              </w:rPr>
              <w:t>Collateral Type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Bank FD / Insurance / Mutual Fund</w:t>
            </w:r>
          </w:p>
        </w:tc>
      </w:tr>
      <w:tr>
        <w:tc>
          <w:tcPr>
            <w:tcW w:w="2900" w:type="dxa"/>
          </w:tcPr>
          <w:p>
            <w:pPr>
              <w:spacing w:after="0" w:before="0"/>
            </w:pPr>
            <w:r/>
            <w:r>
              <w:rPr>
                <w:rFonts w:ascii="Arial" w:hAnsi="Arial" w:cs="Arial"/>
                <w:b w:val="0"/>
                <w:sz w:val="17"/>
              </w:rPr>
              <w:t>Lien Marking with Issuer</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Bank/Insurer/AMC confirmation</w:t>
            </w:r>
          </w:p>
        </w:tc>
      </w:tr>
      <w:tr>
        <w:tc>
          <w:tcPr>
            <w:tcW w:w="2900" w:type="dxa"/>
          </w:tcPr>
          <w:p>
            <w:pPr>
              <w:spacing w:after="0" w:before="0"/>
            </w:pPr>
            <w:r/>
            <w:r>
              <w:rPr>
                <w:rFonts w:ascii="Arial" w:hAnsi="Arial" w:cs="Arial"/>
                <w:b w:val="0"/>
                <w:sz w:val="17"/>
              </w:rPr>
              <w:t>Surrender Value Certificate (Insurance)</w:t>
            </w:r>
          </w:p>
        </w:tc>
        <w:tc>
          <w:tcPr>
            <w:tcW w:w="1300" w:type="dxa"/>
          </w:tcPr>
          <w:p>
            <w:pPr>
              <w:spacing w:after="0" w:before="0"/>
            </w:pPr>
            <w:r/>
            <w:r>
              <w:rPr>
                <w:rFonts w:ascii="Arial" w:hAnsi="Arial" w:cs="Arial"/>
                <w:b w:val="0"/>
                <w:sz w:val="17"/>
              </w:rPr>
              <w:t>Document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Requested Loan Amount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LTV cap</w:t>
            </w:r>
          </w:p>
        </w:tc>
      </w:tr>
      <w:tr>
        <w:tc>
          <w:tcPr>
            <w:tcW w:w="2900" w:type="dxa"/>
          </w:tcPr>
          <w:p>
            <w:pPr>
              <w:spacing w:after="0" w:before="0"/>
            </w:pPr>
            <w:r/>
            <w:r>
              <w:rPr>
                <w:rFonts w:ascii="Arial" w:hAnsi="Arial" w:cs="Arial"/>
                <w:b w:val="0"/>
                <w:sz w:val="17"/>
              </w:rPr>
              <w:t>Auto-Foreclosure on Maturity Mismatch</w:t>
            </w:r>
          </w:p>
        </w:tc>
        <w:tc>
          <w:tcPr>
            <w:tcW w:w="1300" w:type="dxa"/>
          </w:tcPr>
          <w:p>
            <w:pPr>
              <w:spacing w:after="0" w:before="0"/>
            </w:pPr>
            <w:r/>
            <w:r>
              <w:rPr>
                <w:rFonts w:ascii="Arial" w:hAnsi="Arial" w:cs="Arial"/>
                <w:b w:val="0"/>
                <w:sz w:val="17"/>
              </w:rPr>
              <w:t>Rule</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If FD matures before loan closure</w:t>
            </w:r>
          </w:p>
        </w:tc>
      </w:tr>
    </w:tbl>
    <w:p/>
    <w:p>
      <w:r>
        <w:rPr>
          <w:rFonts w:ascii="Arial" w:hAnsi="Arial" w:cs="Arial"/>
          <w:b/>
          <w:i w:val="0"/>
          <w:sz w:val="22"/>
        </w:rPr>
        <w:t>Computation &amp; servicing:</w:t>
      </w:r>
    </w:p>
    <w:p>
      <w:r>
        <w:rPr>
          <w:rFonts w:ascii="Arial" w:hAnsi="Arial" w:cs="Arial"/>
          <w:b w:val="0"/>
          <w:i w:val="0"/>
          <w:sz w:val="22"/>
        </w:rPr>
        <w:t>Interest 1–2% above FD rate (FD-backed) or daily reducing (others); drawing power = collateral value × LTV; for MF/insurance, periodic revaluation and margin logic similar to LAS (Section 86.7–86.8).</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FD matures before loan</w:t>
            </w:r>
          </w:p>
        </w:tc>
        <w:tc>
          <w:tcPr>
            <w:tcW w:w="6360" w:type="dxa"/>
          </w:tcPr>
          <w:p>
            <w:pPr>
              <w:spacing w:after="0" w:before="0"/>
            </w:pPr>
            <w:r/>
            <w:r>
              <w:rPr>
                <w:rFonts w:ascii="Arial" w:hAnsi="Arial" w:cs="Arial"/>
                <w:b w:val="0"/>
                <w:sz w:val="17"/>
              </w:rPr>
              <w:t>Renew lien or close loan per rule</w:t>
            </w:r>
          </w:p>
        </w:tc>
      </w:tr>
      <w:tr>
        <w:tc>
          <w:tcPr>
            <w:tcW w:w="3000" w:type="dxa"/>
          </w:tcPr>
          <w:p>
            <w:pPr>
              <w:spacing w:after="0" w:before="0"/>
            </w:pPr>
            <w:r/>
            <w:r>
              <w:rPr>
                <w:rFonts w:ascii="Arial" w:hAnsi="Arial" w:cs="Arial"/>
                <w:b w:val="0"/>
                <w:sz w:val="17"/>
              </w:rPr>
              <w:t>Insurance policy lapse/surrender</w:t>
            </w:r>
          </w:p>
        </w:tc>
        <w:tc>
          <w:tcPr>
            <w:tcW w:w="6360" w:type="dxa"/>
          </w:tcPr>
          <w:p>
            <w:pPr>
              <w:spacing w:after="0" w:before="0"/>
            </w:pPr>
            <w:r/>
            <w:r>
              <w:rPr>
                <w:rFonts w:ascii="Arial" w:hAnsi="Arial" w:cs="Arial"/>
                <w:b w:val="0"/>
                <w:sz w:val="17"/>
              </w:rPr>
              <w:t>Re-assess collateral; margin call</w:t>
            </w:r>
          </w:p>
        </w:tc>
      </w:tr>
      <w:tr>
        <w:tc>
          <w:tcPr>
            <w:tcW w:w="3000" w:type="dxa"/>
          </w:tcPr>
          <w:p>
            <w:pPr>
              <w:spacing w:after="0" w:before="0"/>
            </w:pPr>
            <w:r/>
            <w:r>
              <w:rPr>
                <w:rFonts w:ascii="Arial" w:hAnsi="Arial" w:cs="Arial"/>
                <w:b w:val="0"/>
                <w:sz w:val="17"/>
              </w:rPr>
              <w:t>MF NAV fall</w:t>
            </w:r>
          </w:p>
        </w:tc>
        <w:tc>
          <w:tcPr>
            <w:tcW w:w="6360" w:type="dxa"/>
          </w:tcPr>
          <w:p>
            <w:pPr>
              <w:spacing w:after="0" w:before="0"/>
            </w:pPr>
            <w:r/>
            <w:r>
              <w:rPr>
                <w:rFonts w:ascii="Arial" w:hAnsi="Arial" w:cs="Arial"/>
                <w:b w:val="0"/>
                <w:sz w:val="17"/>
              </w:rPr>
              <w:t>Margin call (LAS-style)</w:t>
            </w:r>
          </w:p>
        </w:tc>
      </w:tr>
      <w:tr>
        <w:tc>
          <w:tcPr>
            <w:tcW w:w="3000" w:type="dxa"/>
          </w:tcPr>
          <w:p>
            <w:pPr>
              <w:spacing w:after="0" w:before="0"/>
            </w:pPr>
            <w:r/>
            <w:r>
              <w:rPr>
                <w:rFonts w:ascii="Arial" w:hAnsi="Arial" w:cs="Arial"/>
                <w:b w:val="0"/>
                <w:sz w:val="17"/>
              </w:rPr>
              <w:t>Premature FD closure request</w:t>
            </w:r>
          </w:p>
        </w:tc>
        <w:tc>
          <w:tcPr>
            <w:tcW w:w="6360" w:type="dxa"/>
          </w:tcPr>
          <w:p>
            <w:pPr>
              <w:spacing w:after="0" w:before="0"/>
            </w:pPr>
            <w:r/>
            <w:r>
              <w:rPr>
                <w:rFonts w:ascii="Arial" w:hAnsi="Arial" w:cs="Arial"/>
                <w:b w:val="0"/>
                <w:sz w:val="17"/>
              </w:rPr>
              <w:t>Blocked while lien active</w:t>
            </w:r>
          </w:p>
        </w:tc>
      </w:tr>
      <w:tr>
        <w:tc>
          <w:tcPr>
            <w:tcW w:w="3000" w:type="dxa"/>
          </w:tcPr>
          <w:p>
            <w:pPr>
              <w:spacing w:after="0" w:before="0"/>
            </w:pPr>
            <w:r/>
            <w:r>
              <w:rPr>
                <w:rFonts w:ascii="Arial" w:hAnsi="Arial" w:cs="Arial"/>
                <w:b w:val="0"/>
                <w:sz w:val="17"/>
              </w:rPr>
              <w:t>Joint FD holders</w:t>
            </w:r>
          </w:p>
        </w:tc>
        <w:tc>
          <w:tcPr>
            <w:tcW w:w="6360" w:type="dxa"/>
          </w:tcPr>
          <w:p>
            <w:pPr>
              <w:spacing w:after="0" w:before="0"/>
            </w:pPr>
            <w:r/>
            <w:r>
              <w:rPr>
                <w:rFonts w:ascii="Arial" w:hAnsi="Arial" w:cs="Arial"/>
                <w:b w:val="0"/>
                <w:sz w:val="17"/>
              </w:rPr>
              <w:t>All holders consent to lien</w:t>
            </w:r>
          </w:p>
        </w:tc>
      </w:tr>
    </w:tbl>
    <w:p/>
    <w:p>
      <w:r>
        <w:rPr>
          <w:rFonts w:ascii="Arial" w:hAnsi="Arial" w:cs="Arial"/>
          <w:b w:val="0"/>
          <w:i w:val="0"/>
          <w:sz w:val="22"/>
        </w:rPr>
        <w:t>Documents &amp; integrations: Sanction, agreement, lien-confirmation, KFS; integrations — bank/AMC/insurer for lien marking, NAV feed.</w:t>
      </w:r>
    </w:p>
    <w:p>
      <w:pPr>
        <w:pStyle w:val="Heading2"/>
      </w:pPr>
      <w:r>
        <w:t>87.11 Unsecured Personal / Business Loan [PL / BL-UNSEC]</w:t>
      </w:r>
    </w:p>
    <w:p>
      <w:r>
        <w:rPr>
          <w:rFonts w:ascii="Arial" w:hAnsi="Arial" w:cs="Arial"/>
          <w:b w:val="0"/>
          <w:i w:val="0"/>
          <w:sz w:val="22"/>
        </w:rPr>
        <w:t>A collateral-free term loan with risk-based pricing, underwritten on income, obligations and bureau profile.</w:t>
      </w:r>
    </w:p>
    <w:p>
      <w:r>
        <w:rPr>
          <w:rFonts w:ascii="Arial" w:hAnsi="Arial" w:cs="Arial"/>
          <w:b/>
          <w:i w:val="0"/>
          <w:sz w:val="22"/>
        </w:rPr>
        <w:t>Regulatory, eligibility &amp; policy:</w:t>
      </w:r>
    </w:p>
    <w:p>
      <w:pPr>
        <w:pStyle w:val="ListParagraph"/>
        <w:numPr>
          <w:ilvl w:val="0"/>
          <w:numId w:val="2"/>
        </w:numPr>
      </w:pPr>
      <w:r>
        <w:rPr>
          <w:rFonts w:ascii="Arial" w:hAnsi="Arial" w:cs="Arial"/>
          <w:sz w:val="22"/>
        </w:rPr>
        <w:t>Maximum ticket per internal risk policy; risk-based pricing slabs by bureau score/grade; FOIR discipline.</w:t>
      </w:r>
    </w:p>
    <w:p>
      <w:pPr>
        <w:pStyle w:val="ListParagraph"/>
        <w:numPr>
          <w:ilvl w:val="0"/>
          <w:numId w:val="2"/>
        </w:numPr>
      </w:pPr>
      <w:r>
        <w:rPr>
          <w:rFonts w:ascii="Arial" w:hAnsi="Arial" w:cs="Arial"/>
          <w:sz w:val="22"/>
        </w:rPr>
        <w:t>Thin-file/new-to-credit applicants may be assessed with alternative data (Section 3.33).</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Loan Amount Requested</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unsecured cap</w:t>
            </w:r>
          </w:p>
        </w:tc>
      </w:tr>
      <w:tr>
        <w:tc>
          <w:tcPr>
            <w:tcW w:w="2900" w:type="dxa"/>
          </w:tcPr>
          <w:p>
            <w:pPr>
              <w:spacing w:after="0" w:before="0"/>
            </w:pPr>
            <w:r/>
            <w:r>
              <w:rPr>
                <w:rFonts w:ascii="Arial" w:hAnsi="Arial" w:cs="Arial"/>
                <w:b w:val="0"/>
                <w:sz w:val="17"/>
              </w:rPr>
              <w:t>Purpose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Personal: medical/travel/wedding/education/debt-consolidation; Business: WC/expansion/equipment</w:t>
            </w:r>
          </w:p>
        </w:tc>
      </w:tr>
      <w:tr>
        <w:tc>
          <w:tcPr>
            <w:tcW w:w="2900" w:type="dxa"/>
          </w:tcPr>
          <w:p>
            <w:pPr>
              <w:spacing w:after="0" w:before="0"/>
            </w:pPr>
            <w:r/>
            <w:r>
              <w:rPr>
                <w:rFonts w:ascii="Arial" w:hAnsi="Arial" w:cs="Arial"/>
                <w:b w:val="0"/>
                <w:sz w:val="17"/>
              </w:rPr>
              <w:t>Employment / Business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Section 2 income record</w:t>
            </w:r>
          </w:p>
        </w:tc>
      </w:tr>
      <w:tr>
        <w:tc>
          <w:tcPr>
            <w:tcW w:w="2900" w:type="dxa"/>
          </w:tcPr>
          <w:p>
            <w:pPr>
              <w:spacing w:after="0" w:before="0"/>
            </w:pPr>
            <w:r/>
            <w:r>
              <w:rPr>
                <w:rFonts w:ascii="Arial" w:hAnsi="Arial" w:cs="Arial"/>
                <w:b w:val="0"/>
                <w:sz w:val="17"/>
              </w:rPr>
              <w:t>Existing Loan Obligations</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For FOIR</w:t>
            </w:r>
          </w:p>
        </w:tc>
      </w:tr>
      <w:tr>
        <w:tc>
          <w:tcPr>
            <w:tcW w:w="2900" w:type="dxa"/>
          </w:tcPr>
          <w:p>
            <w:pPr>
              <w:spacing w:after="0" w:before="0"/>
            </w:pPr>
            <w:r/>
            <w:r>
              <w:rPr>
                <w:rFonts w:ascii="Arial" w:hAnsi="Arial" w:cs="Arial"/>
                <w:b w:val="0"/>
                <w:sz w:val="17"/>
              </w:rPr>
              <w:t>References</w:t>
            </w:r>
          </w:p>
        </w:tc>
        <w:tc>
          <w:tcPr>
            <w:tcW w:w="1300" w:type="dxa"/>
          </w:tcPr>
          <w:p>
            <w:pPr>
              <w:spacing w:after="0" w:before="0"/>
            </w:pPr>
            <w:r/>
            <w:r>
              <w:rPr>
                <w:rFonts w:ascii="Arial" w:hAnsi="Arial" w:cs="Arial"/>
                <w:b w:val="0"/>
                <w:sz w:val="17"/>
              </w:rPr>
              <w:t>Repeatable grid (2)</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Name, relationship, contact</w:t>
            </w:r>
          </w:p>
        </w:tc>
      </w:tr>
      <w:tr>
        <w:tc>
          <w:tcPr>
            <w:tcW w:w="2900" w:type="dxa"/>
          </w:tcPr>
          <w:p>
            <w:pPr>
              <w:spacing w:after="0" w:before="0"/>
            </w:pPr>
            <w:r/>
            <w:r>
              <w:rPr>
                <w:rFonts w:ascii="Arial" w:hAnsi="Arial" w:cs="Arial"/>
                <w:b w:val="0"/>
                <w:sz w:val="17"/>
              </w:rPr>
              <w:t>e-NACH Mandate</w:t>
            </w:r>
          </w:p>
        </w:tc>
        <w:tc>
          <w:tcPr>
            <w:tcW w:w="1300" w:type="dxa"/>
          </w:tcPr>
          <w:p>
            <w:pPr>
              <w:spacing w:after="0" w:before="0"/>
            </w:pPr>
            <w:r/>
            <w:r>
              <w:rPr>
                <w:rFonts w:ascii="Arial" w:hAnsi="Arial" w:cs="Arial"/>
                <w:b w:val="0"/>
                <w:sz w:val="17"/>
              </w:rPr>
              <w:t>e-Mandate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Auto-debit</w:t>
            </w:r>
          </w:p>
        </w:tc>
      </w:tr>
      <w:tr>
        <w:tc>
          <w:tcPr>
            <w:tcW w:w="2900" w:type="dxa"/>
          </w:tcPr>
          <w:p>
            <w:pPr>
              <w:spacing w:after="0" w:before="0"/>
            </w:pPr>
            <w:r/>
            <w:r>
              <w:rPr>
                <w:rFonts w:ascii="Arial" w:hAnsi="Arial" w:cs="Arial"/>
                <w:b w:val="0"/>
                <w:sz w:val="17"/>
              </w:rPr>
              <w:t>FOIR (computed)</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Obligations ÷ income</w:t>
            </w:r>
          </w:p>
        </w:tc>
      </w:tr>
      <w:tr>
        <w:tc>
          <w:tcPr>
            <w:tcW w:w="2900" w:type="dxa"/>
          </w:tcPr>
          <w:p>
            <w:pPr>
              <w:spacing w:after="0" w:before="0"/>
            </w:pPr>
            <w:r/>
            <w:r>
              <w:rPr>
                <w:rFonts w:ascii="Arial" w:hAnsi="Arial" w:cs="Arial"/>
                <w:b w:val="0"/>
                <w:sz w:val="17"/>
              </w:rPr>
              <w:t>Bureau Score &amp; Risk Grade</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At underwriting</w:t>
            </w:r>
          </w:p>
        </w:tc>
      </w:tr>
      <w:tr>
        <w:tc>
          <w:tcPr>
            <w:tcW w:w="2900" w:type="dxa"/>
          </w:tcPr>
          <w:p>
            <w:pPr>
              <w:spacing w:after="0" w:before="0"/>
            </w:pPr>
            <w:r/>
            <w:r>
              <w:rPr>
                <w:rFonts w:ascii="Arial" w:hAnsi="Arial" w:cs="Arial"/>
                <w:b w:val="0"/>
                <w:sz w:val="17"/>
              </w:rPr>
              <w:t>Approved Rate (by grade)</w:t>
            </w:r>
          </w:p>
        </w:tc>
        <w:tc>
          <w:tcPr>
            <w:tcW w:w="1300" w:type="dxa"/>
          </w:tcPr>
          <w:p>
            <w:pPr>
              <w:spacing w:after="0" w:before="0"/>
            </w:pPr>
            <w:r/>
            <w:r>
              <w:rPr>
                <w:rFonts w:ascii="Arial" w:hAnsi="Arial" w:cs="Arial"/>
                <w:b w:val="0"/>
                <w:sz w:val="17"/>
              </w:rPr>
              <w:t>Percentage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Risk-based</w:t>
            </w:r>
          </w:p>
        </w:tc>
      </w:tr>
    </w:tbl>
    <w:p/>
    <w:p>
      <w:r>
        <w:rPr>
          <w:rFonts w:ascii="Arial" w:hAnsi="Arial" w:cs="Arial"/>
          <w:b/>
          <w:i w:val="0"/>
          <w:sz w:val="22"/>
        </w:rPr>
        <w:t>Computation &amp; servicing:</w:t>
      </w:r>
    </w:p>
    <w:p>
      <w:r>
        <w:rPr>
          <w:rFonts w:ascii="Arial" w:hAnsi="Arial" w:cs="Arial"/>
          <w:b w:val="0"/>
          <w:i w:val="0"/>
          <w:sz w:val="22"/>
        </w:rPr>
        <w:t>Amortised EMI (Section 45.3.5); rate by risk grade; FOIR ≤ product cap; no collateral, so bureau/behaviour drive risk.</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High FOIR</w:t>
            </w:r>
          </w:p>
        </w:tc>
        <w:tc>
          <w:tcPr>
            <w:tcW w:w="6360" w:type="dxa"/>
          </w:tcPr>
          <w:p>
            <w:pPr>
              <w:spacing w:after="0" w:before="0"/>
            </w:pPr>
            <w:r/>
            <w:r>
              <w:rPr>
                <w:rFonts w:ascii="Arial" w:hAnsi="Arial" w:cs="Arial"/>
                <w:b w:val="0"/>
                <w:sz w:val="17"/>
              </w:rPr>
              <w:t>Reduce amount or reject (BR-002)</w:t>
            </w:r>
          </w:p>
        </w:tc>
      </w:tr>
      <w:tr>
        <w:tc>
          <w:tcPr>
            <w:tcW w:w="3000" w:type="dxa"/>
          </w:tcPr>
          <w:p>
            <w:pPr>
              <w:spacing w:after="0" w:before="0"/>
            </w:pPr>
            <w:r/>
            <w:r>
              <w:rPr>
                <w:rFonts w:ascii="Arial" w:hAnsi="Arial" w:cs="Arial"/>
                <w:b w:val="0"/>
                <w:sz w:val="17"/>
              </w:rPr>
              <w:t>Thin file</w:t>
            </w:r>
          </w:p>
        </w:tc>
        <w:tc>
          <w:tcPr>
            <w:tcW w:w="6360" w:type="dxa"/>
          </w:tcPr>
          <w:p>
            <w:pPr>
              <w:spacing w:after="0" w:before="0"/>
            </w:pPr>
            <w:r/>
            <w:r>
              <w:rPr>
                <w:rFonts w:ascii="Arial" w:hAnsi="Arial" w:cs="Arial"/>
                <w:b w:val="0"/>
                <w:sz w:val="17"/>
              </w:rPr>
              <w:t>Alternative-data underwriting (Section 3.33)</w:t>
            </w:r>
          </w:p>
        </w:tc>
      </w:tr>
      <w:tr>
        <w:tc>
          <w:tcPr>
            <w:tcW w:w="3000" w:type="dxa"/>
          </w:tcPr>
          <w:p>
            <w:pPr>
              <w:spacing w:after="0" w:before="0"/>
            </w:pPr>
            <w:r/>
            <w:r>
              <w:rPr>
                <w:rFonts w:ascii="Arial" w:hAnsi="Arial" w:cs="Arial"/>
                <w:b w:val="0"/>
                <w:sz w:val="17"/>
              </w:rPr>
              <w:t>Early / first-payment default</w:t>
            </w:r>
          </w:p>
        </w:tc>
        <w:tc>
          <w:tcPr>
            <w:tcW w:w="6360" w:type="dxa"/>
          </w:tcPr>
          <w:p>
            <w:pPr>
              <w:spacing w:after="0" w:before="0"/>
            </w:pPr>
            <w:r/>
            <w:r>
              <w:rPr>
                <w:rFonts w:ascii="Arial" w:hAnsi="Arial" w:cs="Arial"/>
                <w:b w:val="0"/>
                <w:sz w:val="17"/>
              </w:rPr>
              <w:t>EWS flag (Section 37)</w:t>
            </w:r>
          </w:p>
        </w:tc>
      </w:tr>
      <w:tr>
        <w:tc>
          <w:tcPr>
            <w:tcW w:w="3000" w:type="dxa"/>
          </w:tcPr>
          <w:p>
            <w:pPr>
              <w:spacing w:after="0" w:before="0"/>
            </w:pPr>
            <w:r/>
            <w:r>
              <w:rPr>
                <w:rFonts w:ascii="Arial" w:hAnsi="Arial" w:cs="Arial"/>
                <w:b w:val="0"/>
                <w:sz w:val="17"/>
              </w:rPr>
              <w:t>NACH bounce</w:t>
            </w:r>
          </w:p>
        </w:tc>
        <w:tc>
          <w:tcPr>
            <w:tcW w:w="6360" w:type="dxa"/>
          </w:tcPr>
          <w:p>
            <w:pPr>
              <w:spacing w:after="0" w:before="0"/>
            </w:pPr>
            <w:r/>
            <w:r>
              <w:rPr>
                <w:rFonts w:ascii="Arial" w:hAnsi="Arial" w:cs="Arial"/>
                <w:b w:val="0"/>
                <w:sz w:val="17"/>
              </w:rPr>
              <w:t>Penal + collections (Section 45.6)</w:t>
            </w:r>
          </w:p>
        </w:tc>
      </w:tr>
      <w:tr>
        <w:tc>
          <w:tcPr>
            <w:tcW w:w="3000" w:type="dxa"/>
          </w:tcPr>
          <w:p>
            <w:pPr>
              <w:spacing w:after="0" w:before="0"/>
            </w:pPr>
            <w:r/>
            <w:r>
              <w:rPr>
                <w:rFonts w:ascii="Arial" w:hAnsi="Arial" w:cs="Arial"/>
                <w:b w:val="0"/>
                <w:sz w:val="17"/>
              </w:rPr>
              <w:t>Top-up / balance transfer</w:t>
            </w:r>
          </w:p>
        </w:tc>
        <w:tc>
          <w:tcPr>
            <w:tcW w:w="6360" w:type="dxa"/>
          </w:tcPr>
          <w:p>
            <w:pPr>
              <w:spacing w:after="0" w:before="0"/>
            </w:pPr>
            <w:r/>
            <w:r>
              <w:rPr>
                <w:rFonts w:ascii="Arial" w:hAnsi="Arial" w:cs="Arial"/>
                <w:b w:val="0"/>
                <w:sz w:val="17"/>
              </w:rPr>
              <w:t>Sections 43.4–43.5</w:t>
            </w:r>
          </w:p>
        </w:tc>
      </w:tr>
    </w:tbl>
    <w:p/>
    <w:p>
      <w:r>
        <w:rPr>
          <w:rFonts w:ascii="Arial" w:hAnsi="Arial" w:cs="Arial"/>
          <w:b w:val="0"/>
          <w:i w:val="0"/>
          <w:sz w:val="22"/>
        </w:rPr>
        <w:t>Documents &amp; integrations: Sanction, loan agreement, e-NACH, KFS; integrations — bureau, e-NACH, alt-data engines.</w:t>
      </w:r>
    </w:p>
    <w:p>
      <w:pPr>
        <w:pStyle w:val="Heading2"/>
      </w:pPr>
      <w:r>
        <w:t>87.12 Smart Credit Line (SCL) [SCL]</w:t>
      </w:r>
    </w:p>
    <w:p>
      <w:r>
        <w:rPr>
          <w:rFonts w:ascii="Arial" w:hAnsi="Arial" w:cs="Arial"/>
          <w:b w:val="0"/>
          <w:i w:val="0"/>
          <w:sz w:val="22"/>
        </w:rPr>
        <w:t>A pre-approved or API-underwritten revolving credit line with instant digital drawdown; interest is charged only on the utilised amount.</w:t>
      </w:r>
    </w:p>
    <w:p>
      <w:r>
        <w:rPr>
          <w:rFonts w:ascii="Arial" w:hAnsi="Arial" w:cs="Arial"/>
          <w:b/>
          <w:i w:val="0"/>
          <w:sz w:val="22"/>
        </w:rPr>
        <w:t>Regulatory, eligibility &amp; policy:</w:t>
      </w:r>
    </w:p>
    <w:p>
      <w:pPr>
        <w:pStyle w:val="ListParagraph"/>
        <w:numPr>
          <w:ilvl w:val="0"/>
          <w:numId w:val="2"/>
        </w:numPr>
      </w:pPr>
      <w:r>
        <w:rPr>
          <w:rFonts w:ascii="Arial" w:hAnsi="Arial" w:cs="Arial"/>
          <w:sz w:val="22"/>
        </w:rPr>
        <w:t>Full digital-lending compliance (KFS/APR/cooling-off/LSP, Section 17); credit-line limit slabs by segment/risk grade; defined billing cycle and minimum amount due.</w:t>
      </w:r>
    </w:p>
    <w:p>
      <w:pPr>
        <w:pStyle w:val="ListParagraph"/>
        <w:numPr>
          <w:ilvl w:val="0"/>
          <w:numId w:val="2"/>
        </w:numPr>
      </w:pPr>
      <w:r>
        <w:rPr>
          <w:rFonts w:ascii="Arial" w:hAnsi="Arial" w:cs="Arial"/>
          <w:sz w:val="22"/>
        </w:rPr>
        <w:t>AI/ML dynamic limit adjustment within Board-approved bounds; limit increases require borrower consent (Section 36).</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Requested Limit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Eligibility Inputs</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Bureau score, income/turnover, obligations</w:t>
            </w:r>
          </w:p>
        </w:tc>
      </w:tr>
      <w:tr>
        <w:tc>
          <w:tcPr>
            <w:tcW w:w="2900" w:type="dxa"/>
          </w:tcPr>
          <w:p>
            <w:pPr>
              <w:spacing w:after="0" w:before="0"/>
            </w:pPr>
            <w:r/>
            <w:r>
              <w:rPr>
                <w:rFonts w:ascii="Arial" w:hAnsi="Arial" w:cs="Arial"/>
                <w:b w:val="0"/>
                <w:sz w:val="17"/>
              </w:rPr>
              <w:t>e-Mandate for Auto-Debit</w:t>
            </w:r>
          </w:p>
        </w:tc>
        <w:tc>
          <w:tcPr>
            <w:tcW w:w="1300" w:type="dxa"/>
          </w:tcPr>
          <w:p>
            <w:pPr>
              <w:spacing w:after="0" w:before="0"/>
            </w:pPr>
            <w:r/>
            <w:r>
              <w:rPr>
                <w:rFonts w:ascii="Arial" w:hAnsi="Arial" w:cs="Arial"/>
                <w:b w:val="0"/>
                <w:sz w:val="17"/>
              </w:rPr>
              <w:t>e-NACH ref</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Preferred Withdrawal Mode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App/UPI/Virtual Card/Net-Banking</w:t>
            </w:r>
          </w:p>
        </w:tc>
      </w:tr>
      <w:tr>
        <w:tc>
          <w:tcPr>
            <w:tcW w:w="2900" w:type="dxa"/>
          </w:tcPr>
          <w:p>
            <w:pPr>
              <w:spacing w:after="0" w:before="0"/>
            </w:pPr>
            <w:r/>
            <w:r>
              <w:rPr>
                <w:rFonts w:ascii="Arial" w:hAnsi="Arial" w:cs="Arial"/>
                <w:b w:val="0"/>
                <w:sz w:val="17"/>
              </w:rPr>
              <w:t>Convert-to-EMI Option</w:t>
            </w:r>
          </w:p>
        </w:tc>
        <w:tc>
          <w:tcPr>
            <w:tcW w:w="1300" w:type="dxa"/>
          </w:tcPr>
          <w:p>
            <w:pPr>
              <w:spacing w:after="0" w:before="0"/>
            </w:pPr>
            <w:r/>
            <w:r>
              <w:rPr>
                <w:rFonts w:ascii="Arial" w:hAnsi="Arial" w:cs="Arial"/>
                <w:b w:val="0"/>
                <w:sz w:val="17"/>
              </w:rPr>
              <w:t>Boolean/Rules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Convert a drawdown to fixed-tenure EMI</w:t>
            </w:r>
          </w:p>
        </w:tc>
      </w:tr>
      <w:tr>
        <w:tc>
          <w:tcPr>
            <w:tcW w:w="2900" w:type="dxa"/>
          </w:tcPr>
          <w:p>
            <w:pPr>
              <w:spacing w:after="0" w:before="0"/>
            </w:pPr>
            <w:r/>
            <w:r>
              <w:rPr>
                <w:rFonts w:ascii="Arial" w:hAnsi="Arial" w:cs="Arial"/>
                <w:b w:val="0"/>
                <w:sz w:val="17"/>
              </w:rPr>
              <w:t>Approved / Available / Utilised</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Real-time</w:t>
            </w:r>
          </w:p>
        </w:tc>
      </w:tr>
      <w:tr>
        <w:tc>
          <w:tcPr>
            <w:tcW w:w="2900" w:type="dxa"/>
          </w:tcPr>
          <w:p>
            <w:pPr>
              <w:spacing w:after="0" w:before="0"/>
            </w:pPr>
            <w:r/>
            <w:r>
              <w:rPr>
                <w:rFonts w:ascii="Arial" w:hAnsi="Arial" w:cs="Arial"/>
                <w:b w:val="0"/>
                <w:sz w:val="17"/>
              </w:rPr>
              <w:t>Draw-down Record</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Date, amount, purpose, EMI-conversion tenure</w:t>
            </w:r>
          </w:p>
        </w:tc>
      </w:tr>
      <w:tr>
        <w:tc>
          <w:tcPr>
            <w:tcW w:w="2900" w:type="dxa"/>
          </w:tcPr>
          <w:p>
            <w:pPr>
              <w:spacing w:after="0" w:before="0"/>
            </w:pPr>
            <w:r/>
            <w:r>
              <w:rPr>
                <w:rFonts w:ascii="Arial" w:hAnsi="Arial" w:cs="Arial"/>
                <w:b w:val="0"/>
                <w:sz w:val="17"/>
              </w:rPr>
              <w:t>Statement Cycle / MAD &amp; Due Date</w:t>
            </w:r>
          </w:p>
        </w:tc>
        <w:tc>
          <w:tcPr>
            <w:tcW w:w="1300" w:type="dxa"/>
          </w:tcPr>
          <w:p>
            <w:pPr>
              <w:spacing w:after="0" w:before="0"/>
            </w:pPr>
            <w:r/>
            <w:r>
              <w:rPr>
                <w:rFonts w:ascii="Arial" w:hAnsi="Arial" w:cs="Arial"/>
                <w:b w:val="0"/>
                <w:sz w:val="17"/>
              </w:rPr>
              <w:t>Date/Currency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bl>
    <w:p/>
    <w:p>
      <w:r>
        <w:rPr>
          <w:rFonts w:ascii="Arial" w:hAnsi="Arial" w:cs="Arial"/>
          <w:b/>
          <w:i w:val="0"/>
          <w:sz w:val="22"/>
        </w:rPr>
        <w:t>Computation &amp; servicing:</w:t>
      </w:r>
    </w:p>
    <w:p>
      <w:r>
        <w:rPr>
          <w:rFonts w:ascii="Arial" w:hAnsi="Arial" w:cs="Arial"/>
          <w:b w:val="0"/>
          <w:i w:val="0"/>
          <w:sz w:val="22"/>
        </w:rPr>
        <w:t>Daily reducing interest on the utilised balance (Section 24.6); optional drawdown-to-EMI conversion; periodic behavioural re-scoring adjusts the available limit within bounds (Section 3.33).</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Behavioural limit reduction</w:t>
            </w:r>
          </w:p>
        </w:tc>
        <w:tc>
          <w:tcPr>
            <w:tcW w:w="6360" w:type="dxa"/>
          </w:tcPr>
          <w:p>
            <w:pPr>
              <w:spacing w:after="0" w:before="0"/>
            </w:pPr>
            <w:r/>
            <w:r>
              <w:rPr>
                <w:rFonts w:ascii="Arial" w:hAnsi="Arial" w:cs="Arial"/>
                <w:b w:val="0"/>
                <w:sz w:val="17"/>
              </w:rPr>
              <w:t>Auto-reduce within bounds; notify</w:t>
            </w:r>
          </w:p>
        </w:tc>
      </w:tr>
      <w:tr>
        <w:tc>
          <w:tcPr>
            <w:tcW w:w="3000" w:type="dxa"/>
          </w:tcPr>
          <w:p>
            <w:pPr>
              <w:spacing w:after="0" w:before="0"/>
            </w:pPr>
            <w:r/>
            <w:r>
              <w:rPr>
                <w:rFonts w:ascii="Arial" w:hAnsi="Arial" w:cs="Arial"/>
                <w:b w:val="0"/>
                <w:sz w:val="17"/>
              </w:rPr>
              <w:t>Over-utilisation</w:t>
            </w:r>
          </w:p>
        </w:tc>
        <w:tc>
          <w:tcPr>
            <w:tcW w:w="6360" w:type="dxa"/>
          </w:tcPr>
          <w:p>
            <w:pPr>
              <w:spacing w:after="0" w:before="0"/>
            </w:pPr>
            <w:r/>
            <w:r>
              <w:rPr>
                <w:rFonts w:ascii="Arial" w:hAnsi="Arial" w:cs="Arial"/>
                <w:b w:val="0"/>
                <w:sz w:val="17"/>
              </w:rPr>
              <w:t>Block drawdown beyond available; penal on overshoot</w:t>
            </w:r>
          </w:p>
        </w:tc>
      </w:tr>
      <w:tr>
        <w:tc>
          <w:tcPr>
            <w:tcW w:w="3000" w:type="dxa"/>
          </w:tcPr>
          <w:p>
            <w:pPr>
              <w:spacing w:after="0" w:before="0"/>
            </w:pPr>
            <w:r/>
            <w:r>
              <w:rPr>
                <w:rFonts w:ascii="Arial" w:hAnsi="Arial" w:cs="Arial"/>
                <w:b w:val="0"/>
                <w:sz w:val="17"/>
              </w:rPr>
              <w:t>Minimum-amount-due default</w:t>
            </w:r>
          </w:p>
        </w:tc>
        <w:tc>
          <w:tcPr>
            <w:tcW w:w="6360" w:type="dxa"/>
          </w:tcPr>
          <w:p>
            <w:pPr>
              <w:spacing w:after="0" w:before="0"/>
            </w:pPr>
            <w:r/>
            <w:r>
              <w:rPr>
                <w:rFonts w:ascii="Arial" w:hAnsi="Arial" w:cs="Arial"/>
                <w:b w:val="0"/>
                <w:sz w:val="17"/>
              </w:rPr>
              <w:t>Roll to DPD; collections</w:t>
            </w:r>
          </w:p>
        </w:tc>
      </w:tr>
      <w:tr>
        <w:tc>
          <w:tcPr>
            <w:tcW w:w="3000" w:type="dxa"/>
          </w:tcPr>
          <w:p>
            <w:pPr>
              <w:spacing w:after="0" w:before="0"/>
            </w:pPr>
            <w:r/>
            <w:r>
              <w:rPr>
                <w:rFonts w:ascii="Arial" w:hAnsi="Arial" w:cs="Arial"/>
                <w:b w:val="0"/>
                <w:sz w:val="17"/>
              </w:rPr>
              <w:t>Dynamic limit increase</w:t>
            </w:r>
          </w:p>
        </w:tc>
        <w:tc>
          <w:tcPr>
            <w:tcW w:w="6360" w:type="dxa"/>
          </w:tcPr>
          <w:p>
            <w:pPr>
              <w:spacing w:after="0" w:before="0"/>
            </w:pPr>
            <w:r/>
            <w:r>
              <w:rPr>
                <w:rFonts w:ascii="Arial" w:hAnsi="Arial" w:cs="Arial"/>
                <w:b w:val="0"/>
                <w:sz w:val="17"/>
              </w:rPr>
              <w:t>Only with explicit consent (Section 36)</w:t>
            </w:r>
          </w:p>
        </w:tc>
      </w:tr>
      <w:tr>
        <w:tc>
          <w:tcPr>
            <w:tcW w:w="3000" w:type="dxa"/>
          </w:tcPr>
          <w:p>
            <w:pPr>
              <w:spacing w:after="0" w:before="0"/>
            </w:pPr>
            <w:r/>
            <w:r>
              <w:rPr>
                <w:rFonts w:ascii="Arial" w:hAnsi="Arial" w:cs="Arial"/>
                <w:b w:val="0"/>
                <w:sz w:val="17"/>
              </w:rPr>
              <w:t>Dormancy / renewal</w:t>
            </w:r>
          </w:p>
        </w:tc>
        <w:tc>
          <w:tcPr>
            <w:tcW w:w="6360" w:type="dxa"/>
          </w:tcPr>
          <w:p>
            <w:pPr>
              <w:spacing w:after="0" w:before="0"/>
            </w:pPr>
            <w:r/>
            <w:r>
              <w:rPr>
                <w:rFonts w:ascii="Arial" w:hAnsi="Arial" w:cs="Arial"/>
                <w:b w:val="0"/>
                <w:sz w:val="17"/>
              </w:rPr>
              <w:t>Annual review; re-KYC if due</w:t>
            </w:r>
          </w:p>
        </w:tc>
      </w:tr>
    </w:tbl>
    <w:p/>
    <w:p>
      <w:r>
        <w:rPr>
          <w:rFonts w:ascii="Arial" w:hAnsi="Arial" w:cs="Arial"/>
          <w:b w:val="0"/>
          <w:i w:val="0"/>
          <w:sz w:val="22"/>
        </w:rPr>
        <w:t>Documents &amp; integrations: Sanction, credit-line agreement, KFS, e-mandate; integrations — bureau, UPI/card rails, e-NACH.</w:t>
      </w:r>
    </w:p>
    <w:p>
      <w:pPr>
        <w:pStyle w:val="Heading2"/>
      </w:pPr>
      <w:r>
        <w:t>87.13 Buy Now Pay Later (BNPL) — Consumer &amp; B2B [BNPL]</w:t>
      </w:r>
    </w:p>
    <w:p>
      <w:r>
        <w:rPr>
          <w:rFonts w:ascii="Arial" w:hAnsi="Arial" w:cs="Arial"/>
          <w:b w:val="0"/>
          <w:i w:val="0"/>
          <w:sz w:val="22"/>
        </w:rPr>
        <w:t>Short-tenure digital credit at checkout: the lender settles the merchant upfront and the borrower repays in instalments or at a single future date. The B2B variant extends this as a digital trade-credit line for business buyers.</w:t>
      </w:r>
    </w:p>
    <w:p>
      <w:r>
        <w:rPr>
          <w:rFonts w:ascii="Arial" w:hAnsi="Arial" w:cs="Arial"/>
          <w:b/>
          <w:i w:val="0"/>
          <w:sz w:val="22"/>
        </w:rPr>
        <w:t>Regulatory, eligibility &amp; policy:</w:t>
      </w:r>
    </w:p>
    <w:p>
      <w:pPr>
        <w:pStyle w:val="ListParagraph"/>
        <w:numPr>
          <w:ilvl w:val="0"/>
          <w:numId w:val="2"/>
        </w:numPr>
      </w:pPr>
      <w:r>
        <w:rPr>
          <w:rFonts w:ascii="Arial" w:hAnsi="Arial" w:cs="Arial"/>
          <w:sz w:val="22"/>
        </w:rPr>
        <w:t>Fully subject to digital-lending compliance (KFS, cooling-off, LSP tagging, Section 17); pre-approved, often algorithmic limits; merchant settlement T+1/T+2 net of fees.</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Borrower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Lightweight e-KYC (consumer) / entity KYC (B2B)</w:t>
            </w:r>
          </w:p>
        </w:tc>
      </w:tr>
      <w:tr>
        <w:tc>
          <w:tcPr>
            <w:tcW w:w="2900" w:type="dxa"/>
          </w:tcPr>
          <w:p>
            <w:pPr>
              <w:spacing w:after="0" w:before="0"/>
            </w:pPr>
            <w:r/>
            <w:r>
              <w:rPr>
                <w:rFonts w:ascii="Arial" w:hAnsi="Arial" w:cs="Arial"/>
                <w:b w:val="0"/>
                <w:sz w:val="17"/>
              </w:rPr>
              <w:t>Merchant / Platform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Checkout Transaction Reference</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Order ID, cart value</w:t>
            </w:r>
          </w:p>
        </w:tc>
      </w:tr>
      <w:tr>
        <w:tc>
          <w:tcPr>
            <w:tcW w:w="2900" w:type="dxa"/>
          </w:tcPr>
          <w:p>
            <w:pPr>
              <w:spacing w:after="0" w:before="0"/>
            </w:pPr>
            <w:r/>
            <w:r>
              <w:rPr>
                <w:rFonts w:ascii="Arial" w:hAnsi="Arial" w:cs="Arial"/>
                <w:b w:val="0"/>
                <w:sz w:val="17"/>
              </w:rPr>
              <w:t>Repayment Option Selected</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Pay-in-full-next-cycle / split 3–4 / EMI</w:t>
            </w:r>
          </w:p>
        </w:tc>
      </w:tr>
      <w:tr>
        <w:tc>
          <w:tcPr>
            <w:tcW w:w="2900" w:type="dxa"/>
          </w:tcPr>
          <w:p>
            <w:pPr>
              <w:spacing w:after="0" w:before="0"/>
            </w:pPr>
            <w:r/>
            <w:r>
              <w:rPr>
                <w:rFonts w:ascii="Arial" w:hAnsi="Arial" w:cs="Arial"/>
                <w:b w:val="0"/>
                <w:sz w:val="17"/>
              </w:rPr>
              <w:t>Merchant Settlement</w:t>
            </w:r>
          </w:p>
        </w:tc>
        <w:tc>
          <w:tcPr>
            <w:tcW w:w="1300" w:type="dxa"/>
          </w:tcPr>
          <w:p>
            <w:pPr>
              <w:spacing w:after="0" w:before="0"/>
            </w:pPr>
            <w:r/>
            <w:r>
              <w:rPr>
                <w:rFonts w:ascii="Arial" w:hAnsi="Arial" w:cs="Arial"/>
                <w:b w:val="0"/>
                <w:sz w:val="17"/>
              </w:rPr>
              <w:t>Currency/Date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T+1/T+2, net of MDR</w:t>
            </w:r>
          </w:p>
        </w:tc>
      </w:tr>
      <w:tr>
        <w:tc>
          <w:tcPr>
            <w:tcW w:w="2900" w:type="dxa"/>
          </w:tcPr>
          <w:p>
            <w:pPr>
              <w:spacing w:after="0" w:before="0"/>
            </w:pPr>
            <w:r/>
            <w:r>
              <w:rPr>
                <w:rFonts w:ascii="Arial" w:hAnsi="Arial" w:cs="Arial"/>
                <w:b w:val="0"/>
                <w:sz w:val="17"/>
              </w:rPr>
              <w:t>Auto-Debit / Repayment Collection</w:t>
            </w:r>
          </w:p>
        </w:tc>
        <w:tc>
          <w:tcPr>
            <w:tcW w:w="1300" w:type="dxa"/>
          </w:tcPr>
          <w:p>
            <w:pPr>
              <w:spacing w:after="0" w:before="0"/>
            </w:pPr>
            <w:r/>
            <w:r>
              <w:rPr>
                <w:rFonts w:ascii="Arial" w:hAnsi="Arial" w:cs="Arial"/>
                <w:b w:val="0"/>
                <w:sz w:val="17"/>
              </w:rPr>
              <w:t>e-Mandate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UPI Autopay / e-NACH</w:t>
            </w:r>
          </w:p>
        </w:tc>
      </w:tr>
      <w:tr>
        <w:tc>
          <w:tcPr>
            <w:tcW w:w="2900" w:type="dxa"/>
          </w:tcPr>
          <w:p>
            <w:pPr>
              <w:spacing w:after="0" w:before="0"/>
            </w:pPr>
            <w:r/>
            <w:r>
              <w:rPr>
                <w:rFonts w:ascii="Arial" w:hAnsi="Arial" w:cs="Arial"/>
                <w:b w:val="0"/>
                <w:sz w:val="17"/>
              </w:rPr>
              <w:t>Late-Fee Application</w:t>
            </w:r>
          </w:p>
        </w:tc>
        <w:tc>
          <w:tcPr>
            <w:tcW w:w="1300" w:type="dxa"/>
          </w:tcPr>
          <w:p>
            <w:pPr>
              <w:spacing w:after="0" w:before="0"/>
            </w:pPr>
            <w:r/>
            <w:r>
              <w:rPr>
                <w:rFonts w:ascii="Arial" w:hAnsi="Arial" w:cs="Arial"/>
                <w:b w:val="0"/>
                <w:sz w:val="17"/>
              </w:rPr>
              <w:t>Rules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Per Section 24.7</w:t>
            </w:r>
          </w:p>
        </w:tc>
      </w:tr>
    </w:tbl>
    <w:p/>
    <w:p>
      <w:r>
        <w:rPr>
          <w:rFonts w:ascii="Arial" w:hAnsi="Arial" w:cs="Arial"/>
          <w:b/>
          <w:i w:val="0"/>
          <w:sz w:val="22"/>
        </w:rPr>
        <w:t>Computation &amp; servicing:</w:t>
      </w:r>
    </w:p>
    <w:p>
      <w:r>
        <w:rPr>
          <w:rFonts w:ascii="Arial" w:hAnsi="Arial" w:cs="Arial"/>
          <w:b w:val="0"/>
          <w:i w:val="0"/>
          <w:sz w:val="22"/>
        </w:rPr>
        <w:t>Pay-in-full-next-cycle, split into 3–4 instalments, or EMI conversion; economics via interest and/or merchant discount; late fee non-compounding (Section 24.7).</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Return / refund</w:t>
            </w:r>
          </w:p>
        </w:tc>
        <w:tc>
          <w:tcPr>
            <w:tcW w:w="6360" w:type="dxa"/>
          </w:tcPr>
          <w:p>
            <w:pPr>
              <w:spacing w:after="0" w:before="0"/>
            </w:pPr>
            <w:r/>
            <w:r>
              <w:rPr>
                <w:rFonts w:ascii="Arial" w:hAnsi="Arial" w:cs="Arial"/>
                <w:b w:val="0"/>
                <w:sz w:val="17"/>
              </w:rPr>
              <w:t>Reverse/adjust the credit; recompute</w:t>
            </w:r>
          </w:p>
        </w:tc>
      </w:tr>
      <w:tr>
        <w:tc>
          <w:tcPr>
            <w:tcW w:w="3000" w:type="dxa"/>
          </w:tcPr>
          <w:p>
            <w:pPr>
              <w:spacing w:after="0" w:before="0"/>
            </w:pPr>
            <w:r/>
            <w:r>
              <w:rPr>
                <w:rFonts w:ascii="Arial" w:hAnsi="Arial" w:cs="Arial"/>
                <w:b w:val="0"/>
                <w:sz w:val="17"/>
              </w:rPr>
              <w:t>Dispute / chargeback</w:t>
            </w:r>
          </w:p>
        </w:tc>
        <w:tc>
          <w:tcPr>
            <w:tcW w:w="6360" w:type="dxa"/>
          </w:tcPr>
          <w:p>
            <w:pPr>
              <w:spacing w:after="0" w:before="0"/>
            </w:pPr>
            <w:r/>
            <w:r>
              <w:rPr>
                <w:rFonts w:ascii="Arial" w:hAnsi="Arial" w:cs="Arial"/>
                <w:b w:val="0"/>
                <w:sz w:val="17"/>
              </w:rPr>
              <w:t>Hold; investigate; adjust</w:t>
            </w:r>
          </w:p>
        </w:tc>
      </w:tr>
      <w:tr>
        <w:tc>
          <w:tcPr>
            <w:tcW w:w="3000" w:type="dxa"/>
          </w:tcPr>
          <w:p>
            <w:pPr>
              <w:spacing w:after="0" w:before="0"/>
            </w:pPr>
            <w:r/>
            <w:r>
              <w:rPr>
                <w:rFonts w:ascii="Arial" w:hAnsi="Arial" w:cs="Arial"/>
                <w:b w:val="0"/>
                <w:sz w:val="17"/>
              </w:rPr>
              <w:t>First-payment default</w:t>
            </w:r>
          </w:p>
        </w:tc>
        <w:tc>
          <w:tcPr>
            <w:tcW w:w="6360" w:type="dxa"/>
          </w:tcPr>
          <w:p>
            <w:pPr>
              <w:spacing w:after="0" w:before="0"/>
            </w:pPr>
            <w:r/>
            <w:r>
              <w:rPr>
                <w:rFonts w:ascii="Arial" w:hAnsi="Arial" w:cs="Arial"/>
                <w:b w:val="0"/>
                <w:sz w:val="17"/>
              </w:rPr>
              <w:t>EWS; collections</w:t>
            </w:r>
          </w:p>
        </w:tc>
      </w:tr>
      <w:tr>
        <w:tc>
          <w:tcPr>
            <w:tcW w:w="3000" w:type="dxa"/>
          </w:tcPr>
          <w:p>
            <w:pPr>
              <w:spacing w:after="0" w:before="0"/>
            </w:pPr>
            <w:r/>
            <w:r>
              <w:rPr>
                <w:rFonts w:ascii="Arial" w:hAnsi="Arial" w:cs="Arial"/>
                <w:b w:val="0"/>
                <w:sz w:val="17"/>
              </w:rPr>
              <w:t>Limit misuse / velocity fraud</w:t>
            </w:r>
          </w:p>
        </w:tc>
        <w:tc>
          <w:tcPr>
            <w:tcW w:w="6360" w:type="dxa"/>
          </w:tcPr>
          <w:p>
            <w:pPr>
              <w:spacing w:after="0" w:before="0"/>
            </w:pPr>
            <w:r/>
            <w:r>
              <w:rPr>
                <w:rFonts w:ascii="Arial" w:hAnsi="Arial" w:cs="Arial"/>
                <w:b w:val="0"/>
                <w:sz w:val="17"/>
              </w:rPr>
              <w:t>Device/velocity checks (Section 37)</w:t>
            </w:r>
          </w:p>
        </w:tc>
      </w:tr>
      <w:tr>
        <w:tc>
          <w:tcPr>
            <w:tcW w:w="3000" w:type="dxa"/>
          </w:tcPr>
          <w:p>
            <w:pPr>
              <w:spacing w:after="0" w:before="0"/>
            </w:pPr>
            <w:r/>
            <w:r>
              <w:rPr>
                <w:rFonts w:ascii="Arial" w:hAnsi="Arial" w:cs="Arial"/>
                <w:b w:val="0"/>
                <w:sz w:val="17"/>
              </w:rPr>
              <w:t>B2B trade credit</w:t>
            </w:r>
          </w:p>
        </w:tc>
        <w:tc>
          <w:tcPr>
            <w:tcW w:w="6360" w:type="dxa"/>
          </w:tcPr>
          <w:p>
            <w:pPr>
              <w:spacing w:after="0" w:before="0"/>
            </w:pPr>
            <w:r/>
            <w:r>
              <w:rPr>
                <w:rFonts w:ascii="Arial" w:hAnsi="Arial" w:cs="Arial"/>
                <w:b w:val="0"/>
                <w:sz w:val="17"/>
              </w:rPr>
              <w:t>Entity KYC; buyer credit limit</w:t>
            </w:r>
          </w:p>
        </w:tc>
      </w:tr>
    </w:tbl>
    <w:p/>
    <w:p>
      <w:r>
        <w:rPr>
          <w:rFonts w:ascii="Arial" w:hAnsi="Arial" w:cs="Arial"/>
          <w:b w:val="0"/>
          <w:i w:val="0"/>
          <w:sz w:val="22"/>
        </w:rPr>
        <w:t>Documents &amp; integrations: KFS, BNPL/trade-credit agreement, e-mandate; integrations — merchant/platform, UPI Autopay/e-NACH, bureau.</w:t>
      </w:r>
    </w:p>
    <w:p>
      <w:pPr>
        <w:pStyle w:val="Heading2"/>
      </w:pPr>
      <w:r>
        <w:t>87.14 Consumer Durable / Point-of-Sale (POS) Loan [CDPOS]</w:t>
      </w:r>
    </w:p>
    <w:p>
      <w:r>
        <w:rPr>
          <w:rFonts w:ascii="Arial" w:hAnsi="Arial" w:cs="Arial"/>
          <w:b w:val="0"/>
          <w:i w:val="0"/>
          <w:sz w:val="22"/>
        </w:rPr>
        <w:t>Small-ticket, short-tenure financing for electronics/appliances/furniture originated at the retail point of sale, including No-Cost EMI and School-Fee financing sub-variants.</w:t>
      </w:r>
    </w:p>
    <w:p>
      <w:r>
        <w:rPr>
          <w:rFonts w:ascii="Arial" w:hAnsi="Arial" w:cs="Arial"/>
          <w:b/>
          <w:i w:val="0"/>
          <w:sz w:val="22"/>
        </w:rPr>
        <w:t>Regulatory, eligibility &amp; policy:</w:t>
      </w:r>
    </w:p>
    <w:p>
      <w:pPr>
        <w:pStyle w:val="ListParagraph"/>
        <w:numPr>
          <w:ilvl w:val="0"/>
          <w:numId w:val="2"/>
        </w:numPr>
      </w:pPr>
      <w:r>
        <w:rPr>
          <w:rFonts w:ascii="Arial" w:hAnsi="Arial" w:cs="Arial"/>
          <w:sz w:val="22"/>
        </w:rPr>
        <w:t>Empanelled merchant/retail-partner master; ticket band typically ₹5,000–₹3,00,000 over 3–24 months; digital-lending compliance applies.</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Applicant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Lightweight e-KYC given small ticket</w:t>
            </w:r>
          </w:p>
        </w:tc>
      </w:tr>
      <w:tr>
        <w:tc>
          <w:tcPr>
            <w:tcW w:w="2900" w:type="dxa"/>
          </w:tcPr>
          <w:p>
            <w:pPr>
              <w:spacing w:after="0" w:before="0"/>
            </w:pPr>
            <w:r/>
            <w:r>
              <w:rPr>
                <w:rFonts w:ascii="Arial" w:hAnsi="Arial" w:cs="Arial"/>
                <w:b w:val="0"/>
                <w:sz w:val="17"/>
              </w:rPr>
              <w:t>Sub-Variant</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Consumer Durable / No-Cost EMI / School Fee</w:t>
            </w:r>
          </w:p>
        </w:tc>
      </w:tr>
      <w:tr>
        <w:tc>
          <w:tcPr>
            <w:tcW w:w="2900" w:type="dxa"/>
          </w:tcPr>
          <w:p>
            <w:pPr>
              <w:spacing w:after="0" w:before="0"/>
            </w:pPr>
            <w:r/>
            <w:r>
              <w:rPr>
                <w:rFonts w:ascii="Arial" w:hAnsi="Arial" w:cs="Arial"/>
                <w:b w:val="0"/>
                <w:sz w:val="17"/>
              </w:rPr>
              <w:t>Merchant / Institution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Retailer or educational institution</w:t>
            </w:r>
          </w:p>
        </w:tc>
      </w:tr>
      <w:tr>
        <w:tc>
          <w:tcPr>
            <w:tcW w:w="2900" w:type="dxa"/>
          </w:tcPr>
          <w:p>
            <w:pPr>
              <w:spacing w:after="0" w:before="0"/>
            </w:pPr>
            <w:r/>
            <w:r>
              <w:rPr>
                <w:rFonts w:ascii="Arial" w:hAnsi="Arial" w:cs="Arial"/>
                <w:b w:val="0"/>
                <w:sz w:val="17"/>
              </w:rPr>
              <w:t>Item / Invoice Details</w:t>
            </w:r>
          </w:p>
        </w:tc>
        <w:tc>
          <w:tcPr>
            <w:tcW w:w="1300" w:type="dxa"/>
          </w:tcPr>
          <w:p>
            <w:pPr>
              <w:spacing w:after="0" w:before="0"/>
            </w:pPr>
            <w:r/>
            <w:r>
              <w:rPr>
                <w:rFonts w:ascii="Arial" w:hAnsi="Arial" w:cs="Arial"/>
                <w:b w:val="0"/>
                <w:sz w:val="17"/>
              </w:rPr>
              <w:t>Text/Currency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Description, amount, invoice number</w:t>
            </w:r>
          </w:p>
        </w:tc>
      </w:tr>
      <w:tr>
        <w:tc>
          <w:tcPr>
            <w:tcW w:w="2900" w:type="dxa"/>
          </w:tcPr>
          <w:p>
            <w:pPr>
              <w:spacing w:after="0" w:before="0"/>
            </w:pPr>
            <w:r/>
            <w:r>
              <w:rPr>
                <w:rFonts w:ascii="Arial" w:hAnsi="Arial" w:cs="Arial"/>
                <w:b w:val="0"/>
                <w:sz w:val="17"/>
              </w:rPr>
              <w:t>Requested Tenure</w:t>
            </w:r>
          </w:p>
        </w:tc>
        <w:tc>
          <w:tcPr>
            <w:tcW w:w="1300" w:type="dxa"/>
          </w:tcPr>
          <w:p>
            <w:pPr>
              <w:spacing w:after="0" w:before="0"/>
            </w:pPr>
            <w:r/>
            <w:r>
              <w:rPr>
                <w:rFonts w:ascii="Arial" w:hAnsi="Arial" w:cs="Arial"/>
                <w:b w:val="0"/>
                <w:sz w:val="17"/>
              </w:rPr>
              <w:t>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Months</w:t>
            </w:r>
          </w:p>
        </w:tc>
      </w:tr>
      <w:tr>
        <w:tc>
          <w:tcPr>
            <w:tcW w:w="2900" w:type="dxa"/>
          </w:tcPr>
          <w:p>
            <w:pPr>
              <w:spacing w:after="0" w:before="0"/>
            </w:pPr>
            <w:r/>
            <w:r>
              <w:rPr>
                <w:rFonts w:ascii="Arial" w:hAnsi="Arial" w:cs="Arial"/>
                <w:b w:val="0"/>
                <w:sz w:val="17"/>
              </w:rPr>
              <w:t>Merchant Subvention (No-Cost EMI)</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Interest borne by merchant (Section 45.7)</w:t>
            </w:r>
          </w:p>
        </w:tc>
      </w:tr>
      <w:tr>
        <w:tc>
          <w:tcPr>
            <w:tcW w:w="2900" w:type="dxa"/>
          </w:tcPr>
          <w:p>
            <w:pPr>
              <w:spacing w:after="0" w:before="0"/>
            </w:pPr>
            <w:r/>
            <w:r>
              <w:rPr>
                <w:rFonts w:ascii="Arial" w:hAnsi="Arial" w:cs="Arial"/>
                <w:b w:val="0"/>
                <w:sz w:val="17"/>
              </w:rPr>
              <w:t>Instant Approval/Disbursal at POS</w:t>
            </w:r>
          </w:p>
        </w:tc>
        <w:tc>
          <w:tcPr>
            <w:tcW w:w="1300" w:type="dxa"/>
          </w:tcPr>
          <w:p>
            <w:pPr>
              <w:spacing w:after="0" w:before="0"/>
            </w:pPr>
            <w:r/>
            <w:r>
              <w:rPr>
                <w:rFonts w:ascii="Arial" w:hAnsi="Arial" w:cs="Arial"/>
                <w:b w:val="0"/>
                <w:sz w:val="17"/>
              </w:rPr>
              <w:t>Workflow</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Real-time decisioning at checkout</w:t>
            </w:r>
          </w:p>
        </w:tc>
      </w:tr>
    </w:tbl>
    <w:p/>
    <w:p>
      <w:r>
        <w:rPr>
          <w:rFonts w:ascii="Arial" w:hAnsi="Arial" w:cs="Arial"/>
          <w:b/>
          <w:i w:val="0"/>
          <w:sz w:val="22"/>
        </w:rPr>
        <w:t>Computation &amp; servicing:</w:t>
      </w:r>
    </w:p>
    <w:p>
      <w:r>
        <w:rPr>
          <w:rFonts w:ascii="Arial" w:hAnsi="Arial" w:cs="Arial"/>
          <w:b w:val="0"/>
          <w:i w:val="0"/>
          <w:sz w:val="22"/>
        </w:rPr>
        <w:t>Amortised EMI, or No-Cost EMI where the merchant subvention funds the interest (Section 45.7); real-time decisioning integrated at checkout (Section 12).</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No-cost subvention reconciliation</w:t>
            </w:r>
          </w:p>
        </w:tc>
        <w:tc>
          <w:tcPr>
            <w:tcW w:w="6360" w:type="dxa"/>
          </w:tcPr>
          <w:p>
            <w:pPr>
              <w:spacing w:after="0" w:before="0"/>
            </w:pPr>
            <w:r/>
            <w:r>
              <w:rPr>
                <w:rFonts w:ascii="Arial" w:hAnsi="Arial" w:cs="Arial"/>
                <w:b w:val="0"/>
                <w:sz w:val="17"/>
              </w:rPr>
              <w:t>Separate merchant-funded interest from 0% borrower rate</w:t>
            </w:r>
          </w:p>
        </w:tc>
      </w:tr>
      <w:tr>
        <w:tc>
          <w:tcPr>
            <w:tcW w:w="3000" w:type="dxa"/>
          </w:tcPr>
          <w:p>
            <w:pPr>
              <w:spacing w:after="0" w:before="0"/>
            </w:pPr>
            <w:r/>
            <w:r>
              <w:rPr>
                <w:rFonts w:ascii="Arial" w:hAnsi="Arial" w:cs="Arial"/>
                <w:b w:val="0"/>
                <w:sz w:val="17"/>
              </w:rPr>
              <w:t>Item return</w:t>
            </w:r>
          </w:p>
        </w:tc>
        <w:tc>
          <w:tcPr>
            <w:tcW w:w="6360" w:type="dxa"/>
          </w:tcPr>
          <w:p>
            <w:pPr>
              <w:spacing w:after="0" w:before="0"/>
            </w:pPr>
            <w:r/>
            <w:r>
              <w:rPr>
                <w:rFonts w:ascii="Arial" w:hAnsi="Arial" w:cs="Arial"/>
                <w:b w:val="0"/>
                <w:sz w:val="17"/>
              </w:rPr>
              <w:t>Reverse/adjust</w:t>
            </w:r>
          </w:p>
        </w:tc>
      </w:tr>
      <w:tr>
        <w:tc>
          <w:tcPr>
            <w:tcW w:w="3000" w:type="dxa"/>
          </w:tcPr>
          <w:p>
            <w:pPr>
              <w:spacing w:after="0" w:before="0"/>
            </w:pPr>
            <w:r/>
            <w:r>
              <w:rPr>
                <w:rFonts w:ascii="Arial" w:hAnsi="Arial" w:cs="Arial"/>
                <w:b w:val="0"/>
                <w:sz w:val="17"/>
              </w:rPr>
              <w:t>Instant-decision fraud</w:t>
            </w:r>
          </w:p>
        </w:tc>
        <w:tc>
          <w:tcPr>
            <w:tcW w:w="6360" w:type="dxa"/>
          </w:tcPr>
          <w:p>
            <w:pPr>
              <w:spacing w:after="0" w:before="0"/>
            </w:pPr>
            <w:r/>
            <w:r>
              <w:rPr>
                <w:rFonts w:ascii="Arial" w:hAnsi="Arial" w:cs="Arial"/>
                <w:b w:val="0"/>
                <w:sz w:val="17"/>
              </w:rPr>
              <w:t>Device/velocity checks</w:t>
            </w:r>
          </w:p>
        </w:tc>
      </w:tr>
      <w:tr>
        <w:tc>
          <w:tcPr>
            <w:tcW w:w="3000" w:type="dxa"/>
          </w:tcPr>
          <w:p>
            <w:pPr>
              <w:spacing w:after="0" w:before="0"/>
            </w:pPr>
            <w:r/>
            <w:r>
              <w:rPr>
                <w:rFonts w:ascii="Arial" w:hAnsi="Arial" w:cs="Arial"/>
                <w:b w:val="0"/>
                <w:sz w:val="17"/>
              </w:rPr>
              <w:t>Merchant settlement</w:t>
            </w:r>
          </w:p>
        </w:tc>
        <w:tc>
          <w:tcPr>
            <w:tcW w:w="6360" w:type="dxa"/>
          </w:tcPr>
          <w:p>
            <w:pPr>
              <w:spacing w:after="0" w:before="0"/>
            </w:pPr>
            <w:r/>
            <w:r>
              <w:rPr>
                <w:rFonts w:ascii="Arial" w:hAnsi="Arial" w:cs="Arial"/>
                <w:b w:val="0"/>
                <w:sz w:val="17"/>
              </w:rPr>
              <w:t>Reconcile daily</w:t>
            </w:r>
          </w:p>
        </w:tc>
      </w:tr>
      <w:tr>
        <w:tc>
          <w:tcPr>
            <w:tcW w:w="3000" w:type="dxa"/>
          </w:tcPr>
          <w:p>
            <w:pPr>
              <w:spacing w:after="0" w:before="0"/>
            </w:pPr>
            <w:r/>
            <w:r>
              <w:rPr>
                <w:rFonts w:ascii="Arial" w:hAnsi="Arial" w:cs="Arial"/>
                <w:b w:val="0"/>
                <w:sz w:val="17"/>
              </w:rPr>
              <w:t>School-fee cycle</w:t>
            </w:r>
          </w:p>
        </w:tc>
        <w:tc>
          <w:tcPr>
            <w:tcW w:w="6360" w:type="dxa"/>
          </w:tcPr>
          <w:p>
            <w:pPr>
              <w:spacing w:after="0" w:before="0"/>
            </w:pPr>
            <w:r/>
            <w:r>
              <w:rPr>
                <w:rFonts w:ascii="Arial" w:hAnsi="Arial" w:cs="Arial"/>
                <w:b w:val="0"/>
                <w:sz w:val="17"/>
              </w:rPr>
              <w:t>Align tenure to term/semester</w:t>
            </w:r>
          </w:p>
        </w:tc>
      </w:tr>
    </w:tbl>
    <w:p/>
    <w:p>
      <w:r>
        <w:rPr>
          <w:rFonts w:ascii="Arial" w:hAnsi="Arial" w:cs="Arial"/>
          <w:b w:val="0"/>
          <w:i w:val="0"/>
          <w:sz w:val="22"/>
        </w:rPr>
        <w:t>Documents &amp; integrations: KFS, POS agreement, e-mandate; integrations — merchant/checkout, rails, bureau.</w:t>
      </w:r>
    </w:p>
    <w:p>
      <w:pPr>
        <w:pStyle w:val="Heading2"/>
      </w:pPr>
      <w:r>
        <w:t>87.15 GST-Invoice-Based Unsecured Business Loan [GSTBL]</w:t>
      </w:r>
    </w:p>
    <w:p>
      <w:r>
        <w:rPr>
          <w:rFonts w:ascii="Arial" w:hAnsi="Arial" w:cs="Arial"/>
          <w:b w:val="0"/>
          <w:i w:val="0"/>
          <w:sz w:val="22"/>
        </w:rPr>
        <w:t>An unsecured MSME loan underwritten primarily from GST return history (GSTR-1/3B turnover trends) rather than traditional financial statements — fast turnaround.</w:t>
      </w:r>
    </w:p>
    <w:p>
      <w:r>
        <w:rPr>
          <w:rFonts w:ascii="Arial" w:hAnsi="Arial" w:cs="Arial"/>
          <w:b/>
          <w:i w:val="0"/>
          <w:sz w:val="22"/>
        </w:rPr>
        <w:t>Regulatory, eligibility &amp; policy:</w:t>
      </w:r>
    </w:p>
    <w:p>
      <w:pPr>
        <w:pStyle w:val="ListParagraph"/>
        <w:numPr>
          <w:ilvl w:val="0"/>
          <w:numId w:val="2"/>
        </w:numPr>
      </w:pPr>
      <w:r>
        <w:rPr>
          <w:rFonts w:ascii="Arial" w:hAnsi="Arial" w:cs="Arial"/>
          <w:sz w:val="22"/>
        </w:rPr>
        <w:t>Minimum GST filing vintage; loan sized as a multiple of average monthly GST-reported turnover; eligible filing frequency (monthly / QRMP).</w:t>
      </w:r>
    </w:p>
    <w:p>
      <w:pPr>
        <w:pStyle w:val="ListParagraph"/>
        <w:numPr>
          <w:ilvl w:val="0"/>
          <w:numId w:val="2"/>
        </w:numPr>
      </w:pPr>
      <w:r>
        <w:rPr>
          <w:rFonts w:ascii="Arial" w:hAnsi="Arial" w:cs="Arial"/>
          <w:sz w:val="22"/>
        </w:rPr>
        <w:t>GSTN data pulled with borrower consent (Section 35).</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Applicant (Business)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Section 2.3–2.8</w:t>
            </w:r>
          </w:p>
        </w:tc>
      </w:tr>
      <w:tr>
        <w:tc>
          <w:tcPr>
            <w:tcW w:w="2900" w:type="dxa"/>
          </w:tcPr>
          <w:p>
            <w:pPr>
              <w:spacing w:after="0" w:before="0"/>
            </w:pPr>
            <w:r/>
            <w:r>
              <w:rPr>
                <w:rFonts w:ascii="Arial" w:hAnsi="Arial" w:cs="Arial"/>
                <w:b w:val="0"/>
                <w:sz w:val="17"/>
              </w:rPr>
              <w:t>GSTIN &amp; GST Portal Consent</w:t>
            </w:r>
          </w:p>
        </w:tc>
        <w:tc>
          <w:tcPr>
            <w:tcW w:w="1300" w:type="dxa"/>
          </w:tcPr>
          <w:p>
            <w:pPr>
              <w:spacing w:after="0" w:before="0"/>
            </w:pPr>
            <w:r/>
            <w:r>
              <w:rPr>
                <w:rFonts w:ascii="Arial" w:hAnsi="Arial" w:cs="Arial"/>
                <w:b w:val="0"/>
                <w:sz w:val="17"/>
              </w:rPr>
              <w:t>Text/e-consent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Consent to pull GSTR-1/3B</w:t>
            </w:r>
          </w:p>
        </w:tc>
      </w:tr>
      <w:tr>
        <w:tc>
          <w:tcPr>
            <w:tcW w:w="2900" w:type="dxa"/>
          </w:tcPr>
          <w:p>
            <w:pPr>
              <w:spacing w:after="0" w:before="0"/>
            </w:pPr>
            <w:r/>
            <w:r>
              <w:rPr>
                <w:rFonts w:ascii="Arial" w:hAnsi="Arial" w:cs="Arial"/>
                <w:b w:val="0"/>
                <w:sz w:val="17"/>
              </w:rPr>
              <w:t>Requested Loan Amount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turnover multiple</w:t>
            </w:r>
          </w:p>
        </w:tc>
      </w:tr>
      <w:tr>
        <w:tc>
          <w:tcPr>
            <w:tcW w:w="2900" w:type="dxa"/>
          </w:tcPr>
          <w:p>
            <w:pPr>
              <w:spacing w:after="0" w:before="0"/>
            </w:pPr>
            <w:r/>
            <w:r>
              <w:rPr>
                <w:rFonts w:ascii="Arial" w:hAnsi="Arial" w:cs="Arial"/>
                <w:b w:val="0"/>
                <w:sz w:val="17"/>
              </w:rPr>
              <w:t>GST Turnover Analytics</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Average monthly turnover, trend, volatility</w:t>
            </w:r>
          </w:p>
        </w:tc>
      </w:tr>
      <w:tr>
        <w:tc>
          <w:tcPr>
            <w:tcW w:w="2900" w:type="dxa"/>
          </w:tcPr>
          <w:p>
            <w:pPr>
              <w:spacing w:after="0" w:before="0"/>
            </w:pPr>
            <w:r/>
            <w:r>
              <w:rPr>
                <w:rFonts w:ascii="Arial" w:hAnsi="Arial" w:cs="Arial"/>
                <w:b w:val="0"/>
                <w:sz w:val="17"/>
              </w:rPr>
              <w:t>Ongoing GST Filing Monitoring</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Lapse triggers an early-warning flag</w:t>
            </w:r>
          </w:p>
        </w:tc>
      </w:tr>
    </w:tbl>
    <w:p/>
    <w:p>
      <w:r>
        <w:rPr>
          <w:rFonts w:ascii="Arial" w:hAnsi="Arial" w:cs="Arial"/>
          <w:b/>
          <w:i w:val="0"/>
          <w:sz w:val="22"/>
        </w:rPr>
        <w:t>Computation &amp; servicing:</w:t>
      </w:r>
    </w:p>
    <w:p>
      <w:r>
        <w:rPr>
          <w:rFonts w:ascii="Arial" w:hAnsi="Arial" w:cs="Arial"/>
          <w:b w:val="0"/>
          <w:i w:val="0"/>
          <w:sz w:val="22"/>
        </w:rPr>
        <w:t>Loan = multiple × average monthly GST turnover; amortised EMI; continuous monitoring of filing regularity and turnover trend (Section 37).</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GST filing lapse</w:t>
            </w:r>
          </w:p>
        </w:tc>
        <w:tc>
          <w:tcPr>
            <w:tcW w:w="6360" w:type="dxa"/>
          </w:tcPr>
          <w:p>
            <w:pPr>
              <w:spacing w:after="0" w:before="0"/>
            </w:pPr>
            <w:r/>
            <w:r>
              <w:rPr>
                <w:rFonts w:ascii="Arial" w:hAnsi="Arial" w:cs="Arial"/>
                <w:b w:val="0"/>
                <w:sz w:val="17"/>
              </w:rPr>
              <w:t>Early-warning; review</w:t>
            </w:r>
          </w:p>
        </w:tc>
      </w:tr>
      <w:tr>
        <w:tc>
          <w:tcPr>
            <w:tcW w:w="3000" w:type="dxa"/>
          </w:tcPr>
          <w:p>
            <w:pPr>
              <w:spacing w:after="0" w:before="0"/>
            </w:pPr>
            <w:r/>
            <w:r>
              <w:rPr>
                <w:rFonts w:ascii="Arial" w:hAnsi="Arial" w:cs="Arial"/>
                <w:b w:val="0"/>
                <w:sz w:val="17"/>
              </w:rPr>
              <w:t>Turnover drop</w:t>
            </w:r>
          </w:p>
        </w:tc>
        <w:tc>
          <w:tcPr>
            <w:tcW w:w="6360" w:type="dxa"/>
          </w:tcPr>
          <w:p>
            <w:pPr>
              <w:spacing w:after="0" w:before="0"/>
            </w:pPr>
            <w:r/>
            <w:r>
              <w:rPr>
                <w:rFonts w:ascii="Arial" w:hAnsi="Arial" w:cs="Arial"/>
                <w:b w:val="0"/>
                <w:sz w:val="17"/>
              </w:rPr>
              <w:t>Early-warning; limit review</w:t>
            </w:r>
          </w:p>
        </w:tc>
      </w:tr>
      <w:tr>
        <w:tc>
          <w:tcPr>
            <w:tcW w:w="3000" w:type="dxa"/>
          </w:tcPr>
          <w:p>
            <w:pPr>
              <w:spacing w:after="0" w:before="0"/>
            </w:pPr>
            <w:r/>
            <w:r>
              <w:rPr>
                <w:rFonts w:ascii="Arial" w:hAnsi="Arial" w:cs="Arial"/>
                <w:b w:val="0"/>
                <w:sz w:val="17"/>
              </w:rPr>
              <w:t>GSTIN cancellation</w:t>
            </w:r>
          </w:p>
        </w:tc>
        <w:tc>
          <w:tcPr>
            <w:tcW w:w="6360" w:type="dxa"/>
          </w:tcPr>
          <w:p>
            <w:pPr>
              <w:spacing w:after="0" w:before="0"/>
            </w:pPr>
            <w:r/>
            <w:r>
              <w:rPr>
                <w:rFonts w:ascii="Arial" w:hAnsi="Arial" w:cs="Arial"/>
                <w:b w:val="0"/>
                <w:sz w:val="17"/>
              </w:rPr>
              <w:t>Freeze; recovery</w:t>
            </w:r>
          </w:p>
        </w:tc>
      </w:tr>
      <w:tr>
        <w:tc>
          <w:tcPr>
            <w:tcW w:w="3000" w:type="dxa"/>
          </w:tcPr>
          <w:p>
            <w:pPr>
              <w:spacing w:after="0" w:before="0"/>
            </w:pPr>
            <w:r/>
            <w:r>
              <w:rPr>
                <w:rFonts w:ascii="Arial" w:hAnsi="Arial" w:cs="Arial"/>
                <w:b w:val="0"/>
                <w:sz w:val="17"/>
              </w:rPr>
              <w:t>Seasonal turnover</w:t>
            </w:r>
          </w:p>
        </w:tc>
        <w:tc>
          <w:tcPr>
            <w:tcW w:w="6360" w:type="dxa"/>
          </w:tcPr>
          <w:p>
            <w:pPr>
              <w:spacing w:after="0" w:before="0"/>
            </w:pPr>
            <w:r/>
            <w:r>
              <w:rPr>
                <w:rFonts w:ascii="Arial" w:hAnsi="Arial" w:cs="Arial"/>
                <w:b w:val="0"/>
                <w:sz w:val="17"/>
              </w:rPr>
              <w:t>Smooth via trailing average</w:t>
            </w:r>
          </w:p>
        </w:tc>
      </w:tr>
      <w:tr>
        <w:tc>
          <w:tcPr>
            <w:tcW w:w="3000" w:type="dxa"/>
          </w:tcPr>
          <w:p>
            <w:pPr>
              <w:spacing w:after="0" w:before="0"/>
            </w:pPr>
            <w:r/>
            <w:r>
              <w:rPr>
                <w:rFonts w:ascii="Arial" w:hAnsi="Arial" w:cs="Arial"/>
                <w:b w:val="0"/>
                <w:sz w:val="17"/>
              </w:rPr>
              <w:t>Fake-invoice fraud</w:t>
            </w:r>
          </w:p>
        </w:tc>
        <w:tc>
          <w:tcPr>
            <w:tcW w:w="6360" w:type="dxa"/>
          </w:tcPr>
          <w:p>
            <w:pPr>
              <w:spacing w:after="0" w:before="0"/>
            </w:pPr>
            <w:r/>
            <w:r>
              <w:rPr>
                <w:rFonts w:ascii="Arial" w:hAnsi="Arial" w:cs="Arial"/>
                <w:b w:val="0"/>
                <w:sz w:val="17"/>
              </w:rPr>
              <w:t>EWS/RFA (Section 37)</w:t>
            </w:r>
          </w:p>
        </w:tc>
      </w:tr>
    </w:tbl>
    <w:p/>
    <w:p>
      <w:r>
        <w:rPr>
          <w:rFonts w:ascii="Arial" w:hAnsi="Arial" w:cs="Arial"/>
          <w:b w:val="0"/>
          <w:i w:val="0"/>
          <w:sz w:val="22"/>
        </w:rPr>
        <w:t>Documents &amp; integrations: Sanction, agreement, KFS; integrations — GSTN, Account Aggregator, bureau.</w:t>
      </w:r>
    </w:p>
    <w:p>
      <w:pPr>
        <w:pStyle w:val="Heading2"/>
      </w:pPr>
      <w:r>
        <w:t>87.16 Gig-Worker / Platform-Income Loan [GIGL]</w:t>
      </w:r>
    </w:p>
    <w:p>
      <w:r>
        <w:rPr>
          <w:rFonts w:ascii="Arial" w:hAnsi="Arial" w:cs="Arial"/>
          <w:b w:val="0"/>
          <w:i w:val="0"/>
          <w:sz w:val="22"/>
        </w:rPr>
        <w:t>Small-ticket personal/working-capital loans underwritten primarily on verified earnings from a gig/platform job via API-based income verification rather than payslips.</w:t>
      </w:r>
    </w:p>
    <w:p>
      <w:r>
        <w:rPr>
          <w:rFonts w:ascii="Arial" w:hAnsi="Arial" w:cs="Arial"/>
          <w:b/>
          <w:i w:val="0"/>
          <w:sz w:val="22"/>
        </w:rPr>
        <w:t>Regulatory, eligibility &amp; policy:</w:t>
      </w:r>
    </w:p>
    <w:p>
      <w:pPr>
        <w:pStyle w:val="ListParagraph"/>
        <w:numPr>
          <w:ilvl w:val="0"/>
          <w:numId w:val="2"/>
        </w:numPr>
      </w:pPr>
      <w:r>
        <w:rPr>
          <w:rFonts w:ascii="Arial" w:hAnsi="Arial" w:cs="Arial"/>
          <w:sz w:val="22"/>
        </w:rPr>
        <w:t>Empanelled platforms with an income-verification API; verification via platform earnings API or bank-statement analysis of payouts; loan-to-average-earnings multiple.</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Applicant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Section 2.1/2.3</w:t>
            </w:r>
          </w:p>
        </w:tc>
      </w:tr>
      <w:tr>
        <w:tc>
          <w:tcPr>
            <w:tcW w:w="2900" w:type="dxa"/>
          </w:tcPr>
          <w:p>
            <w:pPr>
              <w:spacing w:after="0" w:before="0"/>
            </w:pPr>
            <w:r/>
            <w:r>
              <w:rPr>
                <w:rFonts w:ascii="Arial" w:hAnsi="Arial" w:cs="Arial"/>
                <w:b w:val="0"/>
                <w:sz w:val="17"/>
              </w:rPr>
              <w:t>Platform Worker ID &amp; Consent</w:t>
            </w:r>
          </w:p>
        </w:tc>
        <w:tc>
          <w:tcPr>
            <w:tcW w:w="1300" w:type="dxa"/>
          </w:tcPr>
          <w:p>
            <w:pPr>
              <w:spacing w:after="0" w:before="0"/>
            </w:pPr>
            <w:r/>
            <w:r>
              <w:rPr>
                <w:rFonts w:ascii="Arial" w:hAnsi="Arial" w:cs="Arial"/>
                <w:b w:val="0"/>
                <w:sz w:val="17"/>
              </w:rPr>
              <w:t>Text/e-consent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Consent to pull earnings data</w:t>
            </w:r>
          </w:p>
        </w:tc>
      </w:tr>
      <w:tr>
        <w:tc>
          <w:tcPr>
            <w:tcW w:w="2900" w:type="dxa"/>
          </w:tcPr>
          <w:p>
            <w:pPr>
              <w:spacing w:after="0" w:before="0"/>
            </w:pPr>
            <w:r/>
            <w:r>
              <w:rPr>
                <w:rFonts w:ascii="Arial" w:hAnsi="Arial" w:cs="Arial"/>
                <w:b w:val="0"/>
                <w:sz w:val="17"/>
              </w:rPr>
              <w:t>Requested Loan Amount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earnings multiple</w:t>
            </w:r>
          </w:p>
        </w:tc>
      </w:tr>
      <w:tr>
        <w:tc>
          <w:tcPr>
            <w:tcW w:w="2900" w:type="dxa"/>
          </w:tcPr>
          <w:p>
            <w:pPr>
              <w:spacing w:after="0" w:before="0"/>
            </w:pPr>
            <w:r/>
            <w:r>
              <w:rPr>
                <w:rFonts w:ascii="Arial" w:hAnsi="Arial" w:cs="Arial"/>
                <w:b w:val="0"/>
                <w:sz w:val="17"/>
              </w:rPr>
              <w:t>Verified Average Earnings</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From platform API / payout analysis</w:t>
            </w:r>
          </w:p>
        </w:tc>
      </w:tr>
      <w:tr>
        <w:tc>
          <w:tcPr>
            <w:tcW w:w="2900" w:type="dxa"/>
          </w:tcPr>
          <w:p>
            <w:pPr>
              <w:spacing w:after="0" w:before="0"/>
            </w:pPr>
            <w:r/>
            <w:r>
              <w:rPr>
                <w:rFonts w:ascii="Arial" w:hAnsi="Arial" w:cs="Arial"/>
                <w:b w:val="0"/>
                <w:sz w:val="17"/>
              </w:rPr>
              <w:t>Ongoing Earnings Monitoring</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Material drop triggers early-warning</w:t>
            </w:r>
          </w:p>
        </w:tc>
      </w:tr>
    </w:tbl>
    <w:p/>
    <w:p>
      <w:r>
        <w:rPr>
          <w:rFonts w:ascii="Arial" w:hAnsi="Arial" w:cs="Arial"/>
          <w:b/>
          <w:i w:val="0"/>
          <w:sz w:val="22"/>
        </w:rPr>
        <w:t>Computation &amp; servicing:</w:t>
      </w:r>
    </w:p>
    <w:p>
      <w:r>
        <w:rPr>
          <w:rFonts w:ascii="Arial" w:hAnsi="Arial" w:cs="Arial"/>
          <w:b w:val="0"/>
          <w:i w:val="0"/>
          <w:sz w:val="22"/>
        </w:rPr>
        <w:t>Loan sized as a multiple of average monthly platform earnings; small-ticket EMI; continuous earnings monitoring feeds early-warning (Section 37).</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Earnings drop / deactivation</w:t>
            </w:r>
          </w:p>
        </w:tc>
        <w:tc>
          <w:tcPr>
            <w:tcW w:w="6360" w:type="dxa"/>
          </w:tcPr>
          <w:p>
            <w:pPr>
              <w:spacing w:after="0" w:before="0"/>
            </w:pPr>
            <w:r/>
            <w:r>
              <w:rPr>
                <w:rFonts w:ascii="Arial" w:hAnsi="Arial" w:cs="Arial"/>
                <w:b w:val="0"/>
                <w:sz w:val="17"/>
              </w:rPr>
              <w:t>Early-warning; collections</w:t>
            </w:r>
          </w:p>
        </w:tc>
      </w:tr>
      <w:tr>
        <w:tc>
          <w:tcPr>
            <w:tcW w:w="3000" w:type="dxa"/>
          </w:tcPr>
          <w:p>
            <w:pPr>
              <w:spacing w:after="0" w:before="0"/>
            </w:pPr>
            <w:r/>
            <w:r>
              <w:rPr>
                <w:rFonts w:ascii="Arial" w:hAnsi="Arial" w:cs="Arial"/>
                <w:b w:val="0"/>
                <w:sz w:val="17"/>
              </w:rPr>
              <w:t>Multi-platform income</w:t>
            </w:r>
          </w:p>
        </w:tc>
        <w:tc>
          <w:tcPr>
            <w:tcW w:w="6360" w:type="dxa"/>
          </w:tcPr>
          <w:p>
            <w:pPr>
              <w:spacing w:after="0" w:before="0"/>
            </w:pPr>
            <w:r/>
            <w:r>
              <w:rPr>
                <w:rFonts w:ascii="Arial" w:hAnsi="Arial" w:cs="Arial"/>
                <w:b w:val="0"/>
                <w:sz w:val="17"/>
              </w:rPr>
              <w:t>Aggregate verified sources</w:t>
            </w:r>
          </w:p>
        </w:tc>
      </w:tr>
      <w:tr>
        <w:tc>
          <w:tcPr>
            <w:tcW w:w="3000" w:type="dxa"/>
          </w:tcPr>
          <w:p>
            <w:pPr>
              <w:spacing w:after="0" w:before="0"/>
            </w:pPr>
            <w:r/>
            <w:r>
              <w:rPr>
                <w:rFonts w:ascii="Arial" w:hAnsi="Arial" w:cs="Arial"/>
                <w:b w:val="0"/>
                <w:sz w:val="17"/>
              </w:rPr>
              <w:t>Thin credit file</w:t>
            </w:r>
          </w:p>
        </w:tc>
        <w:tc>
          <w:tcPr>
            <w:tcW w:w="6360" w:type="dxa"/>
          </w:tcPr>
          <w:p>
            <w:pPr>
              <w:spacing w:after="0" w:before="0"/>
            </w:pPr>
            <w:r/>
            <w:r>
              <w:rPr>
                <w:rFonts w:ascii="Arial" w:hAnsi="Arial" w:cs="Arial"/>
                <w:b w:val="0"/>
                <w:sz w:val="17"/>
              </w:rPr>
              <w:t>Alt-data underwriting</w:t>
            </w:r>
          </w:p>
        </w:tc>
      </w:tr>
      <w:tr>
        <w:tc>
          <w:tcPr>
            <w:tcW w:w="3000" w:type="dxa"/>
          </w:tcPr>
          <w:p>
            <w:pPr>
              <w:spacing w:after="0" w:before="0"/>
            </w:pPr>
            <w:r/>
            <w:r>
              <w:rPr>
                <w:rFonts w:ascii="Arial" w:hAnsi="Arial" w:cs="Arial"/>
                <w:b w:val="0"/>
                <w:sz w:val="17"/>
              </w:rPr>
              <w:t>Seasonal gig income</w:t>
            </w:r>
          </w:p>
        </w:tc>
        <w:tc>
          <w:tcPr>
            <w:tcW w:w="6360" w:type="dxa"/>
          </w:tcPr>
          <w:p>
            <w:pPr>
              <w:spacing w:after="0" w:before="0"/>
            </w:pPr>
            <w:r/>
            <w:r>
              <w:rPr>
                <w:rFonts w:ascii="Arial" w:hAnsi="Arial" w:cs="Arial"/>
                <w:b w:val="0"/>
                <w:sz w:val="17"/>
              </w:rPr>
              <w:t>Trailing-average smoothing</w:t>
            </w:r>
          </w:p>
        </w:tc>
      </w:tr>
      <w:tr>
        <w:tc>
          <w:tcPr>
            <w:tcW w:w="3000" w:type="dxa"/>
          </w:tcPr>
          <w:p>
            <w:pPr>
              <w:spacing w:after="0" w:before="0"/>
            </w:pPr>
            <w:r/>
            <w:r>
              <w:rPr>
                <w:rFonts w:ascii="Arial" w:hAnsi="Arial" w:cs="Arial"/>
                <w:b w:val="0"/>
                <w:sz w:val="17"/>
              </w:rPr>
              <w:t>Default</w:t>
            </w:r>
          </w:p>
        </w:tc>
        <w:tc>
          <w:tcPr>
            <w:tcW w:w="6360" w:type="dxa"/>
          </w:tcPr>
          <w:p>
            <w:pPr>
              <w:spacing w:after="0" w:before="0"/>
            </w:pPr>
            <w:r/>
            <w:r>
              <w:rPr>
                <w:rFonts w:ascii="Arial" w:hAnsi="Arial" w:cs="Arial"/>
                <w:b w:val="0"/>
                <w:sz w:val="17"/>
              </w:rPr>
              <w:t>Small-ticket collections</w:t>
            </w:r>
          </w:p>
        </w:tc>
      </w:tr>
    </w:tbl>
    <w:p/>
    <w:p>
      <w:r>
        <w:rPr>
          <w:rFonts w:ascii="Arial" w:hAnsi="Arial" w:cs="Arial"/>
          <w:b w:val="0"/>
          <w:i w:val="0"/>
          <w:sz w:val="22"/>
        </w:rPr>
        <w:t>Documents &amp; integrations: Sanction, agreement, KFS, e-mandate; integrations — platform earnings API, Account Aggregator, bureau.</w:t>
      </w:r>
    </w:p>
    <w:p>
      <w:pPr>
        <w:pStyle w:val="Heading2"/>
      </w:pPr>
      <w:r>
        <w:t>87.17 Working Capital Demand Loan / Cash Credit / Overdraft (WCDL/CC/OD) [WCDL_CC]</w:t>
      </w:r>
    </w:p>
    <w:p>
      <w:r>
        <w:rPr>
          <w:rFonts w:ascii="Arial" w:hAnsi="Arial" w:cs="Arial"/>
          <w:b w:val="0"/>
          <w:i w:val="0"/>
          <w:sz w:val="22"/>
        </w:rPr>
        <w:t>A traditional working-capital facility against a Drawing Power computed from periodic stock and book-debt statements — distinct from the digital Smart Credit Line in relying on physical/scanned statements and periodic stock audits.</w:t>
      </w:r>
    </w:p>
    <w:p>
      <w:r>
        <w:rPr>
          <w:rFonts w:ascii="Arial" w:hAnsi="Arial" w:cs="Arial"/>
          <w:b/>
          <w:i w:val="0"/>
          <w:sz w:val="22"/>
        </w:rPr>
        <w:t>Regulatory, eligibility &amp; policy:</w:t>
      </w:r>
    </w:p>
    <w:p>
      <w:pPr>
        <w:pStyle w:val="ListParagraph"/>
        <w:numPr>
          <w:ilvl w:val="0"/>
          <w:numId w:val="2"/>
        </w:numPr>
      </w:pPr>
      <w:r>
        <w:rPr>
          <w:rFonts w:ascii="Arial" w:hAnsi="Arial" w:cs="Arial"/>
          <w:sz w:val="22"/>
        </w:rPr>
        <w:t>Drawing-Power formula, e.g., (Stock × margin) + (Book Debts within 90 days × margin) − Sundry Creditors; configurable per policy.</w:t>
      </w:r>
    </w:p>
    <w:p>
      <w:pPr>
        <w:pStyle w:val="ListParagraph"/>
        <w:numPr>
          <w:ilvl w:val="0"/>
          <w:numId w:val="2"/>
        </w:numPr>
      </w:pPr>
      <w:r>
        <w:rPr>
          <w:rFonts w:ascii="Arial" w:hAnsi="Arial" w:cs="Arial"/>
          <w:sz w:val="22"/>
        </w:rPr>
        <w:t>Stock-statement frequency (monthly/quarterly) and stock-audit frequency (half-yearly/annual by an empanelled auditor).</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Applicant (Business)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Section 2.3–2.8</w:t>
            </w:r>
          </w:p>
        </w:tc>
      </w:tr>
      <w:tr>
        <w:tc>
          <w:tcPr>
            <w:tcW w:w="2900" w:type="dxa"/>
          </w:tcPr>
          <w:p>
            <w:pPr>
              <w:spacing w:after="0" w:before="0"/>
            </w:pPr>
            <w:r/>
            <w:r>
              <w:rPr>
                <w:rFonts w:ascii="Arial" w:hAnsi="Arial" w:cs="Arial"/>
                <w:b w:val="0"/>
                <w:sz w:val="17"/>
              </w:rPr>
              <w:t>Facility Type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Cash Credit / Overdraft / WCDL</w:t>
            </w:r>
          </w:p>
        </w:tc>
      </w:tr>
      <w:tr>
        <w:tc>
          <w:tcPr>
            <w:tcW w:w="2900" w:type="dxa"/>
          </w:tcPr>
          <w:p>
            <w:pPr>
              <w:spacing w:after="0" w:before="0"/>
            </w:pPr>
            <w:r/>
            <w:r>
              <w:rPr>
                <w:rFonts w:ascii="Arial" w:hAnsi="Arial" w:cs="Arial"/>
                <w:b w:val="0"/>
                <w:sz w:val="17"/>
              </w:rPr>
              <w:t>Requested Limit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Latest Stock &amp; Book-Debt Statement</w:t>
            </w:r>
          </w:p>
        </w:tc>
        <w:tc>
          <w:tcPr>
            <w:tcW w:w="1300" w:type="dxa"/>
          </w:tcPr>
          <w:p>
            <w:pPr>
              <w:spacing w:after="0" w:before="0"/>
            </w:pPr>
            <w:r/>
            <w:r>
              <w:rPr>
                <w:rFonts w:ascii="Arial" w:hAnsi="Arial" w:cs="Arial"/>
                <w:b w:val="0"/>
                <w:sz w:val="17"/>
              </w:rPr>
              <w:t>File/Grid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Itemised stock; receivables ageing</w:t>
            </w:r>
          </w:p>
        </w:tc>
      </w:tr>
      <w:tr>
        <w:tc>
          <w:tcPr>
            <w:tcW w:w="2900" w:type="dxa"/>
          </w:tcPr>
          <w:p>
            <w:pPr>
              <w:spacing w:after="0" w:before="0"/>
            </w:pPr>
            <w:r/>
            <w:r>
              <w:rPr>
                <w:rFonts w:ascii="Arial" w:hAnsi="Arial" w:cs="Arial"/>
                <w:b w:val="0"/>
                <w:sz w:val="17"/>
              </w:rPr>
              <w:t>Sundry Creditors Statement</w:t>
            </w:r>
          </w:p>
        </w:tc>
        <w:tc>
          <w:tcPr>
            <w:tcW w:w="1300" w:type="dxa"/>
          </w:tcPr>
          <w:p>
            <w:pPr>
              <w:spacing w:after="0" w:before="0"/>
            </w:pPr>
            <w:r/>
            <w:r>
              <w:rPr>
                <w:rFonts w:ascii="Arial" w:hAnsi="Arial" w:cs="Arial"/>
                <w:b w:val="0"/>
                <w:sz w:val="17"/>
              </w:rPr>
              <w:t>File/Grid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For DP netting</w:t>
            </w:r>
          </w:p>
        </w:tc>
      </w:tr>
      <w:tr>
        <w:tc>
          <w:tcPr>
            <w:tcW w:w="2900" w:type="dxa"/>
          </w:tcPr>
          <w:p>
            <w:pPr>
              <w:spacing w:after="0" w:before="0"/>
            </w:pPr>
            <w:r/>
            <w:r>
              <w:rPr>
                <w:rFonts w:ascii="Arial" w:hAnsi="Arial" w:cs="Arial"/>
                <w:b w:val="0"/>
                <w:sz w:val="17"/>
              </w:rPr>
              <w:t>Monthly Drawing Power (computed)</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Caps utilisable limit</w:t>
            </w:r>
          </w:p>
        </w:tc>
      </w:tr>
      <w:tr>
        <w:tc>
          <w:tcPr>
            <w:tcW w:w="2900" w:type="dxa"/>
          </w:tcPr>
          <w:p>
            <w:pPr>
              <w:spacing w:after="0" w:before="0"/>
            </w:pPr>
            <w:r/>
            <w:r>
              <w:rPr>
                <w:rFonts w:ascii="Arial" w:hAnsi="Arial" w:cs="Arial"/>
                <w:b w:val="0"/>
                <w:sz w:val="17"/>
              </w:rPr>
              <w:t>Stock Audit Report</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Physical verification</w:t>
            </w:r>
          </w:p>
        </w:tc>
      </w:tr>
      <w:tr>
        <w:tc>
          <w:tcPr>
            <w:tcW w:w="2900" w:type="dxa"/>
          </w:tcPr>
          <w:p>
            <w:pPr>
              <w:spacing w:after="0" w:before="0"/>
            </w:pPr>
            <w:r/>
            <w:r>
              <w:rPr>
                <w:rFonts w:ascii="Arial" w:hAnsi="Arial" w:cs="Arial"/>
                <w:b w:val="0"/>
                <w:sz w:val="17"/>
              </w:rPr>
              <w:t>Renewal / Review Date</w:t>
            </w:r>
          </w:p>
        </w:tc>
        <w:tc>
          <w:tcPr>
            <w:tcW w:w="1300" w:type="dxa"/>
          </w:tcPr>
          <w:p>
            <w:pPr>
              <w:spacing w:after="0" w:before="0"/>
            </w:pPr>
            <w:r/>
            <w:r>
              <w:rPr>
                <w:rFonts w:ascii="Arial" w:hAnsi="Arial" w:cs="Arial"/>
                <w:b w:val="0"/>
                <w:sz w:val="17"/>
              </w:rPr>
              <w:t>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Annual facility review</w:t>
            </w:r>
          </w:p>
        </w:tc>
      </w:tr>
    </w:tbl>
    <w:p/>
    <w:p>
      <w:r>
        <w:rPr>
          <w:rFonts w:ascii="Arial" w:hAnsi="Arial" w:cs="Arial"/>
          <w:b/>
          <w:i w:val="0"/>
          <w:sz w:val="22"/>
        </w:rPr>
        <w:t>Computation &amp; servicing:</w:t>
      </w:r>
    </w:p>
    <w:p>
      <w:r>
        <w:rPr>
          <w:rFonts w:ascii="Arial" w:hAnsi="Arial" w:cs="Arial"/>
          <w:b w:val="0"/>
          <w:i w:val="0"/>
          <w:sz w:val="22"/>
        </w:rPr>
        <w:t>Daily interest on the utilised balance within Drawing Power; DP recomputed each period from fresh statements and caps the limit; annual review/renewal (Section 3.25).</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DP shortfall</w:t>
            </w:r>
          </w:p>
        </w:tc>
        <w:tc>
          <w:tcPr>
            <w:tcW w:w="6360" w:type="dxa"/>
          </w:tcPr>
          <w:p>
            <w:pPr>
              <w:spacing w:after="0" w:before="0"/>
            </w:pPr>
            <w:r/>
            <w:r>
              <w:rPr>
                <w:rFonts w:ascii="Arial" w:hAnsi="Arial" w:cs="Arial"/>
                <w:b w:val="0"/>
                <w:sz w:val="17"/>
              </w:rPr>
              <w:t>Reduce available limit; margin call</w:t>
            </w:r>
          </w:p>
        </w:tc>
      </w:tr>
      <w:tr>
        <w:tc>
          <w:tcPr>
            <w:tcW w:w="3000" w:type="dxa"/>
          </w:tcPr>
          <w:p>
            <w:pPr>
              <w:spacing w:after="0" w:before="0"/>
            </w:pPr>
            <w:r/>
            <w:r>
              <w:rPr>
                <w:rFonts w:ascii="Arial" w:hAnsi="Arial" w:cs="Arial"/>
                <w:b w:val="0"/>
                <w:sz w:val="17"/>
              </w:rPr>
              <w:t>Stock-statement delay</w:t>
            </w:r>
          </w:p>
        </w:tc>
        <w:tc>
          <w:tcPr>
            <w:tcW w:w="6360" w:type="dxa"/>
          </w:tcPr>
          <w:p>
            <w:pPr>
              <w:spacing w:after="0" w:before="0"/>
            </w:pPr>
            <w:r/>
            <w:r>
              <w:rPr>
                <w:rFonts w:ascii="Arial" w:hAnsi="Arial" w:cs="Arial"/>
                <w:b w:val="0"/>
                <w:sz w:val="17"/>
              </w:rPr>
              <w:t>Penal / DP freeze per policy</w:t>
            </w:r>
          </w:p>
        </w:tc>
      </w:tr>
      <w:tr>
        <w:tc>
          <w:tcPr>
            <w:tcW w:w="3000" w:type="dxa"/>
          </w:tcPr>
          <w:p>
            <w:pPr>
              <w:spacing w:after="0" w:before="0"/>
            </w:pPr>
            <w:r/>
            <w:r>
              <w:rPr>
                <w:rFonts w:ascii="Arial" w:hAnsi="Arial" w:cs="Arial"/>
                <w:b w:val="0"/>
                <w:sz w:val="17"/>
              </w:rPr>
              <w:t>Adverse stock audit</w:t>
            </w:r>
          </w:p>
        </w:tc>
        <w:tc>
          <w:tcPr>
            <w:tcW w:w="6360" w:type="dxa"/>
          </w:tcPr>
          <w:p>
            <w:pPr>
              <w:spacing w:after="0" w:before="0"/>
            </w:pPr>
            <w:r/>
            <w:r>
              <w:rPr>
                <w:rFonts w:ascii="Arial" w:hAnsi="Arial" w:cs="Arial"/>
                <w:b w:val="0"/>
                <w:sz w:val="17"/>
              </w:rPr>
              <w:t>Review; possible limit cut</w:t>
            </w:r>
          </w:p>
        </w:tc>
      </w:tr>
      <w:tr>
        <w:tc>
          <w:tcPr>
            <w:tcW w:w="3000" w:type="dxa"/>
          </w:tcPr>
          <w:p>
            <w:pPr>
              <w:spacing w:after="0" w:before="0"/>
            </w:pPr>
            <w:r/>
            <w:r>
              <w:rPr>
                <w:rFonts w:ascii="Arial" w:hAnsi="Arial" w:cs="Arial"/>
                <w:b w:val="0"/>
                <w:sz w:val="17"/>
              </w:rPr>
              <w:t>Overdrawn account</w:t>
            </w:r>
          </w:p>
        </w:tc>
        <w:tc>
          <w:tcPr>
            <w:tcW w:w="6360" w:type="dxa"/>
          </w:tcPr>
          <w:p>
            <w:pPr>
              <w:spacing w:after="0" w:before="0"/>
            </w:pPr>
            <w:r/>
            <w:r>
              <w:rPr>
                <w:rFonts w:ascii="Arial" w:hAnsi="Arial" w:cs="Arial"/>
                <w:b w:val="0"/>
                <w:sz w:val="17"/>
              </w:rPr>
              <w:t>Penal on overdrawn amount</w:t>
            </w:r>
          </w:p>
        </w:tc>
      </w:tr>
      <w:tr>
        <w:tc>
          <w:tcPr>
            <w:tcW w:w="3000" w:type="dxa"/>
          </w:tcPr>
          <w:p>
            <w:pPr>
              <w:spacing w:after="0" w:before="0"/>
            </w:pPr>
            <w:r/>
            <w:r>
              <w:rPr>
                <w:rFonts w:ascii="Arial" w:hAnsi="Arial" w:cs="Arial"/>
                <w:b w:val="0"/>
                <w:sz w:val="17"/>
              </w:rPr>
              <w:t>Fund diversion</w:t>
            </w:r>
          </w:p>
        </w:tc>
        <w:tc>
          <w:tcPr>
            <w:tcW w:w="6360" w:type="dxa"/>
          </w:tcPr>
          <w:p>
            <w:pPr>
              <w:spacing w:after="0" w:before="0"/>
            </w:pPr>
            <w:r/>
            <w:r>
              <w:rPr>
                <w:rFonts w:ascii="Arial" w:hAnsi="Arial" w:cs="Arial"/>
                <w:b w:val="0"/>
                <w:sz w:val="17"/>
              </w:rPr>
              <w:t>Early-warning / RFA (Section 37)</w:t>
            </w:r>
          </w:p>
        </w:tc>
      </w:tr>
      <w:tr>
        <w:tc>
          <w:tcPr>
            <w:tcW w:w="3000" w:type="dxa"/>
          </w:tcPr>
          <w:p>
            <w:pPr>
              <w:spacing w:after="0" w:before="0"/>
            </w:pPr>
            <w:r/>
            <w:r>
              <w:rPr>
                <w:rFonts w:ascii="Arial" w:hAnsi="Arial" w:cs="Arial"/>
                <w:b w:val="0"/>
                <w:sz w:val="17"/>
              </w:rPr>
              <w:t>Renewal</w:t>
            </w:r>
          </w:p>
        </w:tc>
        <w:tc>
          <w:tcPr>
            <w:tcW w:w="6360" w:type="dxa"/>
          </w:tcPr>
          <w:p>
            <w:pPr>
              <w:spacing w:after="0" w:before="0"/>
            </w:pPr>
            <w:r/>
            <w:r>
              <w:rPr>
                <w:rFonts w:ascii="Arial" w:hAnsi="Arial" w:cs="Arial"/>
                <w:b w:val="0"/>
                <w:sz w:val="17"/>
              </w:rPr>
              <w:t>Re-assess DP and limit</w:t>
            </w:r>
          </w:p>
        </w:tc>
      </w:tr>
    </w:tbl>
    <w:p/>
    <w:p>
      <w:r>
        <w:rPr>
          <w:rFonts w:ascii="Arial" w:hAnsi="Arial" w:cs="Arial"/>
          <w:b w:val="0"/>
          <w:i w:val="0"/>
          <w:sz w:val="22"/>
        </w:rPr>
        <w:t>Documents &amp; integrations: Sanction, facility agreement, hypothecation of stock/book-debts, KFS; integrations — stock auditor, Account Aggregator, CERSAI (charge on current assets).</w:t>
      </w:r>
    </w:p>
    <w:p>
      <w:pPr>
        <w:pStyle w:val="Heading2"/>
      </w:pPr>
      <w:r>
        <w:t>87.18 Supply Chain Finance / Invoice Discounting [SCF / ID]</w:t>
      </w:r>
    </w:p>
    <w:p>
      <w:r>
        <w:rPr>
          <w:rFonts w:ascii="Arial" w:hAnsi="Arial" w:cs="Arial"/>
          <w:b w:val="0"/>
          <w:i w:val="0"/>
          <w:sz w:val="22"/>
        </w:rPr>
        <w:t>Working-capital financing to vendors/dealers of an anchor corporate, against confirmed invoices or purchase orders.</w:t>
      </w:r>
    </w:p>
    <w:p>
      <w:r>
        <w:rPr>
          <w:rFonts w:ascii="Arial" w:hAnsi="Arial" w:cs="Arial"/>
          <w:b/>
          <w:i w:val="0"/>
          <w:sz w:val="22"/>
        </w:rPr>
        <w:t>Regulatory, eligibility &amp; policy:</w:t>
      </w:r>
    </w:p>
    <w:p>
      <w:pPr>
        <w:pStyle w:val="ListParagraph"/>
        <w:numPr>
          <w:ilvl w:val="0"/>
          <w:numId w:val="2"/>
        </w:numPr>
      </w:pPr>
      <w:r>
        <w:rPr>
          <w:rFonts w:ascii="Arial" w:hAnsi="Arial" w:cs="Arial"/>
          <w:sz w:val="22"/>
        </w:rPr>
        <w:t>Anchor corporate onboarded with a program limit; program type (dealer/vendor/invoice discounting); recourse terms defined.</w:t>
      </w:r>
    </w:p>
    <w:p>
      <w:pPr>
        <w:pStyle w:val="ListParagraph"/>
        <w:numPr>
          <w:ilvl w:val="0"/>
          <w:numId w:val="2"/>
        </w:numPr>
      </w:pPr>
      <w:r>
        <w:rPr>
          <w:rFonts w:ascii="Arial" w:hAnsi="Arial" w:cs="Arial"/>
          <w:sz w:val="22"/>
        </w:rPr>
        <w:t>GST e-invoice IRN validated against the GSTN Invoice Registration Portal; buyer must digitally confirm the invoice before disbursal.</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Borrower (Vendor/Dealer)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Entity form (Section 2)</w:t>
            </w:r>
          </w:p>
        </w:tc>
      </w:tr>
      <w:tr>
        <w:tc>
          <w:tcPr>
            <w:tcW w:w="2900" w:type="dxa"/>
          </w:tcPr>
          <w:p>
            <w:pPr>
              <w:spacing w:after="0" w:before="0"/>
            </w:pPr>
            <w:r/>
            <w:r>
              <w:rPr>
                <w:rFonts w:ascii="Arial" w:hAnsi="Arial" w:cs="Arial"/>
                <w:b w:val="0"/>
                <w:sz w:val="17"/>
              </w:rPr>
              <w:t>Anchor Corporate Name &amp; GSTIN</w:t>
            </w:r>
          </w:p>
        </w:tc>
        <w:tc>
          <w:tcPr>
            <w:tcW w:w="1300" w:type="dxa"/>
          </w:tcPr>
          <w:p>
            <w:pPr>
              <w:spacing w:after="0" w:before="0"/>
            </w:pPr>
            <w:r/>
            <w:r>
              <w:rPr>
                <w:rFonts w:ascii="Arial" w:hAnsi="Arial" w:cs="Arial"/>
                <w:b w:val="0"/>
                <w:sz w:val="17"/>
              </w:rPr>
              <w:t>Reference/Text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Relationship with Anchor</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Vendor/Dealer/Distributor</w:t>
            </w:r>
          </w:p>
        </w:tc>
      </w:tr>
      <w:tr>
        <w:tc>
          <w:tcPr>
            <w:tcW w:w="2900" w:type="dxa"/>
          </w:tcPr>
          <w:p>
            <w:pPr>
              <w:spacing w:after="0" w:before="0"/>
            </w:pPr>
            <w:r/>
            <w:r>
              <w:rPr>
                <w:rFonts w:ascii="Arial" w:hAnsi="Arial" w:cs="Arial"/>
                <w:b w:val="0"/>
                <w:sz w:val="17"/>
              </w:rPr>
              <w:t>Trade History with Anchor</w:t>
            </w:r>
          </w:p>
        </w:tc>
        <w:tc>
          <w:tcPr>
            <w:tcW w:w="1300" w:type="dxa"/>
          </w:tcPr>
          <w:p>
            <w:pPr>
              <w:spacing w:after="0" w:before="0"/>
            </w:pPr>
            <w:r/>
            <w:r>
              <w:rPr>
                <w:rFonts w:ascii="Arial" w:hAnsi="Arial" w:cs="Arial"/>
                <w:b w:val="0"/>
                <w:sz w:val="17"/>
              </w:rPr>
              <w:t>Text/Number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Years, average monthly trade</w:t>
            </w:r>
          </w:p>
        </w:tc>
      </w:tr>
      <w:tr>
        <w:tc>
          <w:tcPr>
            <w:tcW w:w="2900" w:type="dxa"/>
          </w:tcPr>
          <w:p>
            <w:pPr>
              <w:spacing w:after="0" w:before="0"/>
            </w:pPr>
            <w:r/>
            <w:r>
              <w:rPr>
                <w:rFonts w:ascii="Arial" w:hAnsi="Arial" w:cs="Arial"/>
                <w:b w:val="0"/>
                <w:sz w:val="17"/>
              </w:rPr>
              <w:t>Invoice / PO Details Grid</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No., date, amount, due date, buyer confirmation, IRN</w:t>
            </w:r>
          </w:p>
        </w:tc>
      </w:tr>
      <w:tr>
        <w:tc>
          <w:tcPr>
            <w:tcW w:w="2900" w:type="dxa"/>
          </w:tcPr>
          <w:p>
            <w:pPr>
              <w:spacing w:after="0" w:before="0"/>
            </w:pPr>
            <w:r/>
            <w:r>
              <w:rPr>
                <w:rFonts w:ascii="Arial" w:hAnsi="Arial" w:cs="Arial"/>
                <w:b w:val="0"/>
                <w:sz w:val="17"/>
              </w:rPr>
              <w:t>Requested Limit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anchor program limit</w:t>
            </w:r>
          </w:p>
        </w:tc>
      </w:tr>
      <w:tr>
        <w:tc>
          <w:tcPr>
            <w:tcW w:w="2900" w:type="dxa"/>
          </w:tcPr>
          <w:p>
            <w:pPr>
              <w:spacing w:after="0" w:before="0"/>
            </w:pPr>
            <w:r/>
            <w:r>
              <w:rPr>
                <w:rFonts w:ascii="Arial" w:hAnsi="Arial" w:cs="Arial"/>
                <w:b w:val="0"/>
                <w:sz w:val="17"/>
              </w:rPr>
              <w:t>Anchor Confirmation Workflow</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Buyer confirms before disbursal</w:t>
            </w:r>
          </w:p>
        </w:tc>
      </w:tr>
      <w:tr>
        <w:tc>
          <w:tcPr>
            <w:tcW w:w="2900" w:type="dxa"/>
          </w:tcPr>
          <w:p>
            <w:pPr>
              <w:spacing w:after="0" w:before="0"/>
            </w:pPr>
            <w:r/>
            <w:r>
              <w:rPr>
                <w:rFonts w:ascii="Arial" w:hAnsi="Arial" w:cs="Arial"/>
                <w:b w:val="0"/>
                <w:sz w:val="17"/>
              </w:rPr>
              <w:t>Collection from Anchor/Buyer</w:t>
            </w:r>
          </w:p>
        </w:tc>
        <w:tc>
          <w:tcPr>
            <w:tcW w:w="1300" w:type="dxa"/>
          </w:tcPr>
          <w:p>
            <w:pPr>
              <w:spacing w:after="0" w:before="0"/>
            </w:pPr>
            <w:r/>
            <w:r>
              <w:rPr>
                <w:rFonts w:ascii="Arial" w:hAnsi="Arial" w:cs="Arial"/>
                <w:b w:val="0"/>
                <w:sz w:val="17"/>
              </w:rPr>
              <w:t>Currency/Date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bl>
    <w:p/>
    <w:p>
      <w:r>
        <w:rPr>
          <w:rFonts w:ascii="Arial" w:hAnsi="Arial" w:cs="Arial"/>
          <w:b/>
          <w:i w:val="0"/>
          <w:sz w:val="22"/>
        </w:rPr>
        <w:t>Computation &amp; servicing:</w:t>
      </w:r>
    </w:p>
    <w:p>
      <w:r>
        <w:rPr>
          <w:rFonts w:ascii="Arial" w:hAnsi="Arial" w:cs="Arial"/>
          <w:b w:val="0"/>
          <w:i w:val="0"/>
          <w:sz w:val="22"/>
        </w:rPr>
        <w:t>Front-end discount or reducing interest on the drawn amount; anchor/buyer confirmation gates disbursal; collections routed from the buyer at invoice maturity (Section 3.7).</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Buyer non-payment</w:t>
            </w:r>
          </w:p>
        </w:tc>
        <w:tc>
          <w:tcPr>
            <w:tcW w:w="6360" w:type="dxa"/>
          </w:tcPr>
          <w:p>
            <w:pPr>
              <w:spacing w:after="0" w:before="0"/>
            </w:pPr>
            <w:r/>
            <w:r>
              <w:rPr>
                <w:rFonts w:ascii="Arial" w:hAnsi="Arial" w:cs="Arial"/>
                <w:b w:val="0"/>
                <w:sz w:val="17"/>
              </w:rPr>
              <w:t>Recourse to seller / non-recourse loss per terms</w:t>
            </w:r>
          </w:p>
        </w:tc>
      </w:tr>
      <w:tr>
        <w:tc>
          <w:tcPr>
            <w:tcW w:w="3000" w:type="dxa"/>
          </w:tcPr>
          <w:p>
            <w:pPr>
              <w:spacing w:after="0" w:before="0"/>
            </w:pPr>
            <w:r/>
            <w:r>
              <w:rPr>
                <w:rFonts w:ascii="Arial" w:hAnsi="Arial" w:cs="Arial"/>
                <w:b w:val="0"/>
                <w:sz w:val="17"/>
              </w:rPr>
              <w:t>Disputed invoice</w:t>
            </w:r>
          </w:p>
        </w:tc>
        <w:tc>
          <w:tcPr>
            <w:tcW w:w="6360" w:type="dxa"/>
          </w:tcPr>
          <w:p>
            <w:pPr>
              <w:spacing w:after="0" w:before="0"/>
            </w:pPr>
            <w:r/>
            <w:r>
              <w:rPr>
                <w:rFonts w:ascii="Arial" w:hAnsi="Arial" w:cs="Arial"/>
                <w:b w:val="0"/>
                <w:sz w:val="17"/>
              </w:rPr>
              <w:t>Hold; resolve before advance</w:t>
            </w:r>
          </w:p>
        </w:tc>
      </w:tr>
      <w:tr>
        <w:tc>
          <w:tcPr>
            <w:tcW w:w="3000" w:type="dxa"/>
          </w:tcPr>
          <w:p>
            <w:pPr>
              <w:spacing w:after="0" w:before="0"/>
            </w:pPr>
            <w:r/>
            <w:r>
              <w:rPr>
                <w:rFonts w:ascii="Arial" w:hAnsi="Arial" w:cs="Arial"/>
                <w:b w:val="0"/>
                <w:sz w:val="17"/>
              </w:rPr>
              <w:t>IRN mismatch</w:t>
            </w:r>
          </w:p>
        </w:tc>
        <w:tc>
          <w:tcPr>
            <w:tcW w:w="6360" w:type="dxa"/>
          </w:tcPr>
          <w:p>
            <w:pPr>
              <w:spacing w:after="0" w:before="0"/>
            </w:pPr>
            <w:r/>
            <w:r>
              <w:rPr>
                <w:rFonts w:ascii="Arial" w:hAnsi="Arial" w:cs="Arial"/>
                <w:b w:val="0"/>
                <w:sz w:val="17"/>
              </w:rPr>
              <w:t>Reject invoice</w:t>
            </w:r>
          </w:p>
        </w:tc>
      </w:tr>
      <w:tr>
        <w:tc>
          <w:tcPr>
            <w:tcW w:w="3000" w:type="dxa"/>
          </w:tcPr>
          <w:p>
            <w:pPr>
              <w:spacing w:after="0" w:before="0"/>
            </w:pPr>
            <w:r/>
            <w:r>
              <w:rPr>
                <w:rFonts w:ascii="Arial" w:hAnsi="Arial" w:cs="Arial"/>
                <w:b w:val="0"/>
                <w:sz w:val="17"/>
              </w:rPr>
              <w:t>Anchor program-limit breach</w:t>
            </w:r>
          </w:p>
        </w:tc>
        <w:tc>
          <w:tcPr>
            <w:tcW w:w="6360" w:type="dxa"/>
          </w:tcPr>
          <w:p>
            <w:pPr>
              <w:spacing w:after="0" w:before="0"/>
            </w:pPr>
            <w:r/>
            <w:r>
              <w:rPr>
                <w:rFonts w:ascii="Arial" w:hAnsi="Arial" w:cs="Arial"/>
                <w:b w:val="0"/>
                <w:sz w:val="17"/>
              </w:rPr>
              <w:t>Block further financing</w:t>
            </w:r>
          </w:p>
        </w:tc>
      </w:tr>
      <w:tr>
        <w:tc>
          <w:tcPr>
            <w:tcW w:w="3000" w:type="dxa"/>
          </w:tcPr>
          <w:p>
            <w:pPr>
              <w:spacing w:after="0" w:before="0"/>
            </w:pPr>
            <w:r/>
            <w:r>
              <w:rPr>
                <w:rFonts w:ascii="Arial" w:hAnsi="Arial" w:cs="Arial"/>
                <w:b w:val="0"/>
                <w:sz w:val="17"/>
              </w:rPr>
              <w:t>Dilution / returns</w:t>
            </w:r>
          </w:p>
        </w:tc>
        <w:tc>
          <w:tcPr>
            <w:tcW w:w="6360" w:type="dxa"/>
          </w:tcPr>
          <w:p>
            <w:pPr>
              <w:spacing w:after="0" w:before="0"/>
            </w:pPr>
            <w:r/>
            <w:r>
              <w:rPr>
                <w:rFonts w:ascii="Arial" w:hAnsi="Arial" w:cs="Arial"/>
                <w:b w:val="0"/>
                <w:sz w:val="17"/>
              </w:rPr>
              <w:t>Adjust advance</w:t>
            </w:r>
          </w:p>
        </w:tc>
      </w:tr>
      <w:tr>
        <w:tc>
          <w:tcPr>
            <w:tcW w:w="3000" w:type="dxa"/>
          </w:tcPr>
          <w:p>
            <w:pPr>
              <w:spacing w:after="0" w:before="0"/>
            </w:pPr>
            <w:r/>
            <w:r>
              <w:rPr>
                <w:rFonts w:ascii="Arial" w:hAnsi="Arial" w:cs="Arial"/>
                <w:b w:val="0"/>
                <w:sz w:val="17"/>
              </w:rPr>
              <w:t>Single-buyer concentration</w:t>
            </w:r>
          </w:p>
        </w:tc>
        <w:tc>
          <w:tcPr>
            <w:tcW w:w="6360" w:type="dxa"/>
          </w:tcPr>
          <w:p>
            <w:pPr>
              <w:spacing w:after="0" w:before="0"/>
            </w:pPr>
            <w:r/>
            <w:r>
              <w:rPr>
                <w:rFonts w:ascii="Arial" w:hAnsi="Arial" w:cs="Arial"/>
                <w:b w:val="0"/>
                <w:sz w:val="17"/>
              </w:rPr>
              <w:t>Cap exposure</w:t>
            </w:r>
          </w:p>
        </w:tc>
      </w:tr>
    </w:tbl>
    <w:p/>
    <w:p>
      <w:r>
        <w:rPr>
          <w:rFonts w:ascii="Arial" w:hAnsi="Arial" w:cs="Arial"/>
          <w:b w:val="0"/>
          <w:i w:val="0"/>
          <w:sz w:val="22"/>
        </w:rPr>
        <w:t>Documents &amp; integrations: Sanction, SCF agreement, anchor tie-up, KFS; integrations — GSTN IRP, anchor ERP/portal, TReDS (if routed), rails.</w:t>
      </w:r>
    </w:p>
    <w:p>
      <w:pPr>
        <w:pStyle w:val="Heading2"/>
      </w:pPr>
      <w:r>
        <w:t>87.19 Factoring (Recourse &amp; Non-Recourse) — NBFC-Factor [FACT]</w:t>
      </w:r>
    </w:p>
    <w:p>
      <w:r>
        <w:rPr>
          <w:rFonts w:ascii="Arial" w:hAnsi="Arial" w:cs="Arial"/>
          <w:b w:val="0"/>
          <w:i w:val="0"/>
          <w:sz w:val="22"/>
        </w:rPr>
        <w:t>Purchase of a seller’s trade receivables at a discount, governed by the Factoring Regulation Act, 2011 (as amended 2021); requires NBFC-Factor registration and filing of each assignment with the Central Registry within the prescribed timeline.</w:t>
      </w:r>
    </w:p>
    <w:p>
      <w:r>
        <w:rPr>
          <w:rFonts w:ascii="Arial" w:hAnsi="Arial" w:cs="Arial"/>
          <w:b/>
          <w:i w:val="0"/>
          <w:sz w:val="22"/>
        </w:rPr>
        <w:t>Regulatory, eligibility &amp; policy:</w:t>
      </w:r>
    </w:p>
    <w:p>
      <w:pPr>
        <w:pStyle w:val="ListParagraph"/>
        <w:numPr>
          <w:ilvl w:val="0"/>
          <w:numId w:val="2"/>
        </w:numPr>
      </w:pPr>
      <w:r>
        <w:rPr>
          <w:rFonts w:ascii="Arial" w:hAnsi="Arial" w:cs="Arial"/>
          <w:sz w:val="22"/>
        </w:rPr>
        <w:t>Recourse type (recourse/non-recourse); advance rate typically 75–90% of invoice, balance on collection less charges.</w:t>
      </w:r>
    </w:p>
    <w:p>
      <w:pPr>
        <w:pStyle w:val="ListParagraph"/>
        <w:numPr>
          <w:ilvl w:val="0"/>
          <w:numId w:val="2"/>
        </w:numPr>
      </w:pPr>
      <w:r>
        <w:rPr>
          <w:rFonts w:ascii="Arial" w:hAnsi="Arial" w:cs="Arial"/>
          <w:sz w:val="22"/>
        </w:rPr>
        <w:t>Whitelisted buyer/debtor master with buyer-wise credit limits; disclosed vs undisclosed factoring; CERSAI assignment filing within the statutory timeline.</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Seller (Borrower)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Entity form (Section 2.4–2.8)</w:t>
            </w:r>
          </w:p>
        </w:tc>
      </w:tr>
      <w:tr>
        <w:tc>
          <w:tcPr>
            <w:tcW w:w="2900" w:type="dxa"/>
          </w:tcPr>
          <w:p>
            <w:pPr>
              <w:spacing w:after="0" w:before="0"/>
            </w:pPr>
            <w:r/>
            <w:r>
              <w:rPr>
                <w:rFonts w:ascii="Arial" w:hAnsi="Arial" w:cs="Arial"/>
                <w:b w:val="0"/>
                <w:sz w:val="17"/>
              </w:rPr>
              <w:t>Buyer / Debtor Details</w:t>
            </w:r>
          </w:p>
        </w:tc>
        <w:tc>
          <w:tcPr>
            <w:tcW w:w="1300" w:type="dxa"/>
          </w:tcPr>
          <w:p>
            <w:pPr>
              <w:spacing w:after="0" w:before="0"/>
            </w:pPr>
            <w:r/>
            <w:r>
              <w:rPr>
                <w:rFonts w:ascii="Arial" w:hAnsi="Arial" w:cs="Arial"/>
                <w:b w:val="0"/>
                <w:sz w:val="17"/>
              </w:rPr>
              <w:t>Reference/Text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Name, GSTIN, credit limit against this buyer</w:t>
            </w:r>
          </w:p>
        </w:tc>
      </w:tr>
      <w:tr>
        <w:tc>
          <w:tcPr>
            <w:tcW w:w="2900" w:type="dxa"/>
          </w:tcPr>
          <w:p>
            <w:pPr>
              <w:spacing w:after="0" w:before="0"/>
            </w:pPr>
            <w:r/>
            <w:r>
              <w:rPr>
                <w:rFonts w:ascii="Arial" w:hAnsi="Arial" w:cs="Arial"/>
                <w:b w:val="0"/>
                <w:sz w:val="17"/>
              </w:rPr>
              <w:t>Invoice(s) to be Factored</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No., date, amount, due date, IRN</w:t>
            </w:r>
          </w:p>
        </w:tc>
      </w:tr>
      <w:tr>
        <w:tc>
          <w:tcPr>
            <w:tcW w:w="2900" w:type="dxa"/>
          </w:tcPr>
          <w:p>
            <w:pPr>
              <w:spacing w:after="0" w:before="0"/>
            </w:pPr>
            <w:r/>
            <w:r>
              <w:rPr>
                <w:rFonts w:ascii="Arial" w:hAnsi="Arial" w:cs="Arial"/>
                <w:b w:val="0"/>
                <w:sz w:val="17"/>
              </w:rPr>
              <w:t>Trade History with Buyer</w:t>
            </w:r>
          </w:p>
        </w:tc>
        <w:tc>
          <w:tcPr>
            <w:tcW w:w="1300" w:type="dxa"/>
          </w:tcPr>
          <w:p>
            <w:pPr>
              <w:spacing w:after="0" w:before="0"/>
            </w:pPr>
            <w:r/>
            <w:r>
              <w:rPr>
                <w:rFonts w:ascii="Arial" w:hAnsi="Arial" w:cs="Arial"/>
                <w:b w:val="0"/>
                <w:sz w:val="17"/>
              </w:rPr>
              <w:t>Text/Number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Vintage, average billing</w:t>
            </w:r>
          </w:p>
        </w:tc>
      </w:tr>
      <w:tr>
        <w:tc>
          <w:tcPr>
            <w:tcW w:w="2900" w:type="dxa"/>
          </w:tcPr>
          <w:p>
            <w:pPr>
              <w:spacing w:after="0" w:before="0"/>
            </w:pPr>
            <w:r/>
            <w:r>
              <w:rPr>
                <w:rFonts w:ascii="Arial" w:hAnsi="Arial" w:cs="Arial"/>
                <w:b w:val="0"/>
                <w:sz w:val="17"/>
              </w:rPr>
              <w:t>Requested Facility Limit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Assignment Filing Reference (Central Registry)</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statutory timeline</w:t>
            </w:r>
          </w:p>
        </w:tc>
      </w:tr>
      <w:tr>
        <w:tc>
          <w:tcPr>
            <w:tcW w:w="2900" w:type="dxa"/>
          </w:tcPr>
          <w:p>
            <w:pPr>
              <w:spacing w:after="0" w:before="0"/>
            </w:pPr>
            <w:r/>
            <w:r>
              <w:rPr>
                <w:rFonts w:ascii="Arial" w:hAnsi="Arial" w:cs="Arial"/>
                <w:b w:val="0"/>
                <w:sz w:val="17"/>
              </w:rPr>
              <w:t>Buyer Acceptance (if disclosed)</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Recourse Invocation</w:t>
            </w:r>
          </w:p>
        </w:tc>
        <w:tc>
          <w:tcPr>
            <w:tcW w:w="1300" w:type="dxa"/>
          </w:tcPr>
          <w:p>
            <w:pPr>
              <w:spacing w:after="0" w:before="0"/>
            </w:pPr>
            <w:r/>
            <w:r>
              <w:rPr>
                <w:rFonts w:ascii="Arial" w:hAnsi="Arial" w:cs="Arial"/>
                <w:b w:val="0"/>
                <w:sz w:val="17"/>
              </w:rPr>
              <w:t>Workflow</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Demand to seller on buyer default</w:t>
            </w:r>
          </w:p>
        </w:tc>
      </w:tr>
    </w:tbl>
    <w:p/>
    <w:p>
      <w:r>
        <w:rPr>
          <w:rFonts w:ascii="Arial" w:hAnsi="Arial" w:cs="Arial"/>
          <w:b/>
          <w:i w:val="0"/>
          <w:sz w:val="22"/>
        </w:rPr>
        <w:t>Computation &amp; servicing:</w:t>
      </w:r>
    </w:p>
    <w:p>
      <w:r>
        <w:rPr>
          <w:rFonts w:ascii="Arial" w:hAnsi="Arial" w:cs="Arial"/>
          <w:b w:val="0"/>
          <w:i w:val="0"/>
          <w:sz w:val="22"/>
        </w:rPr>
        <w:t>Advance = advance-rate × invoice value; discount/factoring charge on the advance until collection; on buyer default, recourse to the seller (recourse type) or financier bears the loss (non-recourse).</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Buyer default</w:t>
            </w:r>
          </w:p>
        </w:tc>
        <w:tc>
          <w:tcPr>
            <w:tcW w:w="6360" w:type="dxa"/>
          </w:tcPr>
          <w:p>
            <w:pPr>
              <w:spacing w:after="0" w:before="0"/>
            </w:pPr>
            <w:r/>
            <w:r>
              <w:rPr>
                <w:rFonts w:ascii="Arial" w:hAnsi="Arial" w:cs="Arial"/>
                <w:b w:val="0"/>
                <w:sz w:val="17"/>
              </w:rPr>
              <w:t>Recourse to seller / non-recourse loss</w:t>
            </w:r>
          </w:p>
        </w:tc>
      </w:tr>
      <w:tr>
        <w:tc>
          <w:tcPr>
            <w:tcW w:w="3000" w:type="dxa"/>
          </w:tcPr>
          <w:p>
            <w:pPr>
              <w:spacing w:after="0" w:before="0"/>
            </w:pPr>
            <w:r/>
            <w:r>
              <w:rPr>
                <w:rFonts w:ascii="Arial" w:hAnsi="Arial" w:cs="Arial"/>
                <w:b w:val="0"/>
                <w:sz w:val="17"/>
              </w:rPr>
              <w:t>Disputed / diluted invoice</w:t>
            </w:r>
          </w:p>
        </w:tc>
        <w:tc>
          <w:tcPr>
            <w:tcW w:w="6360" w:type="dxa"/>
          </w:tcPr>
          <w:p>
            <w:pPr>
              <w:spacing w:after="0" w:before="0"/>
            </w:pPr>
            <w:r/>
            <w:r>
              <w:rPr>
                <w:rFonts w:ascii="Arial" w:hAnsi="Arial" w:cs="Arial"/>
                <w:b w:val="0"/>
                <w:sz w:val="17"/>
              </w:rPr>
              <w:t>Hold; adjust</w:t>
            </w:r>
          </w:p>
        </w:tc>
      </w:tr>
      <w:tr>
        <w:tc>
          <w:tcPr>
            <w:tcW w:w="3000" w:type="dxa"/>
          </w:tcPr>
          <w:p>
            <w:pPr>
              <w:spacing w:after="0" w:before="0"/>
            </w:pPr>
            <w:r/>
            <w:r>
              <w:rPr>
                <w:rFonts w:ascii="Arial" w:hAnsi="Arial" w:cs="Arial"/>
                <w:b w:val="0"/>
                <w:sz w:val="17"/>
              </w:rPr>
              <w:t>Undisclosed factoring</w:t>
            </w:r>
          </w:p>
        </w:tc>
        <w:tc>
          <w:tcPr>
            <w:tcW w:w="6360" w:type="dxa"/>
          </w:tcPr>
          <w:p>
            <w:pPr>
              <w:spacing w:after="0" w:before="0"/>
            </w:pPr>
            <w:r/>
            <w:r>
              <w:rPr>
                <w:rFonts w:ascii="Arial" w:hAnsi="Arial" w:cs="Arial"/>
                <w:b w:val="0"/>
                <w:sz w:val="17"/>
              </w:rPr>
              <w:t>Collection handling without buyer notice</w:t>
            </w:r>
          </w:p>
        </w:tc>
      </w:tr>
      <w:tr>
        <w:tc>
          <w:tcPr>
            <w:tcW w:w="3000" w:type="dxa"/>
          </w:tcPr>
          <w:p>
            <w:pPr>
              <w:spacing w:after="0" w:before="0"/>
            </w:pPr>
            <w:r/>
            <w:r>
              <w:rPr>
                <w:rFonts w:ascii="Arial" w:hAnsi="Arial" w:cs="Arial"/>
                <w:b w:val="0"/>
                <w:sz w:val="17"/>
              </w:rPr>
              <w:t>Buyer credit-limit breach</w:t>
            </w:r>
          </w:p>
        </w:tc>
        <w:tc>
          <w:tcPr>
            <w:tcW w:w="6360" w:type="dxa"/>
          </w:tcPr>
          <w:p>
            <w:pPr>
              <w:spacing w:after="0" w:before="0"/>
            </w:pPr>
            <w:r/>
            <w:r>
              <w:rPr>
                <w:rFonts w:ascii="Arial" w:hAnsi="Arial" w:cs="Arial"/>
                <w:b w:val="0"/>
                <w:sz w:val="17"/>
              </w:rPr>
              <w:t>Block further purchases</w:t>
            </w:r>
          </w:p>
        </w:tc>
      </w:tr>
      <w:tr>
        <w:tc>
          <w:tcPr>
            <w:tcW w:w="3000" w:type="dxa"/>
          </w:tcPr>
          <w:p>
            <w:pPr>
              <w:spacing w:after="0" w:before="0"/>
            </w:pPr>
            <w:r/>
            <w:r>
              <w:rPr>
                <w:rFonts w:ascii="Arial" w:hAnsi="Arial" w:cs="Arial"/>
                <w:b w:val="0"/>
                <w:sz w:val="17"/>
              </w:rPr>
              <w:t>Late CERSAI filing</w:t>
            </w:r>
          </w:p>
        </w:tc>
        <w:tc>
          <w:tcPr>
            <w:tcW w:w="6360" w:type="dxa"/>
          </w:tcPr>
          <w:p>
            <w:pPr>
              <w:spacing w:after="0" w:before="0"/>
            </w:pPr>
            <w:r/>
            <w:r>
              <w:rPr>
                <w:rFonts w:ascii="Arial" w:hAnsi="Arial" w:cs="Arial"/>
                <w:b w:val="0"/>
                <w:sz w:val="17"/>
              </w:rPr>
              <w:t>Compliance breach; remediate</w:t>
            </w:r>
          </w:p>
        </w:tc>
      </w:tr>
      <w:tr>
        <w:tc>
          <w:tcPr>
            <w:tcW w:w="3000" w:type="dxa"/>
          </w:tcPr>
          <w:p>
            <w:pPr>
              <w:spacing w:after="0" w:before="0"/>
            </w:pPr>
            <w:r/>
            <w:r>
              <w:rPr>
                <w:rFonts w:ascii="Arial" w:hAnsi="Arial" w:cs="Arial"/>
                <w:b w:val="0"/>
                <w:sz w:val="17"/>
              </w:rPr>
              <w:t>Receivables fraud</w:t>
            </w:r>
          </w:p>
        </w:tc>
        <w:tc>
          <w:tcPr>
            <w:tcW w:w="6360" w:type="dxa"/>
          </w:tcPr>
          <w:p>
            <w:pPr>
              <w:spacing w:after="0" w:before="0"/>
            </w:pPr>
            <w:r/>
            <w:r>
              <w:rPr>
                <w:rFonts w:ascii="Arial" w:hAnsi="Arial" w:cs="Arial"/>
                <w:b w:val="0"/>
                <w:sz w:val="17"/>
              </w:rPr>
              <w:t>EWS/RFA (Section 37)</w:t>
            </w:r>
          </w:p>
        </w:tc>
      </w:tr>
    </w:tbl>
    <w:p/>
    <w:p>
      <w:r>
        <w:rPr>
          <w:rFonts w:ascii="Arial" w:hAnsi="Arial" w:cs="Arial"/>
          <w:b w:val="0"/>
          <w:i w:val="0"/>
          <w:sz w:val="22"/>
        </w:rPr>
        <w:t>Documents &amp; integrations: Factoring agreement, assignment, KFS; integrations — CERSAI Central Registry, GSTN IRP, bureau.</w:t>
      </w:r>
    </w:p>
    <w:p>
      <w:pPr>
        <w:pStyle w:val="Heading2"/>
      </w:pPr>
      <w:r>
        <w:t>87.20 TReDS-Based Invoice Financing [TREDS]</w:t>
      </w:r>
    </w:p>
    <w:p>
      <w:r>
        <w:rPr>
          <w:rFonts w:ascii="Arial" w:hAnsi="Arial" w:cs="Arial"/>
          <w:b w:val="0"/>
          <w:i w:val="0"/>
          <w:sz w:val="22"/>
        </w:rPr>
        <w:t>The NBFC participates as a Financier bidding on an RBI-licensed TReDS platform to discount MSME sellers’ invoices via reverse auction — always without recourse; the platform files the assignment with the Central Registry.</w:t>
      </w:r>
    </w:p>
    <w:p>
      <w:r>
        <w:rPr>
          <w:rFonts w:ascii="Arial" w:hAnsi="Arial" w:cs="Arial"/>
          <w:b/>
          <w:i w:val="0"/>
          <w:sz w:val="22"/>
        </w:rPr>
        <w:t>Regulatory, eligibility &amp; policy:</w:t>
      </w:r>
    </w:p>
    <w:p>
      <w:pPr>
        <w:pStyle w:val="ListParagraph"/>
        <w:numPr>
          <w:ilvl w:val="0"/>
          <w:numId w:val="2"/>
        </w:numPr>
      </w:pPr>
      <w:r>
        <w:rPr>
          <w:rFonts w:ascii="Arial" w:hAnsi="Arial" w:cs="Arial"/>
          <w:sz w:val="22"/>
        </w:rPr>
        <w:t>TReDS platform(s) onboarded (RXIL / M1xchange / Invoicemart / other licensed); auto-bid discount bands by buyer rating/exposure; buyer-concentration limit across all TReDS invoices.</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Financier Onboarding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NBFC credential on the platform (not per-borrower)</w:t>
            </w:r>
          </w:p>
        </w:tc>
      </w:tr>
      <w:tr>
        <w:tc>
          <w:tcPr>
            <w:tcW w:w="2900" w:type="dxa"/>
          </w:tcPr>
          <w:p>
            <w:pPr>
              <w:spacing w:after="0" w:before="0"/>
            </w:pPr>
            <w:r/>
            <w:r>
              <w:rPr>
                <w:rFonts w:ascii="Arial" w:hAnsi="Arial" w:cs="Arial"/>
                <w:b w:val="0"/>
                <w:sz w:val="17"/>
              </w:rPr>
              <w:t>Invoice Batch Reference (platform API)</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No., seller, buyer, amount, tenor</w:t>
            </w:r>
          </w:p>
        </w:tc>
      </w:tr>
      <w:tr>
        <w:tc>
          <w:tcPr>
            <w:tcW w:w="2900" w:type="dxa"/>
          </w:tcPr>
          <w:p>
            <w:pPr>
              <w:spacing w:after="0" w:before="0"/>
            </w:pPr>
            <w:r/>
            <w:r>
              <w:rPr>
                <w:rFonts w:ascii="Arial" w:hAnsi="Arial" w:cs="Arial"/>
                <w:b w:val="0"/>
                <w:sz w:val="17"/>
              </w:rPr>
              <w:t>Winning Bid Discount Rate</w:t>
            </w:r>
          </w:p>
        </w:tc>
        <w:tc>
          <w:tcPr>
            <w:tcW w:w="1300" w:type="dxa"/>
          </w:tcPr>
          <w:p>
            <w:pPr>
              <w:spacing w:after="0" w:before="0"/>
            </w:pPr>
            <w:r/>
            <w:r>
              <w:rPr>
                <w:rFonts w:ascii="Arial" w:hAnsi="Arial" w:cs="Arial"/>
                <w:b w:val="0"/>
                <w:sz w:val="17"/>
              </w:rPr>
              <w:t>Percentage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From the reverse auction</w:t>
            </w:r>
          </w:p>
        </w:tc>
      </w:tr>
      <w:tr>
        <w:tc>
          <w:tcPr>
            <w:tcW w:w="2900" w:type="dxa"/>
          </w:tcPr>
          <w:p>
            <w:pPr>
              <w:spacing w:after="0" w:before="0"/>
            </w:pPr>
            <w:r/>
            <w:r>
              <w:rPr>
                <w:rFonts w:ascii="Arial" w:hAnsi="Arial" w:cs="Arial"/>
                <w:b w:val="0"/>
                <w:sz w:val="17"/>
              </w:rPr>
              <w:t>Disbursal to Seller</w:t>
            </w:r>
          </w:p>
        </w:tc>
        <w:tc>
          <w:tcPr>
            <w:tcW w:w="1300" w:type="dxa"/>
          </w:tcPr>
          <w:p>
            <w:pPr>
              <w:spacing w:after="0" w:before="0"/>
            </w:pPr>
            <w:r/>
            <w:r>
              <w:rPr>
                <w:rFonts w:ascii="Arial" w:hAnsi="Arial" w:cs="Arial"/>
                <w:b w:val="0"/>
                <w:sz w:val="17"/>
              </w:rPr>
              <w:t>Currency/Date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Net of discount, on settlement</w:t>
            </w:r>
          </w:p>
        </w:tc>
      </w:tr>
      <w:tr>
        <w:tc>
          <w:tcPr>
            <w:tcW w:w="2900" w:type="dxa"/>
          </w:tcPr>
          <w:p>
            <w:pPr>
              <w:spacing w:after="0" w:before="0"/>
            </w:pPr>
            <w:r/>
            <w:r>
              <w:rPr>
                <w:rFonts w:ascii="Arial" w:hAnsi="Arial" w:cs="Arial"/>
                <w:b w:val="0"/>
                <w:sz w:val="17"/>
              </w:rPr>
              <w:t>Collection from Buyer on Maturity</w:t>
            </w:r>
          </w:p>
        </w:tc>
        <w:tc>
          <w:tcPr>
            <w:tcW w:w="1300" w:type="dxa"/>
          </w:tcPr>
          <w:p>
            <w:pPr>
              <w:spacing w:after="0" w:before="0"/>
            </w:pPr>
            <w:r/>
            <w:r>
              <w:rPr>
                <w:rFonts w:ascii="Arial" w:hAnsi="Arial" w:cs="Arial"/>
                <w:b w:val="0"/>
                <w:sz w:val="17"/>
              </w:rPr>
              <w:t>Currency/Date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Platform Settlement Reconciliation</w:t>
            </w:r>
          </w:p>
        </w:tc>
        <w:tc>
          <w:tcPr>
            <w:tcW w:w="1300" w:type="dxa"/>
          </w:tcPr>
          <w:p>
            <w:pPr>
              <w:spacing w:after="0" w:before="0"/>
            </w:pPr>
            <w:r/>
            <w:r>
              <w:rPr>
                <w:rFonts w:ascii="Arial" w:hAnsi="Arial" w:cs="Arial"/>
                <w:b w:val="0"/>
                <w:sz w:val="17"/>
              </w:rPr>
              <w:t>Report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Daily vs each platform’s settlement file</w:t>
            </w:r>
          </w:p>
        </w:tc>
      </w:tr>
    </w:tbl>
    <w:p/>
    <w:p>
      <w:r>
        <w:rPr>
          <w:rFonts w:ascii="Arial" w:hAnsi="Arial" w:cs="Arial"/>
          <w:b/>
          <w:i w:val="0"/>
          <w:sz w:val="22"/>
        </w:rPr>
        <w:t>Computation &amp; servicing:</w:t>
      </w:r>
    </w:p>
    <w:p>
      <w:r>
        <w:rPr>
          <w:rFonts w:ascii="Arial" w:hAnsi="Arial" w:cs="Arial"/>
          <w:b w:val="0"/>
          <w:i w:val="0"/>
          <w:sz w:val="22"/>
        </w:rPr>
        <w:t>Front-end discount at the winning bid rate; automated bidding by buyer rating/exposure; daily reconciliation against each platform’s settlement file (Section 3.11).</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Buyer default on maturity</w:t>
            </w:r>
          </w:p>
        </w:tc>
        <w:tc>
          <w:tcPr>
            <w:tcW w:w="6360" w:type="dxa"/>
          </w:tcPr>
          <w:p>
            <w:pPr>
              <w:spacing w:after="0" w:before="0"/>
            </w:pPr>
            <w:r/>
            <w:r>
              <w:rPr>
                <w:rFonts w:ascii="Arial" w:hAnsi="Arial" w:cs="Arial"/>
                <w:b w:val="0"/>
                <w:sz w:val="17"/>
              </w:rPr>
              <w:t>Platform settlement mechanics; loss (no recourse)</w:t>
            </w:r>
          </w:p>
        </w:tc>
      </w:tr>
      <w:tr>
        <w:tc>
          <w:tcPr>
            <w:tcW w:w="3000" w:type="dxa"/>
          </w:tcPr>
          <w:p>
            <w:pPr>
              <w:spacing w:after="0" w:before="0"/>
            </w:pPr>
            <w:r/>
            <w:r>
              <w:rPr>
                <w:rFonts w:ascii="Arial" w:hAnsi="Arial" w:cs="Arial"/>
                <w:b w:val="0"/>
                <w:sz w:val="17"/>
              </w:rPr>
              <w:t>Bid-strategy calibration</w:t>
            </w:r>
          </w:p>
        </w:tc>
        <w:tc>
          <w:tcPr>
            <w:tcW w:w="6360" w:type="dxa"/>
          </w:tcPr>
          <w:p>
            <w:pPr>
              <w:spacing w:after="0" w:before="0"/>
            </w:pPr>
            <w:r/>
            <w:r>
              <w:rPr>
                <w:rFonts w:ascii="Arial" w:hAnsi="Arial" w:cs="Arial"/>
                <w:b w:val="0"/>
                <w:sz w:val="17"/>
              </w:rPr>
              <w:t>Tune auto-bid bands</w:t>
            </w:r>
          </w:p>
        </w:tc>
      </w:tr>
      <w:tr>
        <w:tc>
          <w:tcPr>
            <w:tcW w:w="3000" w:type="dxa"/>
          </w:tcPr>
          <w:p>
            <w:pPr>
              <w:spacing w:after="0" w:before="0"/>
            </w:pPr>
            <w:r/>
            <w:r>
              <w:rPr>
                <w:rFonts w:ascii="Arial" w:hAnsi="Arial" w:cs="Arial"/>
                <w:b w:val="0"/>
                <w:sz w:val="17"/>
              </w:rPr>
              <w:t>Settlement break</w:t>
            </w:r>
          </w:p>
        </w:tc>
        <w:tc>
          <w:tcPr>
            <w:tcW w:w="6360" w:type="dxa"/>
          </w:tcPr>
          <w:p>
            <w:pPr>
              <w:spacing w:after="0" w:before="0"/>
            </w:pPr>
            <w:r/>
            <w:r>
              <w:rPr>
                <w:rFonts w:ascii="Arial" w:hAnsi="Arial" w:cs="Arial"/>
                <w:b w:val="0"/>
                <w:sz w:val="17"/>
              </w:rPr>
              <w:t>Reconcile; escalate to platform</w:t>
            </w:r>
          </w:p>
        </w:tc>
      </w:tr>
      <w:tr>
        <w:tc>
          <w:tcPr>
            <w:tcW w:w="3000" w:type="dxa"/>
          </w:tcPr>
          <w:p>
            <w:pPr>
              <w:spacing w:after="0" w:before="0"/>
            </w:pPr>
            <w:r/>
            <w:r>
              <w:rPr>
                <w:rFonts w:ascii="Arial" w:hAnsi="Arial" w:cs="Arial"/>
                <w:b w:val="0"/>
                <w:sz w:val="17"/>
              </w:rPr>
              <w:t>Buyer-concentration breach</w:t>
            </w:r>
          </w:p>
        </w:tc>
        <w:tc>
          <w:tcPr>
            <w:tcW w:w="6360" w:type="dxa"/>
          </w:tcPr>
          <w:p>
            <w:pPr>
              <w:spacing w:after="0" w:before="0"/>
            </w:pPr>
            <w:r/>
            <w:r>
              <w:rPr>
                <w:rFonts w:ascii="Arial" w:hAnsi="Arial" w:cs="Arial"/>
                <w:b w:val="0"/>
                <w:sz w:val="17"/>
              </w:rPr>
              <w:t>Cap exposure</w:t>
            </w:r>
          </w:p>
        </w:tc>
      </w:tr>
      <w:tr>
        <w:tc>
          <w:tcPr>
            <w:tcW w:w="3000" w:type="dxa"/>
          </w:tcPr>
          <w:p>
            <w:pPr>
              <w:spacing w:after="0" w:before="0"/>
            </w:pPr>
            <w:r/>
            <w:r>
              <w:rPr>
                <w:rFonts w:ascii="Arial" w:hAnsi="Arial" w:cs="Arial"/>
                <w:b w:val="0"/>
                <w:sz w:val="17"/>
              </w:rPr>
              <w:t>Multi-platform operations</w:t>
            </w:r>
          </w:p>
        </w:tc>
        <w:tc>
          <w:tcPr>
            <w:tcW w:w="6360" w:type="dxa"/>
          </w:tcPr>
          <w:p>
            <w:pPr>
              <w:spacing w:after="0" w:before="0"/>
            </w:pPr>
            <w:r/>
            <w:r>
              <w:rPr>
                <w:rFonts w:ascii="Arial" w:hAnsi="Arial" w:cs="Arial"/>
                <w:b w:val="0"/>
                <w:sz w:val="17"/>
              </w:rPr>
              <w:t>Consolidate exposure view</w:t>
            </w:r>
          </w:p>
        </w:tc>
      </w:tr>
    </w:tbl>
    <w:p/>
    <w:p>
      <w:r>
        <w:rPr>
          <w:rFonts w:ascii="Arial" w:hAnsi="Arial" w:cs="Arial"/>
          <w:b w:val="0"/>
          <w:i w:val="0"/>
          <w:sz w:val="22"/>
        </w:rPr>
        <w:t>Documents &amp; integrations: Platform agreements, KFS n/a per-borrower; integrations — TReDS platform APIs, rails, Central Registry (via platform).</w:t>
      </w:r>
    </w:p>
    <w:p>
      <w:pPr>
        <w:pStyle w:val="Heading2"/>
      </w:pPr>
      <w:r>
        <w:t>87.21 Bill / Cheque Discounting [BILLDISC]</w:t>
      </w:r>
    </w:p>
    <w:p>
      <w:r>
        <w:rPr>
          <w:rFonts w:ascii="Arial" w:hAnsi="Arial" w:cs="Arial"/>
          <w:b w:val="0"/>
          <w:i w:val="0"/>
          <w:sz w:val="22"/>
        </w:rPr>
        <w:t>Short-tenure discounting of usance bills of exchange or post-dated cheques, where the underlying instrument itself is negotiated (distinct from invoice-level TReDS/Factoring).</w:t>
      </w:r>
    </w:p>
    <w:p>
      <w:r>
        <w:rPr>
          <w:rFonts w:ascii="Arial" w:hAnsi="Arial" w:cs="Arial"/>
          <w:b/>
          <w:i w:val="0"/>
          <w:sz w:val="22"/>
        </w:rPr>
        <w:t>Regulatory, eligibility &amp; policy:</w:t>
      </w:r>
    </w:p>
    <w:p>
      <w:pPr>
        <w:pStyle w:val="ListParagraph"/>
        <w:numPr>
          <w:ilvl w:val="0"/>
          <w:numId w:val="2"/>
        </w:numPr>
      </w:pPr>
      <w:r>
        <w:rPr>
          <w:rFonts w:ascii="Arial" w:hAnsi="Arial" w:cs="Arial"/>
          <w:sz w:val="22"/>
        </w:rPr>
        <w:t>Instrument type (usance bill / post-dated cheque / demand promissory note); maximum usance period typically 30–120 days.</w:t>
      </w:r>
    </w:p>
    <w:p>
      <w:pPr>
        <w:pStyle w:val="ListParagraph"/>
        <w:numPr>
          <w:ilvl w:val="0"/>
          <w:numId w:val="2"/>
        </w:numPr>
      </w:pPr>
      <w:r>
        <w:rPr>
          <w:rFonts w:ascii="Arial" w:hAnsi="Arial" w:cs="Arial"/>
          <w:sz w:val="22"/>
        </w:rPr>
        <w:t>Cheque dishonour triggers a Section 138 Negotiable Instruments Act workflow (Section 7.2).</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Drawer / Payee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Instrument Details</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No., amount, due date, drawee bank/party</w:t>
            </w:r>
          </w:p>
        </w:tc>
      </w:tr>
      <w:tr>
        <w:tc>
          <w:tcPr>
            <w:tcW w:w="2900" w:type="dxa"/>
          </w:tcPr>
          <w:p>
            <w:pPr>
              <w:spacing w:after="0" w:before="0"/>
            </w:pPr>
            <w:r/>
            <w:r>
              <w:rPr>
                <w:rFonts w:ascii="Arial" w:hAnsi="Arial" w:cs="Arial"/>
                <w:b w:val="0"/>
                <w:sz w:val="17"/>
              </w:rPr>
              <w:t>Requested Discounting Limit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Presentation &amp; Realisation Status</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Presented/Realised/Dishonoured</w:t>
            </w:r>
          </w:p>
        </w:tc>
      </w:tr>
      <w:tr>
        <w:tc>
          <w:tcPr>
            <w:tcW w:w="2900" w:type="dxa"/>
          </w:tcPr>
          <w:p>
            <w:pPr>
              <w:spacing w:after="0" w:before="0"/>
            </w:pPr>
            <w:r/>
            <w:r>
              <w:rPr>
                <w:rFonts w:ascii="Arial" w:hAnsi="Arial" w:cs="Arial"/>
                <w:b w:val="0"/>
                <w:sz w:val="17"/>
              </w:rPr>
              <w:t>Dishonour Handling</w:t>
            </w:r>
          </w:p>
        </w:tc>
        <w:tc>
          <w:tcPr>
            <w:tcW w:w="1300" w:type="dxa"/>
          </w:tcPr>
          <w:p>
            <w:pPr>
              <w:spacing w:after="0" w:before="0"/>
            </w:pPr>
            <w:r/>
            <w:r>
              <w:rPr>
                <w:rFonts w:ascii="Arial" w:hAnsi="Arial" w:cs="Arial"/>
                <w:b w:val="0"/>
                <w:sz w:val="17"/>
              </w:rPr>
              <w:t>Workflow</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Section 138 legal workflow</w:t>
            </w:r>
          </w:p>
        </w:tc>
      </w:tr>
    </w:tbl>
    <w:p/>
    <w:p>
      <w:r>
        <w:rPr>
          <w:rFonts w:ascii="Arial" w:hAnsi="Arial" w:cs="Arial"/>
          <w:b/>
          <w:i w:val="0"/>
          <w:sz w:val="22"/>
        </w:rPr>
        <w:t>Computation &amp; servicing:</w:t>
      </w:r>
    </w:p>
    <w:p>
      <w:r>
        <w:rPr>
          <w:rFonts w:ascii="Arial" w:hAnsi="Arial" w:cs="Arial"/>
          <w:b w:val="0"/>
          <w:i w:val="0"/>
          <w:sz w:val="22"/>
        </w:rPr>
        <w:t>Front-end discount for the usance period; realisation on the due date; dishonour routes to the Section 138 legal workflow (Section 7.2).</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Cheque dishonour</w:t>
            </w:r>
          </w:p>
        </w:tc>
        <w:tc>
          <w:tcPr>
            <w:tcW w:w="6360" w:type="dxa"/>
          </w:tcPr>
          <w:p>
            <w:pPr>
              <w:spacing w:after="0" w:before="0"/>
            </w:pPr>
            <w:r/>
            <w:r>
              <w:rPr>
                <w:rFonts w:ascii="Arial" w:hAnsi="Arial" w:cs="Arial"/>
                <w:b w:val="0"/>
                <w:sz w:val="17"/>
              </w:rPr>
              <w:t>Section 138 notice &amp; prosecution</w:t>
            </w:r>
          </w:p>
        </w:tc>
      </w:tr>
      <w:tr>
        <w:tc>
          <w:tcPr>
            <w:tcW w:w="3000" w:type="dxa"/>
          </w:tcPr>
          <w:p>
            <w:pPr>
              <w:spacing w:after="0" w:before="0"/>
            </w:pPr>
            <w:r/>
            <w:r>
              <w:rPr>
                <w:rFonts w:ascii="Arial" w:hAnsi="Arial" w:cs="Arial"/>
                <w:b w:val="0"/>
                <w:sz w:val="17"/>
              </w:rPr>
              <w:t>Accommodation bills</w:t>
            </w:r>
          </w:p>
        </w:tc>
        <w:tc>
          <w:tcPr>
            <w:tcW w:w="6360" w:type="dxa"/>
          </w:tcPr>
          <w:p>
            <w:pPr>
              <w:spacing w:after="0" w:before="0"/>
            </w:pPr>
            <w:r/>
            <w:r>
              <w:rPr>
                <w:rFonts w:ascii="Arial" w:hAnsi="Arial" w:cs="Arial"/>
                <w:b w:val="0"/>
                <w:sz w:val="17"/>
              </w:rPr>
              <w:t>Fraud detection (Section 37)</w:t>
            </w:r>
          </w:p>
        </w:tc>
      </w:tr>
      <w:tr>
        <w:tc>
          <w:tcPr>
            <w:tcW w:w="3000" w:type="dxa"/>
          </w:tcPr>
          <w:p>
            <w:pPr>
              <w:spacing w:after="0" w:before="0"/>
            </w:pPr>
            <w:r/>
            <w:r>
              <w:rPr>
                <w:rFonts w:ascii="Arial" w:hAnsi="Arial" w:cs="Arial"/>
                <w:b w:val="0"/>
                <w:sz w:val="17"/>
              </w:rPr>
              <w:t>Drawee default</w:t>
            </w:r>
          </w:p>
        </w:tc>
        <w:tc>
          <w:tcPr>
            <w:tcW w:w="6360" w:type="dxa"/>
          </w:tcPr>
          <w:p>
            <w:pPr>
              <w:spacing w:after="0" w:before="0"/>
            </w:pPr>
            <w:r/>
            <w:r>
              <w:rPr>
                <w:rFonts w:ascii="Arial" w:hAnsi="Arial" w:cs="Arial"/>
                <w:b w:val="0"/>
                <w:sz w:val="17"/>
              </w:rPr>
              <w:t>Recovery from drawer/endorser</w:t>
            </w:r>
          </w:p>
        </w:tc>
      </w:tr>
      <w:tr>
        <w:tc>
          <w:tcPr>
            <w:tcW w:w="3000" w:type="dxa"/>
          </w:tcPr>
          <w:p>
            <w:pPr>
              <w:spacing w:after="0" w:before="0"/>
            </w:pPr>
            <w:r/>
            <w:r>
              <w:rPr>
                <w:rFonts w:ascii="Arial" w:hAnsi="Arial" w:cs="Arial"/>
                <w:b w:val="0"/>
                <w:sz w:val="17"/>
              </w:rPr>
              <w:t>Re-presentation</w:t>
            </w:r>
          </w:p>
        </w:tc>
        <w:tc>
          <w:tcPr>
            <w:tcW w:w="6360" w:type="dxa"/>
          </w:tcPr>
          <w:p>
            <w:pPr>
              <w:spacing w:after="0" w:before="0"/>
            </w:pPr>
            <w:r/>
            <w:r>
              <w:rPr>
                <w:rFonts w:ascii="Arial" w:hAnsi="Arial" w:cs="Arial"/>
                <w:b w:val="0"/>
                <w:sz w:val="17"/>
              </w:rPr>
              <w:t>Per policy before legal action</w:t>
            </w:r>
          </w:p>
        </w:tc>
      </w:tr>
      <w:tr>
        <w:tc>
          <w:tcPr>
            <w:tcW w:w="3000" w:type="dxa"/>
          </w:tcPr>
          <w:p>
            <w:pPr>
              <w:spacing w:after="0" w:before="0"/>
            </w:pPr>
            <w:r/>
            <w:r>
              <w:rPr>
                <w:rFonts w:ascii="Arial" w:hAnsi="Arial" w:cs="Arial"/>
                <w:b w:val="0"/>
                <w:sz w:val="17"/>
              </w:rPr>
              <w:t>Kite-flying pattern</w:t>
            </w:r>
          </w:p>
        </w:tc>
        <w:tc>
          <w:tcPr>
            <w:tcW w:w="6360" w:type="dxa"/>
          </w:tcPr>
          <w:p>
            <w:pPr>
              <w:spacing w:after="0" w:before="0"/>
            </w:pPr>
            <w:r/>
            <w:r>
              <w:rPr>
                <w:rFonts w:ascii="Arial" w:hAnsi="Arial" w:cs="Arial"/>
                <w:b w:val="0"/>
                <w:sz w:val="17"/>
              </w:rPr>
              <w:t>Early-warning</w:t>
            </w:r>
          </w:p>
        </w:tc>
      </w:tr>
    </w:tbl>
    <w:p/>
    <w:p>
      <w:r>
        <w:rPr>
          <w:rFonts w:ascii="Arial" w:hAnsi="Arial" w:cs="Arial"/>
          <w:b w:val="0"/>
          <w:i w:val="0"/>
          <w:sz w:val="22"/>
        </w:rPr>
        <w:t>Documents &amp; integrations: Discounting agreement, DPN, KFS; integrations — presenting bank, legal (Section 138).</w:t>
      </w:r>
    </w:p>
    <w:p>
      <w:pPr>
        <w:pStyle w:val="Heading2"/>
      </w:pPr>
      <w:r>
        <w:t>87.22 Warehouse Receipt / Commodity Financing [WHR]</w:t>
      </w:r>
    </w:p>
    <w:p>
      <w:r>
        <w:rPr>
          <w:rFonts w:ascii="Arial" w:hAnsi="Arial" w:cs="Arial"/>
          <w:b w:val="0"/>
          <w:i w:val="0"/>
          <w:sz w:val="22"/>
        </w:rPr>
        <w:t>Loans against Negotiable Warehouse Receipts (NWRs) issued by WDRA-accredited warehouses, primarily for agri-commodities and MSME inventory.</w:t>
      </w:r>
    </w:p>
    <w:p>
      <w:r>
        <w:rPr>
          <w:rFonts w:ascii="Arial" w:hAnsi="Arial" w:cs="Arial"/>
          <w:b/>
          <w:i w:val="0"/>
          <w:sz w:val="22"/>
        </w:rPr>
        <w:t>Regulatory, eligibility &amp; policy:</w:t>
      </w:r>
    </w:p>
    <w:p>
      <w:pPr>
        <w:pStyle w:val="ListParagraph"/>
        <w:numPr>
          <w:ilvl w:val="0"/>
          <w:numId w:val="2"/>
        </w:numPr>
      </w:pPr>
      <w:r>
        <w:rPr>
          <w:rFonts w:ascii="Arial" w:hAnsi="Arial" w:cs="Arial"/>
          <w:sz w:val="22"/>
        </w:rPr>
        <w:t>Eligible commodities with price-volatility haircuts; accredited warehouse/collateral-manager master; tenure tied to the commodity’s storage/marketing cycle (typically 6–12 months).</w:t>
      </w:r>
    </w:p>
    <w:p>
      <w:pPr>
        <w:pStyle w:val="ListParagraph"/>
        <w:numPr>
          <w:ilvl w:val="0"/>
          <w:numId w:val="2"/>
        </w:numPr>
      </w:pPr>
      <w:r>
        <w:rPr>
          <w:rFonts w:ascii="Arial" w:hAnsi="Arial" w:cs="Arial"/>
          <w:sz w:val="22"/>
        </w:rPr>
        <w:t>Electronic lien marked on the e-NWR via the depository/registry.</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Depositor (Borrower)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Farmer/Trader/Processor/MSME</w:t>
            </w:r>
          </w:p>
        </w:tc>
      </w:tr>
      <w:tr>
        <w:tc>
          <w:tcPr>
            <w:tcW w:w="2900" w:type="dxa"/>
          </w:tcPr>
          <w:p>
            <w:pPr>
              <w:spacing w:after="0" w:before="0"/>
            </w:pPr>
            <w:r/>
            <w:r>
              <w:rPr>
                <w:rFonts w:ascii="Arial" w:hAnsi="Arial" w:cs="Arial"/>
                <w:b w:val="0"/>
                <w:sz w:val="17"/>
              </w:rPr>
              <w:t>Negotiable Warehouse Receipt (NWR) Number</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e-NWR from WDRA repository</w:t>
            </w:r>
          </w:p>
        </w:tc>
      </w:tr>
      <w:tr>
        <w:tc>
          <w:tcPr>
            <w:tcW w:w="2900" w:type="dxa"/>
          </w:tcPr>
          <w:p>
            <w:pPr>
              <w:spacing w:after="0" w:before="0"/>
            </w:pPr>
            <w:r/>
            <w:r>
              <w:rPr>
                <w:rFonts w:ascii="Arial" w:hAnsi="Arial" w:cs="Arial"/>
                <w:b w:val="0"/>
                <w:sz w:val="17"/>
              </w:rPr>
              <w:t>Commodity, Quantity &amp; Quality Grade</w:t>
            </w:r>
          </w:p>
        </w:tc>
        <w:tc>
          <w:tcPr>
            <w:tcW w:w="1300" w:type="dxa"/>
          </w:tcPr>
          <w:p>
            <w:pPr>
              <w:spacing w:after="0" w:before="0"/>
            </w:pPr>
            <w:r/>
            <w:r>
              <w:rPr>
                <w:rFonts w:ascii="Arial" w:hAnsi="Arial" w:cs="Arial"/>
                <w:b w:val="0"/>
                <w:sz w:val="17"/>
              </w:rPr>
              <w:t>Text/Number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Requested Loan Amount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commodity LTV/haircut</w:t>
            </w:r>
          </w:p>
        </w:tc>
      </w:tr>
      <w:tr>
        <w:tc>
          <w:tcPr>
            <w:tcW w:w="2900" w:type="dxa"/>
          </w:tcPr>
          <w:p>
            <w:pPr>
              <w:spacing w:after="0" w:before="0"/>
            </w:pPr>
            <w:r/>
            <w:r>
              <w:rPr>
                <w:rFonts w:ascii="Arial" w:hAnsi="Arial" w:cs="Arial"/>
                <w:b w:val="0"/>
                <w:sz w:val="17"/>
              </w:rPr>
              <w:t>NWR Lien Marking</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Electronic lien on the e-NWR</w:t>
            </w:r>
          </w:p>
        </w:tc>
      </w:tr>
      <w:tr>
        <w:tc>
          <w:tcPr>
            <w:tcW w:w="2900" w:type="dxa"/>
          </w:tcPr>
          <w:p>
            <w:pPr>
              <w:spacing w:after="0" w:before="0"/>
            </w:pPr>
            <w:r/>
            <w:r>
              <w:rPr>
                <w:rFonts w:ascii="Arial" w:hAnsi="Arial" w:cs="Arial"/>
                <w:b w:val="0"/>
                <w:sz w:val="17"/>
              </w:rPr>
              <w:t>Periodic Stock/Quality Revaluation</w:t>
            </w:r>
          </w:p>
        </w:tc>
        <w:tc>
          <w:tcPr>
            <w:tcW w:w="1300" w:type="dxa"/>
          </w:tcPr>
          <w:p>
            <w:pPr>
              <w:spacing w:after="0" w:before="0"/>
            </w:pPr>
            <w:r/>
            <w:r>
              <w:rPr>
                <w:rFonts w:ascii="Arial" w:hAnsi="Arial" w:cs="Arial"/>
                <w:b w:val="0"/>
                <w:sz w:val="17"/>
              </w:rPr>
              <w:t>Report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Price-linked margin call</w:t>
            </w:r>
          </w:p>
        </w:tc>
      </w:tr>
      <w:tr>
        <w:tc>
          <w:tcPr>
            <w:tcW w:w="2900" w:type="dxa"/>
          </w:tcPr>
          <w:p>
            <w:pPr>
              <w:spacing w:after="0" w:before="0"/>
            </w:pPr>
            <w:r/>
            <w:r>
              <w:rPr>
                <w:rFonts w:ascii="Arial" w:hAnsi="Arial" w:cs="Arial"/>
                <w:b w:val="0"/>
                <w:sz w:val="17"/>
              </w:rPr>
              <w:t>Warehouse / Collateral-Manager Certification</w:t>
            </w:r>
          </w:p>
        </w:tc>
        <w:tc>
          <w:tcPr>
            <w:tcW w:w="1300" w:type="dxa"/>
          </w:tcPr>
          <w:p>
            <w:pPr>
              <w:spacing w:after="0" w:before="0"/>
            </w:pPr>
            <w:r/>
            <w:r>
              <w:rPr>
                <w:rFonts w:ascii="Arial" w:hAnsi="Arial" w:cs="Arial"/>
                <w:b w:val="0"/>
                <w:sz w:val="17"/>
              </w:rPr>
              <w:t>Document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Release on Redemption</w:t>
            </w:r>
          </w:p>
        </w:tc>
        <w:tc>
          <w:tcPr>
            <w:tcW w:w="1300" w:type="dxa"/>
          </w:tcPr>
          <w:p>
            <w:pPr>
              <w:spacing w:after="0" w:before="0"/>
            </w:pPr>
            <w:r/>
            <w:r>
              <w:rPr>
                <w:rFonts w:ascii="Arial" w:hAnsi="Arial" w:cs="Arial"/>
                <w:b w:val="0"/>
                <w:sz w:val="17"/>
              </w:rPr>
              <w:t>Workflow</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Lien released on full repayment</w:t>
            </w:r>
          </w:p>
        </w:tc>
      </w:tr>
    </w:tbl>
    <w:p/>
    <w:p>
      <w:r>
        <w:rPr>
          <w:rFonts w:ascii="Arial" w:hAnsi="Arial" w:cs="Arial"/>
          <w:b/>
          <w:i w:val="0"/>
          <w:sz w:val="22"/>
        </w:rPr>
        <w:t>Computation &amp; servicing:</w:t>
      </w:r>
    </w:p>
    <w:p>
      <w:r>
        <w:rPr>
          <w:rFonts w:ascii="Arial" w:hAnsi="Arial" w:cs="Arial"/>
          <w:b w:val="0"/>
          <w:i w:val="0"/>
          <w:sz w:val="22"/>
        </w:rPr>
        <w:t>LTV by commodity-wise haircut; periodic (or price-triggered) revaluation with a margin-call mechanism similar to LAS (Section 86.7–86.8); NWR lien released on repayment enabling withdrawal/sale.</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Commodity price crash</w:t>
            </w:r>
          </w:p>
        </w:tc>
        <w:tc>
          <w:tcPr>
            <w:tcW w:w="6360" w:type="dxa"/>
          </w:tcPr>
          <w:p>
            <w:pPr>
              <w:spacing w:after="0" w:before="0"/>
            </w:pPr>
            <w:r/>
            <w:r>
              <w:rPr>
                <w:rFonts w:ascii="Arial" w:hAnsi="Arial" w:cs="Arial"/>
                <w:b w:val="0"/>
                <w:sz w:val="17"/>
              </w:rPr>
              <w:t>Margin call; top-up/liquidate</w:t>
            </w:r>
          </w:p>
        </w:tc>
      </w:tr>
      <w:tr>
        <w:tc>
          <w:tcPr>
            <w:tcW w:w="3000" w:type="dxa"/>
          </w:tcPr>
          <w:p>
            <w:pPr>
              <w:spacing w:after="0" w:before="0"/>
            </w:pPr>
            <w:r/>
            <w:r>
              <w:rPr>
                <w:rFonts w:ascii="Arial" w:hAnsi="Arial" w:cs="Arial"/>
                <w:b w:val="0"/>
                <w:sz w:val="17"/>
              </w:rPr>
              <w:t>Quality deterioration / spoilage</w:t>
            </w:r>
          </w:p>
        </w:tc>
        <w:tc>
          <w:tcPr>
            <w:tcW w:w="6360" w:type="dxa"/>
          </w:tcPr>
          <w:p>
            <w:pPr>
              <w:spacing w:after="0" w:before="0"/>
            </w:pPr>
            <w:r/>
            <w:r>
              <w:rPr>
                <w:rFonts w:ascii="Arial" w:hAnsi="Arial" w:cs="Arial"/>
                <w:b w:val="0"/>
                <w:sz w:val="17"/>
              </w:rPr>
              <w:t>Re-grade; margin call</w:t>
            </w:r>
          </w:p>
        </w:tc>
      </w:tr>
      <w:tr>
        <w:tc>
          <w:tcPr>
            <w:tcW w:w="3000" w:type="dxa"/>
          </w:tcPr>
          <w:p>
            <w:pPr>
              <w:spacing w:after="0" w:before="0"/>
            </w:pPr>
            <w:r/>
            <w:r>
              <w:rPr>
                <w:rFonts w:ascii="Arial" w:hAnsi="Arial" w:cs="Arial"/>
                <w:b w:val="0"/>
                <w:sz w:val="17"/>
              </w:rPr>
              <w:t>Warehouse fraud / insolvency</w:t>
            </w:r>
          </w:p>
        </w:tc>
        <w:tc>
          <w:tcPr>
            <w:tcW w:w="6360" w:type="dxa"/>
          </w:tcPr>
          <w:p>
            <w:pPr>
              <w:spacing w:after="0" w:before="0"/>
            </w:pPr>
            <w:r/>
            <w:r>
              <w:rPr>
                <w:rFonts w:ascii="Arial" w:hAnsi="Arial" w:cs="Arial"/>
                <w:b w:val="0"/>
                <w:sz w:val="17"/>
              </w:rPr>
              <w:t>Collateral-manager recourse; recovery</w:t>
            </w:r>
          </w:p>
        </w:tc>
      </w:tr>
      <w:tr>
        <w:tc>
          <w:tcPr>
            <w:tcW w:w="3000" w:type="dxa"/>
          </w:tcPr>
          <w:p>
            <w:pPr>
              <w:spacing w:after="0" w:before="0"/>
            </w:pPr>
            <w:r/>
            <w:r>
              <w:rPr>
                <w:rFonts w:ascii="Arial" w:hAnsi="Arial" w:cs="Arial"/>
                <w:b w:val="0"/>
                <w:sz w:val="17"/>
              </w:rPr>
              <w:t>NWR forgery</w:t>
            </w:r>
          </w:p>
        </w:tc>
        <w:tc>
          <w:tcPr>
            <w:tcW w:w="6360" w:type="dxa"/>
          </w:tcPr>
          <w:p>
            <w:pPr>
              <w:spacing w:after="0" w:before="0"/>
            </w:pPr>
            <w:r/>
            <w:r>
              <w:rPr>
                <w:rFonts w:ascii="Arial" w:hAnsi="Arial" w:cs="Arial"/>
                <w:b w:val="0"/>
                <w:sz w:val="17"/>
              </w:rPr>
              <w:t>Registry verification at origination</w:t>
            </w:r>
          </w:p>
        </w:tc>
      </w:tr>
      <w:tr>
        <w:tc>
          <w:tcPr>
            <w:tcW w:w="3000" w:type="dxa"/>
          </w:tcPr>
          <w:p>
            <w:pPr>
              <w:spacing w:after="0" w:before="0"/>
            </w:pPr>
            <w:r/>
            <w:r>
              <w:rPr>
                <w:rFonts w:ascii="Arial" w:hAnsi="Arial" w:cs="Arial"/>
                <w:b w:val="0"/>
                <w:sz w:val="17"/>
              </w:rPr>
              <w:t>Redemption / withdrawal</w:t>
            </w:r>
          </w:p>
        </w:tc>
        <w:tc>
          <w:tcPr>
            <w:tcW w:w="6360" w:type="dxa"/>
          </w:tcPr>
          <w:p>
            <w:pPr>
              <w:spacing w:after="0" w:before="0"/>
            </w:pPr>
            <w:r/>
            <w:r>
              <w:rPr>
                <w:rFonts w:ascii="Arial" w:hAnsi="Arial" w:cs="Arial"/>
                <w:b w:val="0"/>
                <w:sz w:val="17"/>
              </w:rPr>
              <w:t>Release lien; enable delivery</w:t>
            </w:r>
          </w:p>
        </w:tc>
      </w:tr>
    </w:tbl>
    <w:p/>
    <w:p>
      <w:r>
        <w:rPr>
          <w:rFonts w:ascii="Arial" w:hAnsi="Arial" w:cs="Arial"/>
          <w:b w:val="0"/>
          <w:i w:val="0"/>
          <w:sz w:val="22"/>
        </w:rPr>
        <w:t>Documents &amp; integrations: Sanction, pledge/lien agreement, NWR, KFS; integrations — WDRA/e-NWR registry, warehouse/collateral manager, commodity price feed.</w:t>
      </w:r>
    </w:p>
    <w:p>
      <w:pPr>
        <w:pStyle w:val="Heading2"/>
      </w:pPr>
      <w:r>
        <w:t>87.23 Equipment / Machinery Finance &amp; Leasing [EQUIP]</w:t>
      </w:r>
    </w:p>
    <w:p>
      <w:r>
        <w:rPr>
          <w:rFonts w:ascii="Arial" w:hAnsi="Arial" w:cs="Arial"/>
          <w:b w:val="0"/>
          <w:i w:val="0"/>
          <w:sz w:val="22"/>
        </w:rPr>
        <w:t>Financing for industrial machinery, medical, IT/office and construction equipment — as a loan (equipment hypothecated) or as a finance/operating lease (NBFC retains ownership).</w:t>
      </w:r>
    </w:p>
    <w:p>
      <w:r>
        <w:rPr>
          <w:rFonts w:ascii="Arial" w:hAnsi="Arial" w:cs="Arial"/>
          <w:b/>
          <w:i w:val="0"/>
          <w:sz w:val="22"/>
        </w:rPr>
        <w:t>Regulatory, eligibility &amp; policy:</w:t>
      </w:r>
    </w:p>
    <w:p>
      <w:pPr>
        <w:pStyle w:val="ListParagraph"/>
        <w:numPr>
          <w:ilvl w:val="0"/>
          <w:numId w:val="2"/>
        </w:numPr>
      </w:pPr>
      <w:r>
        <w:rPr>
          <w:rFonts w:ascii="Arial" w:hAnsi="Arial" w:cs="Arial"/>
          <w:sz w:val="22"/>
        </w:rPr>
        <w:t>Facility structure (loan / finance lease / operating lease / sale-and-leaseback); eligible categories; LTV or lease residual value; vendor/OEM tie-up master.</w:t>
      </w:r>
    </w:p>
    <w:p>
      <w:pPr>
        <w:pStyle w:val="ListParagraph"/>
        <w:numPr>
          <w:ilvl w:val="0"/>
          <w:numId w:val="2"/>
        </w:numPr>
      </w:pPr>
      <w:r>
        <w:rPr>
          <w:rFonts w:ascii="Arial" w:hAnsi="Arial" w:cs="Arial"/>
          <w:sz w:val="22"/>
        </w:rPr>
        <w:t>Finance-lease income and the NBFC’s own lease accounting follow Ind AS 116 (Section 70).</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Equipment Details</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Make, model, serial/asset no., invoice value, vendor</w:t>
            </w:r>
          </w:p>
        </w:tc>
      </w:tr>
      <w:tr>
        <w:tc>
          <w:tcPr>
            <w:tcW w:w="2900" w:type="dxa"/>
          </w:tcPr>
          <w:p>
            <w:pPr>
              <w:spacing w:after="0" w:before="0"/>
            </w:pPr>
            <w:r/>
            <w:r>
              <w:rPr>
                <w:rFonts w:ascii="Arial" w:hAnsi="Arial" w:cs="Arial"/>
                <w:b w:val="0"/>
                <w:sz w:val="17"/>
              </w:rPr>
              <w:t>New / Used Flag</w:t>
            </w:r>
          </w:p>
        </w:tc>
        <w:tc>
          <w:tcPr>
            <w:tcW w:w="1300" w:type="dxa"/>
          </w:tcPr>
          <w:p>
            <w:pPr>
              <w:spacing w:after="0" w:before="0"/>
            </w:pPr>
            <w:r/>
            <w:r>
              <w:rPr>
                <w:rFonts w:ascii="Arial" w:hAnsi="Arial" w:cs="Arial"/>
                <w:b w:val="0"/>
                <w:sz w:val="17"/>
              </w:rPr>
              <w:t>Boolean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Facility Structure</w:t>
            </w:r>
          </w:p>
        </w:tc>
        <w:tc>
          <w:tcPr>
            <w:tcW w:w="1300" w:type="dxa"/>
          </w:tcPr>
          <w:p>
            <w:pPr>
              <w:spacing w:after="0" w:before="0"/>
            </w:pPr>
            <w:r/>
            <w:r>
              <w:rPr>
                <w:rFonts w:ascii="Arial" w:hAnsi="Arial" w:cs="Arial"/>
                <w:b w:val="0"/>
                <w:sz w:val="17"/>
              </w:rPr>
              <w:t>Dropdown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Loan / Finance Lease / Operating Lease / Sale-and-Leaseback</w:t>
            </w:r>
          </w:p>
        </w:tc>
      </w:tr>
      <w:tr>
        <w:tc>
          <w:tcPr>
            <w:tcW w:w="2900" w:type="dxa"/>
          </w:tcPr>
          <w:p>
            <w:pPr>
              <w:spacing w:after="0" w:before="0"/>
            </w:pPr>
            <w:r/>
            <w:r>
              <w:rPr>
                <w:rFonts w:ascii="Arial" w:hAnsi="Arial" w:cs="Arial"/>
                <w:b w:val="0"/>
                <w:sz w:val="17"/>
              </w:rPr>
              <w:t>Requested Amount &amp; Tenure</w:t>
            </w:r>
          </w:p>
        </w:tc>
        <w:tc>
          <w:tcPr>
            <w:tcW w:w="1300" w:type="dxa"/>
          </w:tcPr>
          <w:p>
            <w:pPr>
              <w:spacing w:after="0" w:before="0"/>
            </w:pPr>
            <w:r/>
            <w:r>
              <w:rPr>
                <w:rFonts w:ascii="Arial" w:hAnsi="Arial" w:cs="Arial"/>
                <w:b w:val="0"/>
                <w:sz w:val="17"/>
              </w:rPr>
              <w:t>Currency/Number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Hypothecation / Ownership Marking</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Hypothecated or lender-owned under lease</w:t>
            </w:r>
          </w:p>
        </w:tc>
      </w:tr>
      <w:tr>
        <w:tc>
          <w:tcPr>
            <w:tcW w:w="2900" w:type="dxa"/>
          </w:tcPr>
          <w:p>
            <w:pPr>
              <w:spacing w:after="0" w:before="0"/>
            </w:pPr>
            <w:r/>
            <w:r>
              <w:rPr>
                <w:rFonts w:ascii="Arial" w:hAnsi="Arial" w:cs="Arial"/>
                <w:b w:val="0"/>
                <w:sz w:val="17"/>
              </w:rPr>
              <w:t>Equipment Insurance</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Sale-and-Leaseback Valuation</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For SLB structures</w:t>
            </w:r>
          </w:p>
        </w:tc>
      </w:tr>
      <w:tr>
        <w:tc>
          <w:tcPr>
            <w:tcW w:w="2900" w:type="dxa"/>
          </w:tcPr>
          <w:p>
            <w:pPr>
              <w:spacing w:after="0" w:before="0"/>
            </w:pPr>
            <w:r/>
            <w:r>
              <w:rPr>
                <w:rFonts w:ascii="Arial" w:hAnsi="Arial" w:cs="Arial"/>
                <w:b w:val="0"/>
                <w:sz w:val="17"/>
              </w:rPr>
              <w:t>Lease Residual / Buy-Back Option</w:t>
            </w:r>
          </w:p>
        </w:tc>
        <w:tc>
          <w:tcPr>
            <w:tcW w:w="1300" w:type="dxa"/>
          </w:tcPr>
          <w:p>
            <w:pPr>
              <w:spacing w:after="0" w:before="0"/>
            </w:pPr>
            <w:r/>
            <w:r>
              <w:rPr>
                <w:rFonts w:ascii="Arial" w:hAnsi="Arial" w:cs="Arial"/>
                <w:b w:val="0"/>
                <w:sz w:val="17"/>
              </w:rPr>
              <w:t>Currency/Date</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Finance-lease end</w:t>
            </w:r>
          </w:p>
        </w:tc>
      </w:tr>
    </w:tbl>
    <w:p/>
    <w:p>
      <w:r>
        <w:rPr>
          <w:rFonts w:ascii="Arial" w:hAnsi="Arial" w:cs="Arial"/>
          <w:b/>
          <w:i w:val="0"/>
          <w:sz w:val="22"/>
        </w:rPr>
        <w:t>Computation &amp; servicing:</w:t>
      </w:r>
    </w:p>
    <w:p>
      <w:r>
        <w:rPr>
          <w:rFonts w:ascii="Arial" w:hAnsi="Arial" w:cs="Arial"/>
          <w:b w:val="0"/>
          <w:i w:val="0"/>
          <w:sz w:val="22"/>
        </w:rPr>
        <w:t>Reducing-balance EMI (loan) or a lease-rental schedule; finance-lease income recognised per Ind AS 116; residual value and buy-back handled at term end (Section 3.14).</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Sale-and-leaseback</w:t>
            </w:r>
          </w:p>
        </w:tc>
        <w:tc>
          <w:tcPr>
            <w:tcW w:w="6360" w:type="dxa"/>
          </w:tcPr>
          <w:p>
            <w:pPr>
              <w:spacing w:after="0" w:before="0"/>
            </w:pPr>
            <w:r/>
            <w:r>
              <w:rPr>
                <w:rFonts w:ascii="Arial" w:hAnsi="Arial" w:cs="Arial"/>
                <w:b w:val="0"/>
                <w:sz w:val="17"/>
              </w:rPr>
              <w:t>Valuation; ownership transfer; leaseback</w:t>
            </w:r>
          </w:p>
        </w:tc>
      </w:tr>
      <w:tr>
        <w:tc>
          <w:tcPr>
            <w:tcW w:w="3000" w:type="dxa"/>
          </w:tcPr>
          <w:p>
            <w:pPr>
              <w:spacing w:after="0" w:before="0"/>
            </w:pPr>
            <w:r/>
            <w:r>
              <w:rPr>
                <w:rFonts w:ascii="Arial" w:hAnsi="Arial" w:cs="Arial"/>
                <w:b w:val="0"/>
                <w:sz w:val="17"/>
              </w:rPr>
              <w:t>Lease-end buy-back</w:t>
            </w:r>
          </w:p>
        </w:tc>
        <w:tc>
          <w:tcPr>
            <w:tcW w:w="6360" w:type="dxa"/>
          </w:tcPr>
          <w:p>
            <w:pPr>
              <w:spacing w:after="0" w:before="0"/>
            </w:pPr>
            <w:r/>
            <w:r>
              <w:rPr>
                <w:rFonts w:ascii="Arial" w:hAnsi="Arial" w:cs="Arial"/>
                <w:b w:val="0"/>
                <w:sz w:val="17"/>
              </w:rPr>
              <w:t>Residual settlement / return</w:t>
            </w:r>
          </w:p>
        </w:tc>
      </w:tr>
      <w:tr>
        <w:tc>
          <w:tcPr>
            <w:tcW w:w="3000" w:type="dxa"/>
          </w:tcPr>
          <w:p>
            <w:pPr>
              <w:spacing w:after="0" w:before="0"/>
            </w:pPr>
            <w:r/>
            <w:r>
              <w:rPr>
                <w:rFonts w:ascii="Arial" w:hAnsi="Arial" w:cs="Arial"/>
                <w:b w:val="0"/>
                <w:sz w:val="17"/>
              </w:rPr>
              <w:t>Equipment obsolescence</w:t>
            </w:r>
          </w:p>
        </w:tc>
        <w:tc>
          <w:tcPr>
            <w:tcW w:w="6360" w:type="dxa"/>
          </w:tcPr>
          <w:p>
            <w:pPr>
              <w:spacing w:after="0" w:before="0"/>
            </w:pPr>
            <w:r/>
            <w:r>
              <w:rPr>
                <w:rFonts w:ascii="Arial" w:hAnsi="Arial" w:cs="Arial"/>
                <w:b w:val="0"/>
                <w:sz w:val="17"/>
              </w:rPr>
              <w:t>Residual-value policy</w:t>
            </w:r>
          </w:p>
        </w:tc>
      </w:tr>
      <w:tr>
        <w:tc>
          <w:tcPr>
            <w:tcW w:w="3000" w:type="dxa"/>
          </w:tcPr>
          <w:p>
            <w:pPr>
              <w:spacing w:after="0" w:before="0"/>
            </w:pPr>
            <w:r/>
            <w:r>
              <w:rPr>
                <w:rFonts w:ascii="Arial" w:hAnsi="Arial" w:cs="Arial"/>
                <w:b w:val="0"/>
                <w:sz w:val="17"/>
              </w:rPr>
              <w:t>Repossession of leased asset</w:t>
            </w:r>
          </w:p>
        </w:tc>
        <w:tc>
          <w:tcPr>
            <w:tcW w:w="6360" w:type="dxa"/>
          </w:tcPr>
          <w:p>
            <w:pPr>
              <w:spacing w:after="0" w:before="0"/>
            </w:pPr>
            <w:r/>
            <w:r>
              <w:rPr>
                <w:rFonts w:ascii="Arial" w:hAnsi="Arial" w:cs="Arial"/>
                <w:b w:val="0"/>
                <w:sz w:val="17"/>
              </w:rPr>
              <w:t>Lender-owned; recover asset</w:t>
            </w:r>
          </w:p>
        </w:tc>
      </w:tr>
      <w:tr>
        <w:tc>
          <w:tcPr>
            <w:tcW w:w="3000" w:type="dxa"/>
          </w:tcPr>
          <w:p>
            <w:pPr>
              <w:spacing w:after="0" w:before="0"/>
            </w:pPr>
            <w:r/>
            <w:r>
              <w:rPr>
                <w:rFonts w:ascii="Arial" w:hAnsi="Arial" w:cs="Arial"/>
                <w:b w:val="0"/>
                <w:sz w:val="17"/>
              </w:rPr>
              <w:t>Lease classification</w:t>
            </w:r>
          </w:p>
        </w:tc>
        <w:tc>
          <w:tcPr>
            <w:tcW w:w="6360" w:type="dxa"/>
          </w:tcPr>
          <w:p>
            <w:pPr>
              <w:spacing w:after="0" w:before="0"/>
            </w:pPr>
            <w:r/>
            <w:r>
              <w:rPr>
                <w:rFonts w:ascii="Arial" w:hAnsi="Arial" w:cs="Arial"/>
                <w:b w:val="0"/>
                <w:sz w:val="17"/>
              </w:rPr>
              <w:t>Finance vs operating (Ind AS 116)</w:t>
            </w:r>
          </w:p>
        </w:tc>
      </w:tr>
    </w:tbl>
    <w:p/>
    <w:p>
      <w:r>
        <w:rPr>
          <w:rFonts w:ascii="Arial" w:hAnsi="Arial" w:cs="Arial"/>
          <w:b w:val="0"/>
          <w:i w:val="0"/>
          <w:sz w:val="22"/>
        </w:rPr>
        <w:t>Documents &amp; integrations: Sanction, loan/lease agreement, insurance, KFS; integrations — vendor/OEM, insurer, CERSAI (hypothecation).</w:t>
      </w:r>
    </w:p>
    <w:p>
      <w:pPr>
        <w:pStyle w:val="Heading2"/>
      </w:pPr>
      <w:r>
        <w:t>87.24 Microfinance — JLG / SHG Group Loan [MFI]</w:t>
      </w:r>
    </w:p>
    <w:p>
      <w:r>
        <w:rPr>
          <w:rFonts w:ascii="Arial" w:hAnsi="Arial" w:cs="Arial"/>
          <w:b w:val="0"/>
          <w:i w:val="0"/>
          <w:sz w:val="22"/>
        </w:rPr>
        <w:t>Collateral-free group-guaranteed loans to low-income households, disbursed to individual members within a Joint Liability Group or Self-Help Group, per RBI’s microfinance regulations.</w:t>
      </w:r>
    </w:p>
    <w:p>
      <w:r>
        <w:rPr>
          <w:rFonts w:ascii="Arial" w:hAnsi="Arial" w:cs="Arial"/>
          <w:b/>
          <w:i w:val="0"/>
          <w:sz w:val="22"/>
        </w:rPr>
        <w:t>Regulatory, eligibility &amp; policy:</w:t>
      </w:r>
    </w:p>
    <w:p>
      <w:pPr>
        <w:pStyle w:val="ListParagraph"/>
        <w:numPr>
          <w:ilvl w:val="0"/>
          <w:numId w:val="2"/>
        </w:numPr>
      </w:pPr>
      <w:r>
        <w:rPr>
          <w:rFonts w:ascii="Arial" w:hAnsi="Arial" w:cs="Arial"/>
          <w:sz w:val="22"/>
        </w:rPr>
        <w:t>Qualifying-asset criteria: household annual-income cap and a per-borrower total-indebtedness cap aggregated across all lenders via a bureau check.</w:t>
      </w:r>
    </w:p>
    <w:p>
      <w:pPr>
        <w:pStyle w:val="ListParagraph"/>
        <w:numPr>
          <w:ilvl w:val="0"/>
          <w:numId w:val="2"/>
        </w:numPr>
      </w:pPr>
      <w:r>
        <w:rPr>
          <w:rFonts w:ascii="Arial" w:hAnsi="Arial" w:cs="Arial"/>
          <w:sz w:val="22"/>
        </w:rPr>
        <w:t>Loan limit per member within the indebtedness cap; interest per the Board-approved pricing policy filed with RBI; weekly/fortnightly/monthly repayment.</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Group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Section 2.10 group record</w:t>
            </w:r>
          </w:p>
        </w:tc>
      </w:tr>
      <w:tr>
        <w:tc>
          <w:tcPr>
            <w:tcW w:w="2900" w:type="dxa"/>
          </w:tcPr>
          <w:p>
            <w:pPr>
              <w:spacing w:after="0" w:before="0"/>
            </w:pPr>
            <w:r/>
            <w:r>
              <w:rPr>
                <w:rFonts w:ascii="Arial" w:hAnsi="Arial" w:cs="Arial"/>
                <w:b w:val="0"/>
                <w:sz w:val="17"/>
              </w:rPr>
              <w:t>Member Individual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Household Income Declaration</w:t>
            </w:r>
          </w:p>
        </w:tc>
        <w:tc>
          <w:tcPr>
            <w:tcW w:w="1300" w:type="dxa"/>
          </w:tcPr>
          <w:p>
            <w:pPr>
              <w:spacing w:after="0" w:before="0"/>
            </w:pPr>
            <w:r/>
            <w:r>
              <w:rPr>
                <w:rFonts w:ascii="Arial" w:hAnsi="Arial" w:cs="Arial"/>
                <w:b w:val="0"/>
                <w:sz w:val="17"/>
              </w:rPr>
              <w:t>Currency/Grid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All household income for indebtedness check</w:t>
            </w:r>
          </w:p>
        </w:tc>
      </w:tr>
      <w:tr>
        <w:tc>
          <w:tcPr>
            <w:tcW w:w="2900" w:type="dxa"/>
          </w:tcPr>
          <w:p>
            <w:pPr>
              <w:spacing w:after="0" w:before="0"/>
            </w:pPr>
            <w:r/>
            <w:r>
              <w:rPr>
                <w:rFonts w:ascii="Arial" w:hAnsi="Arial" w:cs="Arial"/>
                <w:b w:val="0"/>
                <w:sz w:val="17"/>
              </w:rPr>
              <w:t>Existing Microfinance Loans (Other Lenders)</w:t>
            </w:r>
          </w:p>
        </w:tc>
        <w:tc>
          <w:tcPr>
            <w:tcW w:w="1300" w:type="dxa"/>
          </w:tcPr>
          <w:p>
            <w:pPr>
              <w:spacing w:after="0" w:before="0"/>
            </w:pPr>
            <w:r/>
            <w:r>
              <w:rPr>
                <w:rFonts w:ascii="Arial" w:hAnsi="Arial" w:cs="Arial"/>
                <w:b w:val="0"/>
                <w:sz w:val="17"/>
              </w:rPr>
              <w:t>System</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Bureau MFI segment</w:t>
            </w:r>
          </w:p>
        </w:tc>
      </w:tr>
      <w:tr>
        <w:tc>
          <w:tcPr>
            <w:tcW w:w="2900" w:type="dxa"/>
          </w:tcPr>
          <w:p>
            <w:pPr>
              <w:spacing w:after="0" w:before="0"/>
            </w:pPr>
            <w:r/>
            <w:r>
              <w:rPr>
                <w:rFonts w:ascii="Arial" w:hAnsi="Arial" w:cs="Arial"/>
                <w:b w:val="0"/>
                <w:sz w:val="17"/>
              </w:rPr>
              <w:t>Purpose (Income-Generating Activity)</w:t>
            </w:r>
          </w:p>
        </w:tc>
        <w:tc>
          <w:tcPr>
            <w:tcW w:w="1300" w:type="dxa"/>
          </w:tcPr>
          <w:p>
            <w:pPr>
              <w:spacing w:after="0" w:before="0"/>
            </w:pPr>
            <w:r/>
            <w:r>
              <w:rPr>
                <w:rFonts w:ascii="Arial" w:hAnsi="Arial" w:cs="Arial"/>
                <w:b w:val="0"/>
                <w:sz w:val="17"/>
              </w:rPr>
              <w:t>Dropdown/Text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Group Guarantee Acceptance</w:t>
            </w:r>
          </w:p>
        </w:tc>
        <w:tc>
          <w:tcPr>
            <w:tcW w:w="1300" w:type="dxa"/>
          </w:tcPr>
          <w:p>
            <w:pPr>
              <w:spacing w:after="0" w:before="0"/>
            </w:pPr>
            <w:r/>
            <w:r>
              <w:rPr>
                <w:rFonts w:ascii="Arial" w:hAnsi="Arial" w:cs="Arial"/>
                <w:b w:val="0"/>
                <w:sz w:val="17"/>
              </w:rPr>
              <w:t>e-sign</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Center Meeting Attendance</w:t>
            </w:r>
          </w:p>
        </w:tc>
        <w:tc>
          <w:tcPr>
            <w:tcW w:w="1300" w:type="dxa"/>
          </w:tcPr>
          <w:p>
            <w:pPr>
              <w:spacing w:after="0" w:before="0"/>
            </w:pPr>
            <w:r/>
            <w:r>
              <w:rPr>
                <w:rFonts w:ascii="Arial" w:hAnsi="Arial" w:cs="Arial"/>
                <w:b w:val="0"/>
                <w:sz w:val="17"/>
              </w:rPr>
              <w:t>Log</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Group Credit-Life Insurance</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Post-Disbursement Utilisation Check</w:t>
            </w:r>
          </w:p>
        </w:tc>
        <w:tc>
          <w:tcPr>
            <w:tcW w:w="1300" w:type="dxa"/>
          </w:tcPr>
          <w:p>
            <w:pPr>
              <w:spacing w:after="0" w:before="0"/>
            </w:pPr>
            <w:r/>
            <w:r>
              <w:rPr>
                <w:rFonts w:ascii="Arial" w:hAnsi="Arial" w:cs="Arial"/>
                <w:b w:val="0"/>
                <w:sz w:val="17"/>
              </w:rPr>
              <w:t>File/Text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Field verification</w:t>
            </w:r>
          </w:p>
        </w:tc>
      </w:tr>
    </w:tbl>
    <w:p/>
    <w:p>
      <w:r>
        <w:rPr>
          <w:rFonts w:ascii="Arial" w:hAnsi="Arial" w:cs="Arial"/>
          <w:b/>
          <w:i w:val="0"/>
          <w:sz w:val="22"/>
        </w:rPr>
        <w:t>Computation &amp; servicing:</w:t>
      </w:r>
    </w:p>
    <w:p>
      <w:r>
        <w:rPr>
          <w:rFonts w:ascii="Arial" w:hAnsi="Arial" w:cs="Arial"/>
          <w:b w:val="0"/>
          <w:i w:val="0"/>
          <w:sz w:val="22"/>
        </w:rPr>
        <w:t>Reducing balance at the chosen rest (weekly/fortnightly/monthly); indebtedness-cap check gates eligibility; joint group liability supports repayment (Section 3.8).</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Member default</w:t>
            </w:r>
          </w:p>
        </w:tc>
        <w:tc>
          <w:tcPr>
            <w:tcW w:w="6360" w:type="dxa"/>
          </w:tcPr>
          <w:p>
            <w:pPr>
              <w:spacing w:after="0" w:before="0"/>
            </w:pPr>
            <w:r/>
            <w:r>
              <w:rPr>
                <w:rFonts w:ascii="Arial" w:hAnsi="Arial" w:cs="Arial"/>
                <w:b w:val="0"/>
                <w:sz w:val="17"/>
              </w:rPr>
              <w:t>Group liability; peer pressure/field follow-up</w:t>
            </w:r>
          </w:p>
        </w:tc>
      </w:tr>
      <w:tr>
        <w:tc>
          <w:tcPr>
            <w:tcW w:w="3000" w:type="dxa"/>
          </w:tcPr>
          <w:p>
            <w:pPr>
              <w:spacing w:after="0" w:before="0"/>
            </w:pPr>
            <w:r/>
            <w:r>
              <w:rPr>
                <w:rFonts w:ascii="Arial" w:hAnsi="Arial" w:cs="Arial"/>
                <w:b w:val="0"/>
                <w:sz w:val="17"/>
              </w:rPr>
              <w:t>Over-indebtedness</w:t>
            </w:r>
          </w:p>
        </w:tc>
        <w:tc>
          <w:tcPr>
            <w:tcW w:w="6360" w:type="dxa"/>
          </w:tcPr>
          <w:p>
            <w:pPr>
              <w:spacing w:after="0" w:before="0"/>
            </w:pPr>
            <w:r/>
            <w:r>
              <w:rPr>
                <w:rFonts w:ascii="Arial" w:hAnsi="Arial" w:cs="Arial"/>
                <w:b w:val="0"/>
                <w:sz w:val="17"/>
              </w:rPr>
              <w:t>Bureau cap check blocks; reject</w:t>
            </w:r>
          </w:p>
        </w:tc>
      </w:tr>
      <w:tr>
        <w:tc>
          <w:tcPr>
            <w:tcW w:w="3000" w:type="dxa"/>
          </w:tcPr>
          <w:p>
            <w:pPr>
              <w:spacing w:after="0" w:before="0"/>
            </w:pPr>
            <w:r/>
            <w:r>
              <w:rPr>
                <w:rFonts w:ascii="Arial" w:hAnsi="Arial" w:cs="Arial"/>
                <w:b w:val="0"/>
                <w:sz w:val="17"/>
              </w:rPr>
              <w:t>Center-meeting non-attendance</w:t>
            </w:r>
          </w:p>
        </w:tc>
        <w:tc>
          <w:tcPr>
            <w:tcW w:w="6360" w:type="dxa"/>
          </w:tcPr>
          <w:p>
            <w:pPr>
              <w:spacing w:after="0" w:before="0"/>
            </w:pPr>
            <w:r/>
            <w:r>
              <w:rPr>
                <w:rFonts w:ascii="Arial" w:hAnsi="Arial" w:cs="Arial"/>
                <w:b w:val="0"/>
                <w:sz w:val="17"/>
              </w:rPr>
              <w:t>Follow-up; early-warning</w:t>
            </w:r>
          </w:p>
        </w:tc>
      </w:tr>
      <w:tr>
        <w:tc>
          <w:tcPr>
            <w:tcW w:w="3000" w:type="dxa"/>
          </w:tcPr>
          <w:p>
            <w:pPr>
              <w:spacing w:after="0" w:before="0"/>
            </w:pPr>
            <w:r/>
            <w:r>
              <w:rPr>
                <w:rFonts w:ascii="Arial" w:hAnsi="Arial" w:cs="Arial"/>
                <w:b w:val="0"/>
                <w:sz w:val="17"/>
              </w:rPr>
              <w:t>Migration / absconding</w:t>
            </w:r>
          </w:p>
        </w:tc>
        <w:tc>
          <w:tcPr>
            <w:tcW w:w="6360" w:type="dxa"/>
          </w:tcPr>
          <w:p>
            <w:pPr>
              <w:spacing w:after="0" w:before="0"/>
            </w:pPr>
            <w:r/>
            <w:r>
              <w:rPr>
                <w:rFonts w:ascii="Arial" w:hAnsi="Arial" w:cs="Arial"/>
                <w:b w:val="0"/>
                <w:sz w:val="17"/>
              </w:rPr>
              <w:t>Skip-trace; group recovery</w:t>
            </w:r>
          </w:p>
        </w:tc>
      </w:tr>
      <w:tr>
        <w:tc>
          <w:tcPr>
            <w:tcW w:w="3000" w:type="dxa"/>
          </w:tcPr>
          <w:p>
            <w:pPr>
              <w:spacing w:after="0" w:before="0"/>
            </w:pPr>
            <w:r/>
            <w:r>
              <w:rPr>
                <w:rFonts w:ascii="Arial" w:hAnsi="Arial" w:cs="Arial"/>
                <w:b w:val="0"/>
                <w:sz w:val="17"/>
              </w:rPr>
              <w:t>Ghost borrowers</w:t>
            </w:r>
          </w:p>
        </w:tc>
        <w:tc>
          <w:tcPr>
            <w:tcW w:w="6360" w:type="dxa"/>
          </w:tcPr>
          <w:p>
            <w:pPr>
              <w:spacing w:after="0" w:before="0"/>
            </w:pPr>
            <w:r/>
            <w:r>
              <w:rPr>
                <w:rFonts w:ascii="Arial" w:hAnsi="Arial" w:cs="Arial"/>
                <w:b w:val="0"/>
                <w:sz w:val="17"/>
              </w:rPr>
              <w:t>Field verification; fraud (Section 37)</w:t>
            </w:r>
          </w:p>
        </w:tc>
      </w:tr>
      <w:tr>
        <w:tc>
          <w:tcPr>
            <w:tcW w:w="3000" w:type="dxa"/>
          </w:tcPr>
          <w:p>
            <w:pPr>
              <w:spacing w:after="0" w:before="0"/>
            </w:pPr>
            <w:r/>
            <w:r>
              <w:rPr>
                <w:rFonts w:ascii="Arial" w:hAnsi="Arial" w:cs="Arial"/>
                <w:b w:val="0"/>
                <w:sz w:val="17"/>
              </w:rPr>
              <w:t>Income-cap breach</w:t>
            </w:r>
          </w:p>
        </w:tc>
        <w:tc>
          <w:tcPr>
            <w:tcW w:w="6360" w:type="dxa"/>
          </w:tcPr>
          <w:p>
            <w:pPr>
              <w:spacing w:after="0" w:before="0"/>
            </w:pPr>
            <w:r/>
            <w:r>
              <w:rPr>
                <w:rFonts w:ascii="Arial" w:hAnsi="Arial" w:cs="Arial"/>
                <w:b w:val="0"/>
                <w:sz w:val="17"/>
              </w:rPr>
              <w:t>Ineligible per qualifying-asset norms</w:t>
            </w:r>
          </w:p>
        </w:tc>
      </w:tr>
    </w:tbl>
    <w:p/>
    <w:p>
      <w:r>
        <w:rPr>
          <w:rFonts w:ascii="Arial" w:hAnsi="Arial" w:cs="Arial"/>
          <w:b w:val="0"/>
          <w:i w:val="0"/>
          <w:sz w:val="22"/>
        </w:rPr>
        <w:t>Documents &amp; integrations: Group agreement, member notes, credit-life policy, KFS; integrations — MFI bureau segment, insurer.</w:t>
      </w:r>
    </w:p>
    <w:p>
      <w:pPr>
        <w:pStyle w:val="Heading2"/>
      </w:pPr>
      <w:r>
        <w:t>87.25 Education Loan (Domestic &amp; Overseas) [EDU]</w:t>
      </w:r>
    </w:p>
    <w:p>
      <w:r>
        <w:rPr>
          <w:rFonts w:ascii="Arial" w:hAnsi="Arial" w:cs="Arial"/>
          <w:b w:val="0"/>
          <w:i w:val="0"/>
          <w:sz w:val="22"/>
        </w:rPr>
        <w:t>Secured or unsecured financing for tuition, living and ancillary costs, with a moratorium during study and repayment starting post-course (or after a grace period).</w:t>
      </w:r>
    </w:p>
    <w:p>
      <w:r>
        <w:rPr>
          <w:rFonts w:ascii="Arial" w:hAnsi="Arial" w:cs="Arial"/>
          <w:b/>
          <w:i w:val="0"/>
          <w:sz w:val="22"/>
        </w:rPr>
        <w:t>Regulatory, eligibility &amp; policy:</w:t>
      </w:r>
    </w:p>
    <w:p>
      <w:pPr>
        <w:pStyle w:val="ListParagraph"/>
        <w:numPr>
          <w:ilvl w:val="0"/>
          <w:numId w:val="2"/>
        </w:numPr>
      </w:pPr>
      <w:r>
        <w:rPr>
          <w:rFonts w:ascii="Arial" w:hAnsi="Arial" w:cs="Arial"/>
          <w:sz w:val="22"/>
        </w:rPr>
        <w:t>Course/geography eligibility (domestic/overseas; technical/medical/management/other); above a ticket threshold, collateral (property/FD) or a third-party guarantee is required.</w:t>
      </w:r>
    </w:p>
    <w:p>
      <w:pPr>
        <w:pStyle w:val="ListParagraph"/>
        <w:numPr>
          <w:ilvl w:val="0"/>
          <w:numId w:val="2"/>
        </w:numPr>
      </w:pPr>
      <w:r>
        <w:rPr>
          <w:rFonts w:ascii="Arial" w:hAnsi="Arial" w:cs="Arial"/>
          <w:sz w:val="22"/>
        </w:rPr>
        <w:t>Moratorium = course duration + grace; simple interest may accrue or be serviced during the moratorium (Sections 3.21, 32.1).</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Student (Borrower)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Co-Borrower (Parent/Guardian) KYC</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Mandatory co-borrower</w:t>
            </w:r>
          </w:p>
        </w:tc>
      </w:tr>
      <w:tr>
        <w:tc>
          <w:tcPr>
            <w:tcW w:w="2900" w:type="dxa"/>
          </w:tcPr>
          <w:p>
            <w:pPr>
              <w:spacing w:after="0" w:before="0"/>
            </w:pPr>
            <w:r/>
            <w:r>
              <w:rPr>
                <w:rFonts w:ascii="Arial" w:hAnsi="Arial" w:cs="Arial"/>
                <w:b w:val="0"/>
                <w:sz w:val="17"/>
              </w:rPr>
              <w:t>Institution &amp; Course Details</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Accreditation, admission/offer letter</w:t>
            </w:r>
          </w:p>
        </w:tc>
      </w:tr>
      <w:tr>
        <w:tc>
          <w:tcPr>
            <w:tcW w:w="2900" w:type="dxa"/>
          </w:tcPr>
          <w:p>
            <w:pPr>
              <w:spacing w:after="0" w:before="0"/>
            </w:pPr>
            <w:r/>
            <w:r>
              <w:rPr>
                <w:rFonts w:ascii="Arial" w:hAnsi="Arial" w:cs="Arial"/>
                <w:b w:val="0"/>
                <w:sz w:val="17"/>
              </w:rPr>
              <w:t>Fee Structure &amp; Cost of Attendance</w:t>
            </w:r>
          </w:p>
        </w:tc>
        <w:tc>
          <w:tcPr>
            <w:tcW w:w="1300" w:type="dxa"/>
          </w:tcPr>
          <w:p>
            <w:pPr>
              <w:spacing w:after="0" w:before="0"/>
            </w:pPr>
            <w:r/>
            <w:r>
              <w:rPr>
                <w:rFonts w:ascii="Arial" w:hAnsi="Arial" w:cs="Arial"/>
                <w:b w:val="0"/>
                <w:sz w:val="17"/>
              </w:rPr>
              <w:t>Currency breakup</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Tuition, hostel, travel, books, other</w:t>
            </w:r>
          </w:p>
        </w:tc>
      </w:tr>
      <w:tr>
        <w:tc>
          <w:tcPr>
            <w:tcW w:w="2900" w:type="dxa"/>
          </w:tcPr>
          <w:p>
            <w:pPr>
              <w:spacing w:after="0" w:before="0"/>
            </w:pPr>
            <w:r/>
            <w:r>
              <w:rPr>
                <w:rFonts w:ascii="Arial" w:hAnsi="Arial" w:cs="Arial"/>
                <w:b w:val="0"/>
                <w:sz w:val="17"/>
              </w:rPr>
              <w:t>Requested Loan Amount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Collateral (if above threshold)</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Property/FD (Sections 3.3/3.20)</w:t>
            </w:r>
          </w:p>
        </w:tc>
      </w:tr>
      <w:tr>
        <w:tc>
          <w:tcPr>
            <w:tcW w:w="2900" w:type="dxa"/>
          </w:tcPr>
          <w:p>
            <w:pPr>
              <w:spacing w:after="0" w:before="0"/>
            </w:pPr>
            <w:r/>
            <w:r>
              <w:rPr>
                <w:rFonts w:ascii="Arial" w:hAnsi="Arial" w:cs="Arial"/>
                <w:b w:val="0"/>
                <w:sz w:val="17"/>
              </w:rPr>
              <w:t>Third-Party Guarantee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Section 2.9</w:t>
            </w:r>
          </w:p>
        </w:tc>
      </w:tr>
      <w:tr>
        <w:tc>
          <w:tcPr>
            <w:tcW w:w="2900" w:type="dxa"/>
          </w:tcPr>
          <w:p>
            <w:pPr>
              <w:spacing w:after="0" w:before="0"/>
            </w:pPr>
            <w:r/>
            <w:r>
              <w:rPr>
                <w:rFonts w:ascii="Arial" w:hAnsi="Arial" w:cs="Arial"/>
                <w:b w:val="0"/>
                <w:sz w:val="17"/>
              </w:rPr>
              <w:t>Admission / Visa Proof (Overseas)</w:t>
            </w:r>
          </w:p>
        </w:tc>
        <w:tc>
          <w:tcPr>
            <w:tcW w:w="1300" w:type="dxa"/>
          </w:tcPr>
          <w:p>
            <w:pPr>
              <w:spacing w:after="0" w:before="0"/>
            </w:pPr>
            <w:r/>
            <w:r>
              <w:rPr>
                <w:rFonts w:ascii="Arial" w:hAnsi="Arial" w:cs="Arial"/>
                <w:b w:val="0"/>
                <w:sz w:val="17"/>
              </w:rPr>
              <w:t>Document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Moratorium Tracking</w:t>
            </w:r>
          </w:p>
        </w:tc>
        <w:tc>
          <w:tcPr>
            <w:tcW w:w="1300" w:type="dxa"/>
          </w:tcPr>
          <w:p>
            <w:pPr>
              <w:spacing w:after="0" w:before="0"/>
            </w:pPr>
            <w:r/>
            <w:r>
              <w:rPr>
                <w:rFonts w:ascii="Arial" w:hAnsi="Arial" w:cs="Arial"/>
                <w:b w:val="0"/>
                <w:sz w:val="17"/>
              </w:rPr>
              <w:t>Date/Status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Course-completion triggers EMI start</w:t>
            </w:r>
          </w:p>
        </w:tc>
      </w:tr>
      <w:tr>
        <w:tc>
          <w:tcPr>
            <w:tcW w:w="2900" w:type="dxa"/>
          </w:tcPr>
          <w:p>
            <w:pPr>
              <w:spacing w:after="0" w:before="0"/>
            </w:pPr>
            <w:r/>
            <w:r>
              <w:rPr>
                <w:rFonts w:ascii="Arial" w:hAnsi="Arial" w:cs="Arial"/>
                <w:b w:val="0"/>
                <w:sz w:val="17"/>
              </w:rPr>
              <w:t>Simple-Interest Servicing (Moratorium)</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If opted</w:t>
            </w:r>
          </w:p>
        </w:tc>
      </w:tr>
    </w:tbl>
    <w:p/>
    <w:p>
      <w:r>
        <w:rPr>
          <w:rFonts w:ascii="Arial" w:hAnsi="Arial" w:cs="Arial"/>
          <w:b/>
          <w:i w:val="0"/>
          <w:sz w:val="22"/>
        </w:rPr>
        <w:t>Computation &amp; servicing:</w:t>
      </w:r>
    </w:p>
    <w:p>
      <w:r>
        <w:rPr>
          <w:rFonts w:ascii="Arial" w:hAnsi="Arial" w:cs="Arial"/>
          <w:b w:val="0"/>
          <w:i w:val="0"/>
          <w:sz w:val="22"/>
        </w:rPr>
        <w:t>Moratorium with interest capitalisation or servicing (Section 32.1); step-up EMI post-moratorium (Section 45.3.8); collateral/guarantee for higher tickets.</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Course non-completion</w:t>
            </w:r>
          </w:p>
        </w:tc>
        <w:tc>
          <w:tcPr>
            <w:tcW w:w="6360" w:type="dxa"/>
          </w:tcPr>
          <w:p>
            <w:pPr>
              <w:spacing w:after="0" w:before="0"/>
            </w:pPr>
            <w:r/>
            <w:r>
              <w:rPr>
                <w:rFonts w:ascii="Arial" w:hAnsi="Arial" w:cs="Arial"/>
                <w:b w:val="0"/>
                <w:sz w:val="17"/>
              </w:rPr>
              <w:t>Restructure; repayment-start rule</w:t>
            </w:r>
          </w:p>
        </w:tc>
      </w:tr>
      <w:tr>
        <w:tc>
          <w:tcPr>
            <w:tcW w:w="3000" w:type="dxa"/>
          </w:tcPr>
          <w:p>
            <w:pPr>
              <w:spacing w:after="0" w:before="0"/>
            </w:pPr>
            <w:r/>
            <w:r>
              <w:rPr>
                <w:rFonts w:ascii="Arial" w:hAnsi="Arial" w:cs="Arial"/>
                <w:b w:val="0"/>
                <w:sz w:val="17"/>
              </w:rPr>
              <w:t>Moratorium extension</w:t>
            </w:r>
          </w:p>
        </w:tc>
        <w:tc>
          <w:tcPr>
            <w:tcW w:w="6360" w:type="dxa"/>
          </w:tcPr>
          <w:p>
            <w:pPr>
              <w:spacing w:after="0" w:before="0"/>
            </w:pPr>
            <w:r/>
            <w:r>
              <w:rPr>
                <w:rFonts w:ascii="Arial" w:hAnsi="Arial" w:cs="Arial"/>
                <w:b w:val="0"/>
                <w:sz w:val="17"/>
              </w:rPr>
              <w:t>Per policy; re-capitalise</w:t>
            </w:r>
          </w:p>
        </w:tc>
      </w:tr>
      <w:tr>
        <w:tc>
          <w:tcPr>
            <w:tcW w:w="3000" w:type="dxa"/>
          </w:tcPr>
          <w:p>
            <w:pPr>
              <w:spacing w:after="0" w:before="0"/>
            </w:pPr>
            <w:r/>
            <w:r>
              <w:rPr>
                <w:rFonts w:ascii="Arial" w:hAnsi="Arial" w:cs="Arial"/>
                <w:b w:val="0"/>
                <w:sz w:val="17"/>
              </w:rPr>
              <w:t>Overseas visa rejection</w:t>
            </w:r>
          </w:p>
        </w:tc>
        <w:tc>
          <w:tcPr>
            <w:tcW w:w="6360" w:type="dxa"/>
          </w:tcPr>
          <w:p>
            <w:pPr>
              <w:spacing w:after="0" w:before="0"/>
            </w:pPr>
            <w:r/>
            <w:r>
              <w:rPr>
                <w:rFonts w:ascii="Arial" w:hAnsi="Arial" w:cs="Arial"/>
                <w:b w:val="0"/>
                <w:sz w:val="17"/>
              </w:rPr>
              <w:t>Cancel/withdraw</w:t>
            </w:r>
          </w:p>
        </w:tc>
      </w:tr>
      <w:tr>
        <w:tc>
          <w:tcPr>
            <w:tcW w:w="3000" w:type="dxa"/>
          </w:tcPr>
          <w:p>
            <w:pPr>
              <w:spacing w:after="0" w:before="0"/>
            </w:pPr>
            <w:r/>
            <w:r>
              <w:rPr>
                <w:rFonts w:ascii="Arial" w:hAnsi="Arial" w:cs="Arial"/>
                <w:b w:val="0"/>
                <w:sz w:val="17"/>
              </w:rPr>
              <w:t>Currency (overseas fees)</w:t>
            </w:r>
          </w:p>
        </w:tc>
        <w:tc>
          <w:tcPr>
            <w:tcW w:w="6360" w:type="dxa"/>
          </w:tcPr>
          <w:p>
            <w:pPr>
              <w:spacing w:after="0" w:before="0"/>
            </w:pPr>
            <w:r/>
            <w:r>
              <w:rPr>
                <w:rFonts w:ascii="Arial" w:hAnsi="Arial" w:cs="Arial"/>
                <w:b w:val="0"/>
                <w:sz w:val="17"/>
              </w:rPr>
              <w:t>FX handling</w:t>
            </w:r>
          </w:p>
        </w:tc>
      </w:tr>
      <w:tr>
        <w:tc>
          <w:tcPr>
            <w:tcW w:w="3000" w:type="dxa"/>
          </w:tcPr>
          <w:p>
            <w:pPr>
              <w:spacing w:after="0" w:before="0"/>
            </w:pPr>
            <w:r/>
            <w:r>
              <w:rPr>
                <w:rFonts w:ascii="Arial" w:hAnsi="Arial" w:cs="Arial"/>
                <w:b w:val="0"/>
                <w:sz w:val="17"/>
              </w:rPr>
              <w:t>Post-course employment</w:t>
            </w:r>
          </w:p>
        </w:tc>
        <w:tc>
          <w:tcPr>
            <w:tcW w:w="6360" w:type="dxa"/>
          </w:tcPr>
          <w:p>
            <w:pPr>
              <w:spacing w:after="0" w:before="0"/>
            </w:pPr>
            <w:r/>
            <w:r>
              <w:rPr>
                <w:rFonts w:ascii="Arial" w:hAnsi="Arial" w:cs="Arial"/>
                <w:b w:val="0"/>
                <w:sz w:val="17"/>
              </w:rPr>
              <w:t>Repayment start; grace</w:t>
            </w:r>
          </w:p>
        </w:tc>
      </w:tr>
      <w:tr>
        <w:tc>
          <w:tcPr>
            <w:tcW w:w="3000" w:type="dxa"/>
          </w:tcPr>
          <w:p>
            <w:pPr>
              <w:spacing w:after="0" w:before="0"/>
            </w:pPr>
            <w:r/>
            <w:r>
              <w:rPr>
                <w:rFonts w:ascii="Arial" w:hAnsi="Arial" w:cs="Arial"/>
                <w:b w:val="0"/>
                <w:sz w:val="17"/>
              </w:rPr>
              <w:t>Co-borrower default</w:t>
            </w:r>
          </w:p>
        </w:tc>
        <w:tc>
          <w:tcPr>
            <w:tcW w:w="6360" w:type="dxa"/>
          </w:tcPr>
          <w:p>
            <w:pPr>
              <w:spacing w:after="0" w:before="0"/>
            </w:pPr>
            <w:r/>
            <w:r>
              <w:rPr>
                <w:rFonts w:ascii="Arial" w:hAnsi="Arial" w:cs="Arial"/>
                <w:b w:val="0"/>
                <w:sz w:val="17"/>
              </w:rPr>
              <w:t>Joint liability recovery</w:t>
            </w:r>
          </w:p>
        </w:tc>
      </w:tr>
    </w:tbl>
    <w:p/>
    <w:p>
      <w:r>
        <w:rPr>
          <w:rFonts w:ascii="Arial" w:hAnsi="Arial" w:cs="Arial"/>
          <w:b w:val="0"/>
          <w:i w:val="0"/>
          <w:sz w:val="22"/>
        </w:rPr>
        <w:t>Documents &amp; integrations: Sanction, education-loan agreement, collateral/guarantee docs, KFS; integrations — institution verification, collateral integrations, insurer.</w:t>
      </w:r>
    </w:p>
    <w:p>
      <w:pPr>
        <w:pStyle w:val="Heading2"/>
      </w:pPr>
      <w:r>
        <w:t>87.26 Insurance Premium Financing [IPF]</w:t>
      </w:r>
    </w:p>
    <w:p>
      <w:r>
        <w:rPr>
          <w:rFonts w:ascii="Arial" w:hAnsi="Arial" w:cs="Arial"/>
          <w:b w:val="0"/>
          <w:i w:val="0"/>
          <w:sz w:val="22"/>
        </w:rPr>
        <w:t>A short-tenure loan to pay an insurance premium (commonly large corporate/group or high-value life policies) upfront, repaid in instalments over the policy period.</w:t>
      </w:r>
    </w:p>
    <w:p>
      <w:r>
        <w:rPr>
          <w:rFonts w:ascii="Arial" w:hAnsi="Arial" w:cs="Arial"/>
          <w:b/>
          <w:i w:val="0"/>
          <w:sz w:val="22"/>
        </w:rPr>
        <w:t>Regulatory, eligibility &amp; policy:</w:t>
      </w:r>
    </w:p>
    <w:p>
      <w:pPr>
        <w:pStyle w:val="ListParagraph"/>
        <w:numPr>
          <w:ilvl w:val="0"/>
          <w:numId w:val="2"/>
        </w:numPr>
      </w:pPr>
      <w:r>
        <w:rPr>
          <w:rFonts w:ascii="Arial" w:hAnsi="Arial" w:cs="Arial"/>
          <w:sz w:val="22"/>
        </w:rPr>
        <w:t>Eligible policy types (group health/life/corporate general); advance percentage of premium; tenure capped within the policy period.</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Policyholder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Policy Details</w:t>
            </w:r>
          </w:p>
        </w:tc>
        <w:tc>
          <w:tcPr>
            <w:tcW w:w="1300" w:type="dxa"/>
          </w:tcPr>
          <w:p>
            <w:pPr>
              <w:spacing w:after="0" w:before="0"/>
            </w:pPr>
            <w:r/>
            <w:r>
              <w:rPr>
                <w:rFonts w:ascii="Arial" w:hAnsi="Arial" w:cs="Arial"/>
                <w:b w:val="0"/>
                <w:sz w:val="17"/>
              </w:rPr>
              <w:t>Text/Currency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Insurer, policy number, premium, period</w:t>
            </w:r>
          </w:p>
        </w:tc>
      </w:tr>
      <w:tr>
        <w:tc>
          <w:tcPr>
            <w:tcW w:w="2900" w:type="dxa"/>
          </w:tcPr>
          <w:p>
            <w:pPr>
              <w:spacing w:after="0" w:before="0"/>
            </w:pPr>
            <w:r/>
            <w:r>
              <w:rPr>
                <w:rFonts w:ascii="Arial" w:hAnsi="Arial" w:cs="Arial"/>
                <w:b w:val="0"/>
                <w:sz w:val="17"/>
              </w:rPr>
              <w:t>Requested Loan Amount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Advance % of premium</w:t>
            </w:r>
          </w:p>
        </w:tc>
      </w:tr>
      <w:tr>
        <w:tc>
          <w:tcPr>
            <w:tcW w:w="2900" w:type="dxa"/>
          </w:tcPr>
          <w:p>
            <w:pPr>
              <w:spacing w:after="0" w:before="0"/>
            </w:pPr>
            <w:r/>
            <w:r>
              <w:rPr>
                <w:rFonts w:ascii="Arial" w:hAnsi="Arial" w:cs="Arial"/>
                <w:b w:val="0"/>
                <w:sz w:val="17"/>
              </w:rPr>
              <w:t>Assignment of Policy</w:t>
            </w:r>
          </w:p>
        </w:tc>
        <w:tc>
          <w:tcPr>
            <w:tcW w:w="1300" w:type="dxa"/>
          </w:tcPr>
          <w:p>
            <w:pPr>
              <w:spacing w:after="0" w:before="0"/>
            </w:pPr>
            <w:r/>
            <w:r>
              <w:rPr>
                <w:rFonts w:ascii="Arial" w:hAnsi="Arial" w:cs="Arial"/>
                <w:b w:val="0"/>
                <w:sz w:val="17"/>
              </w:rPr>
              <w:t>Document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Where applicable</w:t>
            </w:r>
          </w:p>
        </w:tc>
      </w:tr>
      <w:tr>
        <w:tc>
          <w:tcPr>
            <w:tcW w:w="2900" w:type="dxa"/>
          </w:tcPr>
          <w:p>
            <w:pPr>
              <w:spacing w:after="0" w:before="0"/>
            </w:pPr>
            <w:r/>
            <w:r>
              <w:rPr>
                <w:rFonts w:ascii="Arial" w:hAnsi="Arial" w:cs="Arial"/>
                <w:b w:val="0"/>
                <w:sz w:val="17"/>
              </w:rPr>
              <w:t>Cancellation / Refund Clause Handling</w:t>
            </w:r>
          </w:p>
        </w:tc>
        <w:tc>
          <w:tcPr>
            <w:tcW w:w="1300" w:type="dxa"/>
          </w:tcPr>
          <w:p>
            <w:pPr>
              <w:spacing w:after="0" w:before="0"/>
            </w:pPr>
            <w:r/>
            <w:r>
              <w:rPr>
                <w:rFonts w:ascii="Arial" w:hAnsi="Arial" w:cs="Arial"/>
                <w:b w:val="0"/>
                <w:sz w:val="17"/>
              </w:rPr>
              <w:t>Rule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Refunded premium applied to loan</w:t>
            </w:r>
          </w:p>
        </w:tc>
      </w:tr>
    </w:tbl>
    <w:p/>
    <w:p>
      <w:r>
        <w:rPr>
          <w:rFonts w:ascii="Arial" w:hAnsi="Arial" w:cs="Arial"/>
          <w:b/>
          <w:i w:val="0"/>
          <w:sz w:val="22"/>
        </w:rPr>
        <w:t>Computation &amp; servicing:</w:t>
      </w:r>
    </w:p>
    <w:p>
      <w:r>
        <w:rPr>
          <w:rFonts w:ascii="Arial" w:hAnsi="Arial" w:cs="Arial"/>
          <w:b w:val="0"/>
          <w:i w:val="0"/>
          <w:sz w:val="22"/>
        </w:rPr>
        <w:t>Reducing-balance instalments within the policy period; on mid-term cancellation, the refunded premium is applied against the outstanding (Section 3.28).</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Policy cancellation mid-term</w:t>
            </w:r>
          </w:p>
        </w:tc>
        <w:tc>
          <w:tcPr>
            <w:tcW w:w="6360" w:type="dxa"/>
          </w:tcPr>
          <w:p>
            <w:pPr>
              <w:spacing w:after="0" w:before="0"/>
            </w:pPr>
            <w:r/>
            <w:r>
              <w:rPr>
                <w:rFonts w:ascii="Arial" w:hAnsi="Arial" w:cs="Arial"/>
                <w:b w:val="0"/>
                <w:sz w:val="17"/>
              </w:rPr>
              <w:t>Refund applied to loan</w:t>
            </w:r>
          </w:p>
        </w:tc>
      </w:tr>
      <w:tr>
        <w:tc>
          <w:tcPr>
            <w:tcW w:w="3000" w:type="dxa"/>
          </w:tcPr>
          <w:p>
            <w:pPr>
              <w:spacing w:after="0" w:before="0"/>
            </w:pPr>
            <w:r/>
            <w:r>
              <w:rPr>
                <w:rFonts w:ascii="Arial" w:hAnsi="Arial" w:cs="Arial"/>
                <w:b w:val="0"/>
                <w:sz w:val="17"/>
              </w:rPr>
              <w:t>Premium revision</w:t>
            </w:r>
          </w:p>
        </w:tc>
        <w:tc>
          <w:tcPr>
            <w:tcW w:w="6360" w:type="dxa"/>
          </w:tcPr>
          <w:p>
            <w:pPr>
              <w:spacing w:after="0" w:before="0"/>
            </w:pPr>
            <w:r/>
            <w:r>
              <w:rPr>
                <w:rFonts w:ascii="Arial" w:hAnsi="Arial" w:cs="Arial"/>
                <w:b w:val="0"/>
                <w:sz w:val="17"/>
              </w:rPr>
              <w:t>Adjust facility</w:t>
            </w:r>
          </w:p>
        </w:tc>
      </w:tr>
      <w:tr>
        <w:tc>
          <w:tcPr>
            <w:tcW w:w="3000" w:type="dxa"/>
          </w:tcPr>
          <w:p>
            <w:pPr>
              <w:spacing w:after="0" w:before="0"/>
            </w:pPr>
            <w:r/>
            <w:r>
              <w:rPr>
                <w:rFonts w:ascii="Arial" w:hAnsi="Arial" w:cs="Arial"/>
                <w:b w:val="0"/>
                <w:sz w:val="17"/>
              </w:rPr>
              <w:t>Claim on financed policy</w:t>
            </w:r>
          </w:p>
        </w:tc>
        <w:tc>
          <w:tcPr>
            <w:tcW w:w="6360" w:type="dxa"/>
          </w:tcPr>
          <w:p>
            <w:pPr>
              <w:spacing w:after="0" w:before="0"/>
            </w:pPr>
            <w:r/>
            <w:r>
              <w:rPr>
                <w:rFonts w:ascii="Arial" w:hAnsi="Arial" w:cs="Arial"/>
                <w:b w:val="0"/>
                <w:sz w:val="17"/>
              </w:rPr>
              <w:t>Coordinate with insurer</w:t>
            </w:r>
          </w:p>
        </w:tc>
      </w:tr>
      <w:tr>
        <w:tc>
          <w:tcPr>
            <w:tcW w:w="3000" w:type="dxa"/>
          </w:tcPr>
          <w:p>
            <w:pPr>
              <w:spacing w:after="0" w:before="0"/>
            </w:pPr>
            <w:r/>
            <w:r>
              <w:rPr>
                <w:rFonts w:ascii="Arial" w:hAnsi="Arial" w:cs="Arial"/>
                <w:b w:val="0"/>
                <w:sz w:val="17"/>
              </w:rPr>
              <w:t>Insurer default</w:t>
            </w:r>
          </w:p>
        </w:tc>
        <w:tc>
          <w:tcPr>
            <w:tcW w:w="6360" w:type="dxa"/>
          </w:tcPr>
          <w:p>
            <w:pPr>
              <w:spacing w:after="0" w:before="0"/>
            </w:pPr>
            <w:r/>
            <w:r>
              <w:rPr>
                <w:rFonts w:ascii="Arial" w:hAnsi="Arial" w:cs="Arial"/>
                <w:b w:val="0"/>
                <w:sz w:val="17"/>
              </w:rPr>
              <w:t>Recovery from policyholder</w:t>
            </w:r>
          </w:p>
        </w:tc>
      </w:tr>
      <w:tr>
        <w:tc>
          <w:tcPr>
            <w:tcW w:w="3000" w:type="dxa"/>
          </w:tcPr>
          <w:p>
            <w:pPr>
              <w:spacing w:after="0" w:before="0"/>
            </w:pPr>
            <w:r/>
            <w:r>
              <w:rPr>
                <w:rFonts w:ascii="Arial" w:hAnsi="Arial" w:cs="Arial"/>
                <w:b w:val="0"/>
                <w:sz w:val="17"/>
              </w:rPr>
              <w:t>Non-payment</w:t>
            </w:r>
          </w:p>
        </w:tc>
        <w:tc>
          <w:tcPr>
            <w:tcW w:w="6360" w:type="dxa"/>
          </w:tcPr>
          <w:p>
            <w:pPr>
              <w:spacing w:after="0" w:before="0"/>
            </w:pPr>
            <w:r/>
            <w:r>
              <w:rPr>
                <w:rFonts w:ascii="Arial" w:hAnsi="Arial" w:cs="Arial"/>
                <w:b w:val="0"/>
                <w:sz w:val="17"/>
              </w:rPr>
              <w:t>Recovery; possible policy lapse</w:t>
            </w:r>
          </w:p>
        </w:tc>
      </w:tr>
    </w:tbl>
    <w:p/>
    <w:p>
      <w:r>
        <w:rPr>
          <w:rFonts w:ascii="Arial" w:hAnsi="Arial" w:cs="Arial"/>
          <w:b w:val="0"/>
          <w:i w:val="0"/>
          <w:sz w:val="22"/>
        </w:rPr>
        <w:t>Documents &amp; integrations: Sanction, IPF agreement, policy assignment, KFS; integrations — insurer.</w:t>
      </w:r>
    </w:p>
    <w:p>
      <w:pPr>
        <w:pStyle w:val="Heading2"/>
      </w:pPr>
      <w:r>
        <w:t>87.27 Merchant Cash Advance / Revenue-Based Financing (MCA/RBF) [MCA_RBF]</w:t>
      </w:r>
    </w:p>
    <w:p>
      <w:r>
        <w:rPr>
          <w:rFonts w:ascii="Arial" w:hAnsi="Arial" w:cs="Arial"/>
          <w:b w:val="0"/>
          <w:i w:val="0"/>
          <w:sz w:val="22"/>
        </w:rPr>
        <w:t>An advance repaid as a fixed percentage of the merchant/business’s future daily card, UPI or overall revenue settlements rather than a fixed EMI.</w:t>
      </w:r>
    </w:p>
    <w:p>
      <w:r>
        <w:rPr>
          <w:rFonts w:ascii="Arial" w:hAnsi="Arial" w:cs="Arial"/>
          <w:b/>
          <w:i w:val="0"/>
          <w:sz w:val="22"/>
        </w:rPr>
        <w:t>Regulatory, eligibility &amp; policy:</w:t>
      </w:r>
    </w:p>
    <w:p>
      <w:pPr>
        <w:pStyle w:val="ListParagraph"/>
        <w:numPr>
          <w:ilvl w:val="0"/>
          <w:numId w:val="2"/>
        </w:numPr>
      </w:pPr>
      <w:r>
        <w:rPr>
          <w:rFonts w:ascii="Arial" w:hAnsi="Arial" w:cs="Arial"/>
          <w:sz w:val="22"/>
        </w:rPr>
        <w:t>Revenue stream type (card/POS settlement, payment-gateway settlement, UPI collections); advance multiple (e.g., 1.1–1.5×); holdback percentage; minimum settlement threshold as an eligibility floor.</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Merchant / Business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Payment Aggregator / PG / POS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Source of settlement data &amp; auto-deduction</w:t>
            </w:r>
          </w:p>
        </w:tc>
      </w:tr>
      <w:tr>
        <w:tc>
          <w:tcPr>
            <w:tcW w:w="2900" w:type="dxa"/>
          </w:tcPr>
          <w:p>
            <w:pPr>
              <w:spacing w:after="0" w:before="0"/>
            </w:pPr>
            <w:r/>
            <w:r>
              <w:rPr>
                <w:rFonts w:ascii="Arial" w:hAnsi="Arial" w:cs="Arial"/>
                <w:b w:val="0"/>
                <w:sz w:val="17"/>
              </w:rPr>
              <w:t>Historical Settlement Statements</w:t>
            </w:r>
          </w:p>
        </w:tc>
        <w:tc>
          <w:tcPr>
            <w:tcW w:w="1300" w:type="dxa"/>
          </w:tcPr>
          <w:p>
            <w:pPr>
              <w:spacing w:after="0" w:before="0"/>
            </w:pPr>
            <w:r/>
            <w:r>
              <w:rPr>
                <w:rFonts w:ascii="Arial" w:hAnsi="Arial" w:cs="Arial"/>
                <w:b w:val="0"/>
                <w:sz w:val="17"/>
              </w:rPr>
              <w: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Typically 6–12 months</w:t>
            </w:r>
          </w:p>
        </w:tc>
      </w:tr>
      <w:tr>
        <w:tc>
          <w:tcPr>
            <w:tcW w:w="2900" w:type="dxa"/>
          </w:tcPr>
          <w:p>
            <w:pPr>
              <w:spacing w:after="0" w:before="0"/>
            </w:pPr>
            <w:r/>
            <w:r>
              <w:rPr>
                <w:rFonts w:ascii="Arial" w:hAnsi="Arial" w:cs="Arial"/>
                <w:b w:val="0"/>
                <w:sz w:val="17"/>
              </w:rPr>
              <w:t>Requested Advance Amount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Multiple of average monthly settlement</w:t>
            </w:r>
          </w:p>
        </w:tc>
      </w:tr>
      <w:tr>
        <w:tc>
          <w:tcPr>
            <w:tcW w:w="2900" w:type="dxa"/>
          </w:tcPr>
          <w:p>
            <w:pPr>
              <w:spacing w:after="0" w:before="0"/>
            </w:pPr>
            <w:r/>
            <w:r>
              <w:rPr>
                <w:rFonts w:ascii="Arial" w:hAnsi="Arial" w:cs="Arial"/>
                <w:b w:val="0"/>
                <w:sz w:val="17"/>
              </w:rPr>
              <w:t>Daily Holdback Deduction</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Auto-swept per holdback %</w:t>
            </w:r>
          </w:p>
        </w:tc>
      </w:tr>
      <w:tr>
        <w:tc>
          <w:tcPr>
            <w:tcW w:w="2900" w:type="dxa"/>
          </w:tcPr>
          <w:p>
            <w:pPr>
              <w:spacing w:after="0" w:before="0"/>
            </w:pPr>
            <w:r/>
            <w:r>
              <w:rPr>
                <w:rFonts w:ascii="Arial" w:hAnsi="Arial" w:cs="Arial"/>
                <w:b w:val="0"/>
                <w:sz w:val="17"/>
              </w:rPr>
              <w:t>Total Repayable Tracking</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Advance × multiple, reducing</w:t>
            </w:r>
          </w:p>
        </w:tc>
      </w:tr>
      <w:tr>
        <w:tc>
          <w:tcPr>
            <w:tcW w:w="2900" w:type="dxa"/>
          </w:tcPr>
          <w:p>
            <w:pPr>
              <w:spacing w:after="0" w:before="0"/>
            </w:pPr>
            <w:r/>
            <w:r>
              <w:rPr>
                <w:rFonts w:ascii="Arial" w:hAnsi="Arial" w:cs="Arial"/>
                <w:b w:val="0"/>
                <w:sz w:val="17"/>
              </w:rPr>
              <w:t>Settlement-Shortfall Handling</w:t>
            </w:r>
          </w:p>
        </w:tc>
        <w:tc>
          <w:tcPr>
            <w:tcW w:w="1300" w:type="dxa"/>
          </w:tcPr>
          <w:p>
            <w:pPr>
              <w:spacing w:after="0" w:before="0"/>
            </w:pPr>
            <w:r/>
            <w:r>
              <w:rPr>
                <w:rFonts w:ascii="Arial" w:hAnsi="Arial" w:cs="Arial"/>
                <w:b w:val="0"/>
                <w:sz w:val="17"/>
              </w:rPr>
              <w:t>Rules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Minimum-payment fallback</w:t>
            </w:r>
          </w:p>
        </w:tc>
      </w:tr>
    </w:tbl>
    <w:p/>
    <w:p>
      <w:r>
        <w:rPr>
          <w:rFonts w:ascii="Arial" w:hAnsi="Arial" w:cs="Arial"/>
          <w:b/>
          <w:i w:val="0"/>
          <w:sz w:val="22"/>
        </w:rPr>
        <w:t>Computation &amp; servicing:</w:t>
      </w:r>
    </w:p>
    <w:p>
      <w:r>
        <w:rPr>
          <w:rFonts w:ascii="Arial" w:hAnsi="Arial" w:cs="Arial"/>
          <w:b w:val="0"/>
          <w:i w:val="0"/>
          <w:sz w:val="22"/>
        </w:rPr>
        <w:t>Total repayable = advance × multiple; a holdback percentage of daily settlements is auto-deducted until repaid; a minimum-payment fallback applies if settlements fall below a floor (Section 3.24).</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Settlement volume drop</w:t>
            </w:r>
          </w:p>
        </w:tc>
        <w:tc>
          <w:tcPr>
            <w:tcW w:w="6360" w:type="dxa"/>
          </w:tcPr>
          <w:p>
            <w:pPr>
              <w:spacing w:after="0" w:before="0"/>
            </w:pPr>
            <w:r/>
            <w:r>
              <w:rPr>
                <w:rFonts w:ascii="Arial" w:hAnsi="Arial" w:cs="Arial"/>
                <w:b w:val="0"/>
                <w:sz w:val="17"/>
              </w:rPr>
              <w:t>Minimum-payment fallback; extend</w:t>
            </w:r>
          </w:p>
        </w:tc>
      </w:tr>
      <w:tr>
        <w:tc>
          <w:tcPr>
            <w:tcW w:w="3000" w:type="dxa"/>
          </w:tcPr>
          <w:p>
            <w:pPr>
              <w:spacing w:after="0" w:before="0"/>
            </w:pPr>
            <w:r/>
            <w:r>
              <w:rPr>
                <w:rFonts w:ascii="Arial" w:hAnsi="Arial" w:cs="Arial"/>
                <w:b w:val="0"/>
                <w:sz w:val="17"/>
              </w:rPr>
              <w:t>Aggregator switch (bypass)</w:t>
            </w:r>
          </w:p>
        </w:tc>
        <w:tc>
          <w:tcPr>
            <w:tcW w:w="6360" w:type="dxa"/>
          </w:tcPr>
          <w:p>
            <w:pPr>
              <w:spacing w:after="0" w:before="0"/>
            </w:pPr>
            <w:r/>
            <w:r>
              <w:rPr>
                <w:rFonts w:ascii="Arial" w:hAnsi="Arial" w:cs="Arial"/>
                <w:b w:val="0"/>
                <w:sz w:val="17"/>
              </w:rPr>
              <w:t>Detect; enforce; early-warning</w:t>
            </w:r>
          </w:p>
        </w:tc>
      </w:tr>
      <w:tr>
        <w:tc>
          <w:tcPr>
            <w:tcW w:w="3000" w:type="dxa"/>
          </w:tcPr>
          <w:p>
            <w:pPr>
              <w:spacing w:after="0" w:before="0"/>
            </w:pPr>
            <w:r/>
            <w:r>
              <w:rPr>
                <w:rFonts w:ascii="Arial" w:hAnsi="Arial" w:cs="Arial"/>
                <w:b w:val="0"/>
                <w:sz w:val="17"/>
              </w:rPr>
              <w:t>Seasonal revenue</w:t>
            </w:r>
          </w:p>
        </w:tc>
        <w:tc>
          <w:tcPr>
            <w:tcW w:w="6360" w:type="dxa"/>
          </w:tcPr>
          <w:p>
            <w:pPr>
              <w:spacing w:after="0" w:before="0"/>
            </w:pPr>
            <w:r/>
            <w:r>
              <w:rPr>
                <w:rFonts w:ascii="Arial" w:hAnsi="Arial" w:cs="Arial"/>
                <w:b w:val="0"/>
                <w:sz w:val="17"/>
              </w:rPr>
              <w:t>Holdback flexes with settlements</w:t>
            </w:r>
          </w:p>
        </w:tc>
      </w:tr>
      <w:tr>
        <w:tc>
          <w:tcPr>
            <w:tcW w:w="3000" w:type="dxa"/>
          </w:tcPr>
          <w:p>
            <w:pPr>
              <w:spacing w:after="0" w:before="0"/>
            </w:pPr>
            <w:r/>
            <w:r>
              <w:rPr>
                <w:rFonts w:ascii="Arial" w:hAnsi="Arial" w:cs="Arial"/>
                <w:b w:val="0"/>
                <w:sz w:val="17"/>
              </w:rPr>
              <w:t>Early payoff</w:t>
            </w:r>
          </w:p>
        </w:tc>
        <w:tc>
          <w:tcPr>
            <w:tcW w:w="6360" w:type="dxa"/>
          </w:tcPr>
          <w:p>
            <w:pPr>
              <w:spacing w:after="0" w:before="0"/>
            </w:pPr>
            <w:r/>
            <w:r>
              <w:rPr>
                <w:rFonts w:ascii="Arial" w:hAnsi="Arial" w:cs="Arial"/>
                <w:b w:val="0"/>
                <w:sz w:val="17"/>
              </w:rPr>
              <w:t>Discount per policy</w:t>
            </w:r>
          </w:p>
        </w:tc>
      </w:tr>
      <w:tr>
        <w:tc>
          <w:tcPr>
            <w:tcW w:w="3000" w:type="dxa"/>
          </w:tcPr>
          <w:p>
            <w:pPr>
              <w:spacing w:after="0" w:before="0"/>
            </w:pPr>
            <w:r/>
            <w:r>
              <w:rPr>
                <w:rFonts w:ascii="Arial" w:hAnsi="Arial" w:cs="Arial"/>
                <w:b w:val="0"/>
                <w:sz w:val="17"/>
              </w:rPr>
              <w:t>Merchant closure</w:t>
            </w:r>
          </w:p>
        </w:tc>
        <w:tc>
          <w:tcPr>
            <w:tcW w:w="6360" w:type="dxa"/>
          </w:tcPr>
          <w:p>
            <w:pPr>
              <w:spacing w:after="0" w:before="0"/>
            </w:pPr>
            <w:r/>
            <w:r>
              <w:rPr>
                <w:rFonts w:ascii="Arial" w:hAnsi="Arial" w:cs="Arial"/>
                <w:b w:val="0"/>
                <w:sz w:val="17"/>
              </w:rPr>
              <w:t>Recovery; guarantee if any</w:t>
            </w:r>
          </w:p>
        </w:tc>
      </w:tr>
    </w:tbl>
    <w:p/>
    <w:p>
      <w:r>
        <w:rPr>
          <w:rFonts w:ascii="Arial" w:hAnsi="Arial" w:cs="Arial"/>
          <w:b w:val="0"/>
          <w:i w:val="0"/>
          <w:sz w:val="22"/>
        </w:rPr>
        <w:t>Documents &amp; integrations: Advance agreement, holdback/settlement mandate, KFS; integrations — payment aggregator/PG/POS, rails.</w:t>
      </w:r>
    </w:p>
    <w:p>
      <w:pPr>
        <w:pStyle w:val="Heading2"/>
      </w:pPr>
      <w:r>
        <w:t>87.28 Franchise Financing [FRAN]</w:t>
      </w:r>
    </w:p>
    <w:p>
      <w:r>
        <w:rPr>
          <w:rFonts w:ascii="Arial" w:hAnsi="Arial" w:cs="Arial"/>
          <w:b w:val="0"/>
          <w:i w:val="0"/>
          <w:sz w:val="22"/>
        </w:rPr>
        <w:t>Financing for franchisee setup costs (franchise fee, fit-out, initial inventory), underwritten partly on the franchisor brand’s track record in addition to the franchisee’s own profile.</w:t>
      </w:r>
    </w:p>
    <w:p>
      <w:r>
        <w:rPr>
          <w:rFonts w:ascii="Arial" w:hAnsi="Arial" w:cs="Arial"/>
          <w:b/>
          <w:i w:val="0"/>
          <w:sz w:val="22"/>
        </w:rPr>
        <w:t>Regulatory, eligibility &amp; policy:</w:t>
      </w:r>
    </w:p>
    <w:p>
      <w:pPr>
        <w:pStyle w:val="ListParagraph"/>
        <w:numPr>
          <w:ilvl w:val="0"/>
          <w:numId w:val="2"/>
        </w:numPr>
      </w:pPr>
      <w:r>
        <w:rPr>
          <w:rFonts w:ascii="Arial" w:hAnsi="Arial" w:cs="Arial"/>
          <w:sz w:val="22"/>
        </w:rPr>
        <w:t>Empanelled franchisor/brand master with standard unit-economics; eligible cost components (fee/fit-out/inventory/working capital); LTV of total project cost.</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Franchisee (Applicant)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Franchisor / Brand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Empanelled brand</w:t>
            </w:r>
          </w:p>
        </w:tc>
      </w:tr>
      <w:tr>
        <w:tc>
          <w:tcPr>
            <w:tcW w:w="2900" w:type="dxa"/>
          </w:tcPr>
          <w:p>
            <w:pPr>
              <w:spacing w:after="0" w:before="0"/>
            </w:pPr>
            <w:r/>
            <w:r>
              <w:rPr>
                <w:rFonts w:ascii="Arial" w:hAnsi="Arial" w:cs="Arial"/>
                <w:b w:val="0"/>
                <w:sz w:val="17"/>
              </w:rPr>
              <w:t>Franchise Agreement Details</w:t>
            </w:r>
          </w:p>
        </w:tc>
        <w:tc>
          <w:tcPr>
            <w:tcW w:w="1300" w:type="dxa"/>
          </w:tcPr>
          <w:p>
            <w:pPr>
              <w:spacing w:after="0" w:before="0"/>
            </w:pPr>
            <w:r/>
            <w:r>
              <w:rPr>
                <w:rFonts w:ascii="Arial" w:hAnsi="Arial" w:cs="Arial"/>
                <w:b w:val="0"/>
                <w:sz w:val="17"/>
              </w:rPr>
              <w:t>Text/File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Territory, term, fee structure</w:t>
            </w:r>
          </w:p>
        </w:tc>
      </w:tr>
      <w:tr>
        <w:tc>
          <w:tcPr>
            <w:tcW w:w="2900" w:type="dxa"/>
          </w:tcPr>
          <w:p>
            <w:pPr>
              <w:spacing w:after="0" w:before="0"/>
            </w:pPr>
            <w:r/>
            <w:r>
              <w:rPr>
                <w:rFonts w:ascii="Arial" w:hAnsi="Arial" w:cs="Arial"/>
                <w:b w:val="0"/>
                <w:sz w:val="17"/>
              </w:rPr>
              <w:t>Project Cost Breakup</w:t>
            </w:r>
          </w:p>
        </w:tc>
        <w:tc>
          <w:tcPr>
            <w:tcW w:w="1300" w:type="dxa"/>
          </w:tcPr>
          <w:p>
            <w:pPr>
              <w:spacing w:after="0" w:before="0"/>
            </w:pPr>
            <w:r/>
            <w:r>
              <w:rPr>
                <w:rFonts w:ascii="Arial" w:hAnsi="Arial" w:cs="Arial"/>
                <w:b w:val="0"/>
                <w:sz w:val="17"/>
              </w:rPr>
              <w:t>Currency grid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Per eligible cost component</w:t>
            </w:r>
          </w:p>
        </w:tc>
      </w:tr>
      <w:tr>
        <w:tc>
          <w:tcPr>
            <w:tcW w:w="2900" w:type="dxa"/>
          </w:tcPr>
          <w:p>
            <w:pPr>
              <w:spacing w:after="0" w:before="0"/>
            </w:pPr>
            <w:r/>
            <w:r>
              <w:rPr>
                <w:rFonts w:ascii="Arial" w:hAnsi="Arial" w:cs="Arial"/>
                <w:b w:val="0"/>
                <w:sz w:val="17"/>
              </w:rPr>
              <w:t>Stage-Wise Disbursement</w:t>
            </w:r>
          </w:p>
        </w:tc>
        <w:tc>
          <w:tcPr>
            <w:tcW w:w="1300" w:type="dxa"/>
          </w:tcPr>
          <w:p>
            <w:pPr>
              <w:spacing w:after="0" w:before="0"/>
            </w:pPr>
            <w:r/>
            <w:r>
              <w:rPr>
                <w:rFonts w:ascii="Arial" w:hAnsi="Arial" w:cs="Arial"/>
                <w:b w:val="0"/>
                <w:sz w:val="17"/>
              </w:rPr>
              <w:t>Repeatable grid</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Tied to fit-out milestones</w:t>
            </w:r>
          </w:p>
        </w:tc>
      </w:tr>
    </w:tbl>
    <w:p/>
    <w:p>
      <w:r>
        <w:rPr>
          <w:rFonts w:ascii="Arial" w:hAnsi="Arial" w:cs="Arial"/>
          <w:b/>
          <w:i w:val="0"/>
          <w:sz w:val="22"/>
        </w:rPr>
        <w:t>Computation &amp; servicing:</w:t>
      </w:r>
    </w:p>
    <w:p>
      <w:r>
        <w:rPr>
          <w:rFonts w:ascii="Arial" w:hAnsi="Arial" w:cs="Arial"/>
          <w:b w:val="0"/>
          <w:i w:val="0"/>
          <w:sz w:val="22"/>
        </w:rPr>
        <w:t>Reducing-balance EMI; LTV of total project cost; staged disbursement tied to fit-out milestones (Section 3.30).</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Franchise failure</w:t>
            </w:r>
          </w:p>
        </w:tc>
        <w:tc>
          <w:tcPr>
            <w:tcW w:w="6360" w:type="dxa"/>
          </w:tcPr>
          <w:p>
            <w:pPr>
              <w:spacing w:after="0" w:before="0"/>
            </w:pPr>
            <w:r/>
            <w:r>
              <w:rPr>
                <w:rFonts w:ascii="Arial" w:hAnsi="Arial" w:cs="Arial"/>
                <w:b w:val="0"/>
                <w:sz w:val="17"/>
              </w:rPr>
              <w:t>Recovery; brand support if any</w:t>
            </w:r>
          </w:p>
        </w:tc>
      </w:tr>
      <w:tr>
        <w:tc>
          <w:tcPr>
            <w:tcW w:w="3000" w:type="dxa"/>
          </w:tcPr>
          <w:p>
            <w:pPr>
              <w:spacing w:after="0" w:before="0"/>
            </w:pPr>
            <w:r/>
            <w:r>
              <w:rPr>
                <w:rFonts w:ascii="Arial" w:hAnsi="Arial" w:cs="Arial"/>
                <w:b w:val="0"/>
                <w:sz w:val="17"/>
              </w:rPr>
              <w:t>Franchisor termination</w:t>
            </w:r>
          </w:p>
        </w:tc>
        <w:tc>
          <w:tcPr>
            <w:tcW w:w="6360" w:type="dxa"/>
          </w:tcPr>
          <w:p>
            <w:pPr>
              <w:spacing w:after="0" w:before="0"/>
            </w:pPr>
            <w:r/>
            <w:r>
              <w:rPr>
                <w:rFonts w:ascii="Arial" w:hAnsi="Arial" w:cs="Arial"/>
                <w:b w:val="0"/>
                <w:sz w:val="17"/>
              </w:rPr>
              <w:t>Early-warning; recovery</w:t>
            </w:r>
          </w:p>
        </w:tc>
      </w:tr>
      <w:tr>
        <w:tc>
          <w:tcPr>
            <w:tcW w:w="3000" w:type="dxa"/>
          </w:tcPr>
          <w:p>
            <w:pPr>
              <w:spacing w:after="0" w:before="0"/>
            </w:pPr>
            <w:r/>
            <w:r>
              <w:rPr>
                <w:rFonts w:ascii="Arial" w:hAnsi="Arial" w:cs="Arial"/>
                <w:b w:val="0"/>
                <w:sz w:val="17"/>
              </w:rPr>
              <w:t>Cost overrun</w:t>
            </w:r>
          </w:p>
        </w:tc>
        <w:tc>
          <w:tcPr>
            <w:tcW w:w="6360" w:type="dxa"/>
          </w:tcPr>
          <w:p>
            <w:pPr>
              <w:spacing w:after="0" w:before="0"/>
            </w:pPr>
            <w:r/>
            <w:r>
              <w:rPr>
                <w:rFonts w:ascii="Arial" w:hAnsi="Arial" w:cs="Arial"/>
                <w:b w:val="0"/>
                <w:sz w:val="17"/>
              </w:rPr>
              <w:t>Re-assess; borrower funds gap</w:t>
            </w:r>
          </w:p>
        </w:tc>
      </w:tr>
      <w:tr>
        <w:tc>
          <w:tcPr>
            <w:tcW w:w="3000" w:type="dxa"/>
          </w:tcPr>
          <w:p>
            <w:pPr>
              <w:spacing w:after="0" w:before="0"/>
            </w:pPr>
            <w:r/>
            <w:r>
              <w:rPr>
                <w:rFonts w:ascii="Arial" w:hAnsi="Arial" w:cs="Arial"/>
                <w:b w:val="0"/>
                <w:sz w:val="17"/>
              </w:rPr>
              <w:t>Ramp-up delay</w:t>
            </w:r>
          </w:p>
        </w:tc>
        <w:tc>
          <w:tcPr>
            <w:tcW w:w="6360" w:type="dxa"/>
          </w:tcPr>
          <w:p>
            <w:pPr>
              <w:spacing w:after="0" w:before="0"/>
            </w:pPr>
            <w:r/>
            <w:r>
              <w:rPr>
                <w:rFonts w:ascii="Arial" w:hAnsi="Arial" w:cs="Arial"/>
                <w:b w:val="0"/>
                <w:sz w:val="17"/>
              </w:rPr>
              <w:t>Moratorium/restructure</w:t>
            </w:r>
          </w:p>
        </w:tc>
      </w:tr>
      <w:tr>
        <w:tc>
          <w:tcPr>
            <w:tcW w:w="3000" w:type="dxa"/>
          </w:tcPr>
          <w:p>
            <w:pPr>
              <w:spacing w:after="0" w:before="0"/>
            </w:pPr>
            <w:r/>
            <w:r>
              <w:rPr>
                <w:rFonts w:ascii="Arial" w:hAnsi="Arial" w:cs="Arial"/>
                <w:b w:val="0"/>
                <w:sz w:val="17"/>
              </w:rPr>
              <w:t>Brand withdrawal from market</w:t>
            </w:r>
          </w:p>
        </w:tc>
        <w:tc>
          <w:tcPr>
            <w:tcW w:w="6360" w:type="dxa"/>
          </w:tcPr>
          <w:p>
            <w:pPr>
              <w:spacing w:after="0" w:before="0"/>
            </w:pPr>
            <w:r/>
            <w:r>
              <w:rPr>
                <w:rFonts w:ascii="Arial" w:hAnsi="Arial" w:cs="Arial"/>
                <w:b w:val="0"/>
                <w:sz w:val="17"/>
              </w:rPr>
              <w:t>Portfolio review</w:t>
            </w:r>
          </w:p>
        </w:tc>
      </w:tr>
    </w:tbl>
    <w:p/>
    <w:p>
      <w:r>
        <w:rPr>
          <w:rFonts w:ascii="Arial" w:hAnsi="Arial" w:cs="Arial"/>
          <w:b w:val="0"/>
          <w:i w:val="0"/>
          <w:sz w:val="22"/>
        </w:rPr>
        <w:t>Documents &amp; integrations: Sanction, agreement, franchise documents, KFS; integrations — franchisor, vendor.</w:t>
      </w:r>
    </w:p>
    <w:p>
      <w:pPr>
        <w:pStyle w:val="Heading2"/>
      </w:pPr>
      <w:r>
        <w:t>87.29 Startup Venture Debt [VDEBT]</w:t>
      </w:r>
    </w:p>
    <w:p>
      <w:r>
        <w:rPr>
          <w:rFonts w:ascii="Arial" w:hAnsi="Arial" w:cs="Arial"/>
          <w:b w:val="0"/>
          <w:i w:val="0"/>
          <w:sz w:val="22"/>
        </w:rPr>
        <w:t>Debt financing for venture-backed startups, typically alongside or after an equity round, sometimes structured with warrants/equity kickers — underwritten on cap table, burn rate and investor quality rather than conventional collateral or profitability.</w:t>
      </w:r>
    </w:p>
    <w:p>
      <w:r>
        <w:rPr>
          <w:rFonts w:ascii="Arial" w:hAnsi="Arial" w:cs="Arial"/>
          <w:b/>
          <w:i w:val="0"/>
          <w:sz w:val="22"/>
        </w:rPr>
        <w:t>Regulatory, eligibility &amp; policy:</w:t>
      </w:r>
    </w:p>
    <w:p>
      <w:pPr>
        <w:pStyle w:val="ListParagraph"/>
        <w:numPr>
          <w:ilvl w:val="0"/>
          <w:numId w:val="2"/>
        </w:numPr>
      </w:pPr>
      <w:r>
        <w:rPr>
          <w:rFonts w:ascii="Arial" w:hAnsi="Arial" w:cs="Arial"/>
          <w:sz w:val="22"/>
        </w:rPr>
        <w:t>Eligible stage (seed/Series A/B+ per risk appetite); optional warrant/equity-kicker terms; covenant package (runway, burn rate, MIS reporting).</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Startup (Company)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Section 2.6</w:t>
            </w:r>
          </w:p>
        </w:tc>
      </w:tr>
      <w:tr>
        <w:tc>
          <w:tcPr>
            <w:tcW w:w="2900" w:type="dxa"/>
          </w:tcPr>
          <w:p>
            <w:pPr>
              <w:spacing w:after="0" w:before="0"/>
            </w:pPr>
            <w:r/>
            <w:r>
              <w:rPr>
                <w:rFonts w:ascii="Arial" w:hAnsi="Arial" w:cs="Arial"/>
                <w:b w:val="0"/>
                <w:sz w:val="17"/>
              </w:rPr>
              <w:t>Cap Table &amp; Latest Funding Round</w:t>
            </w:r>
          </w:p>
        </w:tc>
        <w:tc>
          <w:tcPr>
            <w:tcW w:w="1300" w:type="dxa"/>
          </w:tcPr>
          <w:p>
            <w:pPr>
              <w:spacing w:after="0" w:before="0"/>
            </w:pPr>
            <w:r/>
            <w:r>
              <w:rPr>
                <w:rFonts w:ascii="Arial" w:hAnsi="Arial" w:cs="Arial"/>
                <w:b w:val="0"/>
                <w:sz w:val="17"/>
              </w:rPr>
              <w:t>File/Text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Investors, round size, valuation, date</w:t>
            </w:r>
          </w:p>
        </w:tc>
      </w:tr>
      <w:tr>
        <w:tc>
          <w:tcPr>
            <w:tcW w:w="2900" w:type="dxa"/>
          </w:tcPr>
          <w:p>
            <w:pPr>
              <w:spacing w:after="0" w:before="0"/>
            </w:pPr>
            <w:r/>
            <w:r>
              <w:rPr>
                <w:rFonts w:ascii="Arial" w:hAnsi="Arial" w:cs="Arial"/>
                <w:b w:val="0"/>
                <w:sz w:val="17"/>
              </w:rPr>
              <w:t>Burn Rate &amp; Runway</w:t>
            </w:r>
          </w:p>
        </w:tc>
        <w:tc>
          <w:tcPr>
            <w:tcW w:w="1300" w:type="dxa"/>
          </w:tcPr>
          <w:p>
            <w:pPr>
              <w:spacing w:after="0" w:before="0"/>
            </w:pPr>
            <w:r/>
            <w:r>
              <w:rPr>
                <w:rFonts w:ascii="Arial" w:hAnsi="Arial" w:cs="Arial"/>
                <w:b w:val="0"/>
                <w:sz w:val="17"/>
              </w:rPr>
              <w:t>Currency/Number</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Monthly burn, months of runway</w:t>
            </w:r>
          </w:p>
        </w:tc>
      </w:tr>
      <w:tr>
        <w:tc>
          <w:tcPr>
            <w:tcW w:w="2900" w:type="dxa"/>
          </w:tcPr>
          <w:p>
            <w:pPr>
              <w:spacing w:after="0" w:before="0"/>
            </w:pPr>
            <w:r/>
            <w:r>
              <w:rPr>
                <w:rFonts w:ascii="Arial" w:hAnsi="Arial" w:cs="Arial"/>
                <w:b w:val="0"/>
                <w:sz w:val="17"/>
              </w:rPr>
              <w:t>Requested Facility Amount &amp; Structure</w:t>
            </w:r>
          </w:p>
        </w:tc>
        <w:tc>
          <w:tcPr>
            <w:tcW w:w="1300" w:type="dxa"/>
          </w:tcPr>
          <w:p>
            <w:pPr>
              <w:spacing w:after="0" w:before="0"/>
            </w:pPr>
            <w:r/>
            <w:r>
              <w:rPr>
                <w:rFonts w:ascii="Arial" w:hAnsi="Arial" w:cs="Arial"/>
                <w:b w:val="0"/>
                <w:sz w:val="17"/>
              </w:rPr>
              <w:t>Currency/Text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Term/revolving, with/without warrant coverage</w:t>
            </w:r>
          </w:p>
        </w:tc>
      </w:tr>
      <w:tr>
        <w:tc>
          <w:tcPr>
            <w:tcW w:w="2900" w:type="dxa"/>
          </w:tcPr>
          <w:p>
            <w:pPr>
              <w:spacing w:after="0" w:before="0"/>
            </w:pPr>
            <w:r/>
            <w:r>
              <w:rPr>
                <w:rFonts w:ascii="Arial" w:hAnsi="Arial" w:cs="Arial"/>
                <w:b w:val="0"/>
                <w:sz w:val="17"/>
              </w:rPr>
              <w:t>Covenant Monitoring</w:t>
            </w:r>
          </w:p>
        </w:tc>
        <w:tc>
          <w:tcPr>
            <w:tcW w:w="1300" w:type="dxa"/>
          </w:tcPr>
          <w:p>
            <w:pPr>
              <w:spacing w:after="0" w:before="0"/>
            </w:pPr>
            <w:r/>
            <w:r>
              <w:rPr>
                <w:rFonts w:ascii="Arial" w:hAnsi="Arial" w:cs="Arial"/>
                <w:b w:val="0"/>
                <w:sz w:val="17"/>
              </w:rPr>
              <w:t>Report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Periodic MIS/compliance certificate</w:t>
            </w:r>
          </w:p>
        </w:tc>
      </w:tr>
      <w:tr>
        <w:tc>
          <w:tcPr>
            <w:tcW w:w="2900" w:type="dxa"/>
          </w:tcPr>
          <w:p>
            <w:pPr>
              <w:spacing w:after="0" w:before="0"/>
            </w:pPr>
            <w:r/>
            <w:r>
              <w:rPr>
                <w:rFonts w:ascii="Arial" w:hAnsi="Arial" w:cs="Arial"/>
                <w:b w:val="0"/>
                <w:sz w:val="17"/>
              </w:rPr>
              <w:t>Warrant Exercise Tracking</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w:t>
            </w:r>
          </w:p>
        </w:tc>
      </w:tr>
    </w:tbl>
    <w:p/>
    <w:p>
      <w:r>
        <w:rPr>
          <w:rFonts w:ascii="Arial" w:hAnsi="Arial" w:cs="Arial"/>
          <w:b/>
          <w:i w:val="0"/>
          <w:sz w:val="22"/>
        </w:rPr>
        <w:t>Computation &amp; servicing:</w:t>
      </w:r>
    </w:p>
    <w:p>
      <w:r>
        <w:rPr>
          <w:rFonts w:ascii="Arial" w:hAnsi="Arial" w:cs="Arial"/>
          <w:b w:val="0"/>
          <w:i w:val="0"/>
          <w:sz w:val="22"/>
        </w:rPr>
        <w:t>Term loan or revolving facility; covenant monitoring on runway/burn; warrant valuation where applicable; sizing driven by runway and investor quality (Section 3.31).</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Down round / runway shortfall</w:t>
            </w:r>
          </w:p>
        </w:tc>
        <w:tc>
          <w:tcPr>
            <w:tcW w:w="6360" w:type="dxa"/>
          </w:tcPr>
          <w:p>
            <w:pPr>
              <w:spacing w:after="0" w:before="0"/>
            </w:pPr>
            <w:r/>
            <w:r>
              <w:rPr>
                <w:rFonts w:ascii="Arial" w:hAnsi="Arial" w:cs="Arial"/>
                <w:b w:val="0"/>
                <w:sz w:val="17"/>
              </w:rPr>
              <w:t>Covenant breach; re-negotiate</w:t>
            </w:r>
          </w:p>
        </w:tc>
      </w:tr>
      <w:tr>
        <w:tc>
          <w:tcPr>
            <w:tcW w:w="3000" w:type="dxa"/>
          </w:tcPr>
          <w:p>
            <w:pPr>
              <w:spacing w:after="0" w:before="0"/>
            </w:pPr>
            <w:r/>
            <w:r>
              <w:rPr>
                <w:rFonts w:ascii="Arial" w:hAnsi="Arial" w:cs="Arial"/>
                <w:b w:val="0"/>
                <w:sz w:val="17"/>
              </w:rPr>
              <w:t>Bridge to next round</w:t>
            </w:r>
          </w:p>
        </w:tc>
        <w:tc>
          <w:tcPr>
            <w:tcW w:w="6360" w:type="dxa"/>
          </w:tcPr>
          <w:p>
            <w:pPr>
              <w:spacing w:after="0" w:before="0"/>
            </w:pPr>
            <w:r/>
            <w:r>
              <w:rPr>
                <w:rFonts w:ascii="Arial" w:hAnsi="Arial" w:cs="Arial"/>
                <w:b w:val="0"/>
                <w:sz w:val="17"/>
              </w:rPr>
              <w:t>Structure accordingly</w:t>
            </w:r>
          </w:p>
        </w:tc>
      </w:tr>
      <w:tr>
        <w:tc>
          <w:tcPr>
            <w:tcW w:w="3000" w:type="dxa"/>
          </w:tcPr>
          <w:p>
            <w:pPr>
              <w:spacing w:after="0" w:before="0"/>
            </w:pPr>
            <w:r/>
            <w:r>
              <w:rPr>
                <w:rFonts w:ascii="Arial" w:hAnsi="Arial" w:cs="Arial"/>
                <w:b w:val="0"/>
                <w:sz w:val="17"/>
              </w:rPr>
              <w:t>Investor exit</w:t>
            </w:r>
          </w:p>
        </w:tc>
        <w:tc>
          <w:tcPr>
            <w:tcW w:w="6360" w:type="dxa"/>
          </w:tcPr>
          <w:p>
            <w:pPr>
              <w:spacing w:after="0" w:before="0"/>
            </w:pPr>
            <w:r/>
            <w:r>
              <w:rPr>
                <w:rFonts w:ascii="Arial" w:hAnsi="Arial" w:cs="Arial"/>
                <w:b w:val="0"/>
                <w:sz w:val="17"/>
              </w:rPr>
              <w:t>Re-assess support</w:t>
            </w:r>
          </w:p>
        </w:tc>
      </w:tr>
      <w:tr>
        <w:tc>
          <w:tcPr>
            <w:tcW w:w="3000" w:type="dxa"/>
          </w:tcPr>
          <w:p>
            <w:pPr>
              <w:spacing w:after="0" w:before="0"/>
            </w:pPr>
            <w:r/>
            <w:r>
              <w:rPr>
                <w:rFonts w:ascii="Arial" w:hAnsi="Arial" w:cs="Arial"/>
                <w:b w:val="0"/>
                <w:sz w:val="17"/>
              </w:rPr>
              <w:t>Warrant exercise</w:t>
            </w:r>
          </w:p>
        </w:tc>
        <w:tc>
          <w:tcPr>
            <w:tcW w:w="6360" w:type="dxa"/>
          </w:tcPr>
          <w:p>
            <w:pPr>
              <w:spacing w:after="0" w:before="0"/>
            </w:pPr>
            <w:r/>
            <w:r>
              <w:rPr>
                <w:rFonts w:ascii="Arial" w:hAnsi="Arial" w:cs="Arial"/>
                <w:b w:val="0"/>
                <w:sz w:val="17"/>
              </w:rPr>
              <w:t>Track and value</w:t>
            </w:r>
          </w:p>
        </w:tc>
      </w:tr>
      <w:tr>
        <w:tc>
          <w:tcPr>
            <w:tcW w:w="3000" w:type="dxa"/>
          </w:tcPr>
          <w:p>
            <w:pPr>
              <w:spacing w:after="0" w:before="0"/>
            </w:pPr>
            <w:r/>
            <w:r>
              <w:rPr>
                <w:rFonts w:ascii="Arial" w:hAnsi="Arial" w:cs="Arial"/>
                <w:b w:val="0"/>
                <w:sz w:val="17"/>
              </w:rPr>
              <w:t>Default (limited collateral)</w:t>
            </w:r>
          </w:p>
        </w:tc>
        <w:tc>
          <w:tcPr>
            <w:tcW w:w="6360" w:type="dxa"/>
          </w:tcPr>
          <w:p>
            <w:pPr>
              <w:spacing w:after="0" w:before="0"/>
            </w:pPr>
            <w:r/>
            <w:r>
              <w:rPr>
                <w:rFonts w:ascii="Arial" w:hAnsi="Arial" w:cs="Arial"/>
                <w:b w:val="0"/>
                <w:sz w:val="17"/>
              </w:rPr>
              <w:t>Enforce covenants; recovery</w:t>
            </w:r>
          </w:p>
        </w:tc>
      </w:tr>
    </w:tbl>
    <w:p/>
    <w:p>
      <w:r>
        <w:rPr>
          <w:rFonts w:ascii="Arial" w:hAnsi="Arial" w:cs="Arial"/>
          <w:b w:val="0"/>
          <w:i w:val="0"/>
          <w:sz w:val="22"/>
        </w:rPr>
        <w:t>Documents &amp; integrations: Term sheet, venture-debt agreement, warrant instrument, covenants, KFS; integrations — cap-table/data-room, bureau (commercial).</w:t>
      </w:r>
    </w:p>
    <w:p>
      <w:pPr>
        <w:pStyle w:val="Heading2"/>
      </w:pPr>
      <w:r>
        <w:t>87.30 Renewable Energy / Solar Loan [SOLAR]</w:t>
      </w:r>
    </w:p>
    <w:p>
      <w:r>
        <w:rPr>
          <w:rFonts w:ascii="Arial" w:hAnsi="Arial" w:cs="Arial"/>
          <w:b w:val="0"/>
          <w:i w:val="0"/>
          <w:sz w:val="22"/>
        </w:rPr>
        <w:t>Financing for rooftop solar installations (residential and commercial/industrial) and other small renewable-energy assets, often with government-subsidy linkage.</w:t>
      </w:r>
    </w:p>
    <w:p>
      <w:r>
        <w:rPr>
          <w:rFonts w:ascii="Arial" w:hAnsi="Arial" w:cs="Arial"/>
          <w:b/>
          <w:i w:val="0"/>
          <w:sz w:val="22"/>
        </w:rPr>
        <w:t>Regulatory, eligibility &amp; policy:</w:t>
      </w:r>
    </w:p>
    <w:p>
      <w:pPr>
        <w:pStyle w:val="ListParagraph"/>
        <w:numPr>
          <w:ilvl w:val="0"/>
          <w:numId w:val="2"/>
        </w:numPr>
      </w:pPr>
      <w:r>
        <w:rPr>
          <w:rFonts w:ascii="Arial" w:hAnsi="Arial" w:cs="Arial"/>
          <w:sz w:val="22"/>
        </w:rPr>
        <w:t>Segment (residential rooftop / C&amp;I rooftop / solar water heater); subsidy linkage (e.g., PM Surya Ghar or successor schemes, Section 3.9); LTV of system cost.</w:t>
      </w:r>
    </w:p>
    <w:p>
      <w:r>
        <w:rPr>
          <w:rFonts w:ascii="Arial" w:hAnsi="Arial" w:cs="Arial"/>
          <w:b/>
          <w:i w:val="0"/>
          <w:sz w:val="22"/>
        </w:rPr>
        <w:t>Application &amp; collateral fields (product-specific; additional to the common library, Section 72.2):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Applicant KYC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Individual or business</w:t>
            </w:r>
          </w:p>
        </w:tc>
      </w:tr>
      <w:tr>
        <w:tc>
          <w:tcPr>
            <w:tcW w:w="2900" w:type="dxa"/>
          </w:tcPr>
          <w:p>
            <w:pPr>
              <w:spacing w:after="0" w:before="0"/>
            </w:pPr>
            <w:r/>
            <w:r>
              <w:rPr>
                <w:rFonts w:ascii="Arial" w:hAnsi="Arial" w:cs="Arial"/>
                <w:b w:val="0"/>
                <w:sz w:val="17"/>
              </w:rPr>
              <w:t>System Specification</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Capacity (kW), vendor/EPC, system cost</w:t>
            </w:r>
          </w:p>
        </w:tc>
      </w:tr>
      <w:tr>
        <w:tc>
          <w:tcPr>
            <w:tcW w:w="2900" w:type="dxa"/>
          </w:tcPr>
          <w:p>
            <w:pPr>
              <w:spacing w:after="0" w:before="0"/>
            </w:pPr>
            <w:r/>
            <w:r>
              <w:rPr>
                <w:rFonts w:ascii="Arial" w:hAnsi="Arial" w:cs="Arial"/>
                <w:b w:val="0"/>
                <w:sz w:val="17"/>
              </w:rPr>
              <w:t>Subsidy Application Reference</w:t>
            </w:r>
          </w:p>
        </w:tc>
        <w:tc>
          <w:tcPr>
            <w:tcW w:w="1300" w:type="dxa"/>
          </w:tcPr>
          <w:p>
            <w:pPr>
              <w:spacing w:after="0" w:before="0"/>
            </w:pPr>
            <w:r/>
            <w:r>
              <w:rPr>
                <w:rFonts w:ascii="Arial" w:hAnsi="Arial" w:cs="Arial"/>
                <w:b w:val="0"/>
                <w:sz w:val="17"/>
              </w:rPr>
              <w:t>Text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Where scheme-linked</w:t>
            </w:r>
          </w:p>
        </w:tc>
      </w:tr>
      <w:tr>
        <w:tc>
          <w:tcPr>
            <w:tcW w:w="2900" w:type="dxa"/>
          </w:tcPr>
          <w:p>
            <w:pPr>
              <w:spacing w:after="0" w:before="0"/>
            </w:pPr>
            <w:r/>
            <w:r>
              <w:rPr>
                <w:rFonts w:ascii="Arial" w:hAnsi="Arial" w:cs="Arial"/>
                <w:b w:val="0"/>
                <w:sz w:val="17"/>
              </w:rPr>
              <w:t>Requested Loan Amount</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Net of subsidy if claimed upfront</w:t>
            </w:r>
          </w:p>
        </w:tc>
      </w:tr>
      <w:tr>
        <w:tc>
          <w:tcPr>
            <w:tcW w:w="2900" w:type="dxa"/>
          </w:tcPr>
          <w:p>
            <w:pPr>
              <w:spacing w:after="0" w:before="0"/>
            </w:pPr>
            <w:r/>
            <w:r>
              <w:rPr>
                <w:rFonts w:ascii="Arial" w:hAnsi="Arial" w:cs="Arial"/>
                <w:b w:val="0"/>
                <w:sz w:val="17"/>
              </w:rPr>
              <w:t>Hypothecation of Solar Equipment</w:t>
            </w:r>
          </w:p>
        </w:tc>
        <w:tc>
          <w:tcPr>
            <w:tcW w:w="1300" w:type="dxa"/>
          </w:tcPr>
          <w:p>
            <w:pPr>
              <w:spacing w:after="0" w:before="0"/>
            </w:pPr>
            <w:r/>
            <w:r>
              <w:rPr>
                <w:rFonts w:ascii="Arial" w:hAnsi="Arial" w:cs="Arial"/>
                <w:b w:val="0"/>
                <w:sz w:val="17"/>
              </w:rPr>
              <w:t>Status</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t>
            </w:r>
          </w:p>
        </w:tc>
      </w:tr>
      <w:tr>
        <w:tc>
          <w:tcPr>
            <w:tcW w:w="2900" w:type="dxa"/>
          </w:tcPr>
          <w:p>
            <w:pPr>
              <w:spacing w:after="0" w:before="0"/>
            </w:pPr>
            <w:r/>
            <w:r>
              <w:rPr>
                <w:rFonts w:ascii="Arial" w:hAnsi="Arial" w:cs="Arial"/>
                <w:b w:val="0"/>
                <w:sz w:val="17"/>
              </w:rPr>
              <w:t>Net-Metering / Grid-Connection Certificate</w:t>
            </w:r>
          </w:p>
        </w:tc>
        <w:tc>
          <w:tcPr>
            <w:tcW w:w="1300" w:type="dxa"/>
          </w:tcPr>
          <w:p>
            <w:pPr>
              <w:spacing w:after="0" w:before="0"/>
            </w:pPr>
            <w:r/>
            <w:r>
              <w:rPr>
                <w:rFonts w:ascii="Arial" w:hAnsi="Arial" w:cs="Arial"/>
                <w:b w:val="0"/>
                <w:sz w:val="17"/>
              </w:rPr>
              <w:t>Document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Grid-connected systems</w:t>
            </w:r>
          </w:p>
        </w:tc>
      </w:tr>
    </w:tbl>
    <w:p/>
    <w:p>
      <w:r>
        <w:rPr>
          <w:rFonts w:ascii="Arial" w:hAnsi="Arial" w:cs="Arial"/>
          <w:b/>
          <w:i w:val="0"/>
          <w:sz w:val="22"/>
        </w:rPr>
        <w:t>Computation &amp; servicing:</w:t>
      </w:r>
    </w:p>
    <w:p>
      <w:r>
        <w:rPr>
          <w:rFonts w:ascii="Arial" w:hAnsi="Arial" w:cs="Arial"/>
          <w:b w:val="0"/>
          <w:i w:val="0"/>
          <w:sz w:val="22"/>
        </w:rPr>
        <w:t>Reducing-balance EMI; LTV of system cost net of subsidy; optional green concession; subsidy tracked to claim status (Section 3.9).</w:t>
      </w:r>
    </w:p>
    <w:p>
      <w:r>
        <w:rPr>
          <w:rFonts w:ascii="Arial" w:hAnsi="Arial" w:cs="Arial"/>
          <w:b/>
          <w:i w:val="0"/>
          <w:sz w:val="22"/>
        </w:rPr>
        <w:t>Key scenarios &amp; edge cases: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000"/>
        <w:gridCol w:w="6360"/>
      </w:tblGrid>
      <w:tr>
        <w:tc>
          <w:tcPr>
            <w:tcW w:w="3000" w:type="dxa"/>
            <w:shd w:val="clear" w:color="auto" w:fill="1F4E78"/>
          </w:tcPr>
          <w:p>
            <w:pPr>
              <w:spacing w:after="0" w:before="0"/>
            </w:pPr>
            <w:r/>
            <w:r>
              <w:rPr>
                <w:rFonts w:ascii="Arial" w:hAnsi="Arial" w:cs="Arial"/>
                <w:b/>
                <w:color w:val="FFFFFF"/>
                <w:sz w:val="17"/>
              </w:rPr>
              <w:t>Scenario</w:t>
            </w:r>
          </w:p>
        </w:tc>
        <w:tc>
          <w:tcPr>
            <w:tcW w:w="6360" w:type="dxa"/>
            <w:shd w:val="clear" w:color="auto" w:fill="1F4E78"/>
          </w:tcPr>
          <w:p>
            <w:pPr>
              <w:spacing w:after="0" w:before="0"/>
            </w:pPr>
            <w:r/>
            <w:r>
              <w:rPr>
                <w:rFonts w:ascii="Arial" w:hAnsi="Arial" w:cs="Arial"/>
                <w:b/>
                <w:color w:val="FFFFFF"/>
                <w:sz w:val="17"/>
              </w:rPr>
              <w:t>Expected handling</w:t>
            </w:r>
          </w:p>
        </w:tc>
      </w:tr>
      <w:tr>
        <w:tc>
          <w:tcPr>
            <w:tcW w:w="3000" w:type="dxa"/>
          </w:tcPr>
          <w:p>
            <w:pPr>
              <w:spacing w:after="0" w:before="0"/>
            </w:pPr>
            <w:r/>
            <w:r>
              <w:rPr>
                <w:rFonts w:ascii="Arial" w:hAnsi="Arial" w:cs="Arial"/>
                <w:b w:val="0"/>
                <w:sz w:val="17"/>
              </w:rPr>
              <w:t>Subsidy delay / rejection</w:t>
            </w:r>
          </w:p>
        </w:tc>
        <w:tc>
          <w:tcPr>
            <w:tcW w:w="6360" w:type="dxa"/>
          </w:tcPr>
          <w:p>
            <w:pPr>
              <w:spacing w:after="0" w:before="0"/>
            </w:pPr>
            <w:r/>
            <w:r>
              <w:rPr>
                <w:rFonts w:ascii="Arial" w:hAnsi="Arial" w:cs="Arial"/>
                <w:b w:val="0"/>
                <w:sz w:val="17"/>
              </w:rPr>
              <w:t>Adjust exposure; borrower funds gap</w:t>
            </w:r>
          </w:p>
        </w:tc>
      </w:tr>
      <w:tr>
        <w:tc>
          <w:tcPr>
            <w:tcW w:w="3000" w:type="dxa"/>
          </w:tcPr>
          <w:p>
            <w:pPr>
              <w:spacing w:after="0" w:before="0"/>
            </w:pPr>
            <w:r/>
            <w:r>
              <w:rPr>
                <w:rFonts w:ascii="Arial" w:hAnsi="Arial" w:cs="Arial"/>
                <w:b w:val="0"/>
                <w:sz w:val="17"/>
              </w:rPr>
              <w:t>System underperformance</w:t>
            </w:r>
          </w:p>
        </w:tc>
        <w:tc>
          <w:tcPr>
            <w:tcW w:w="6360" w:type="dxa"/>
          </w:tcPr>
          <w:p>
            <w:pPr>
              <w:spacing w:after="0" w:before="0"/>
            </w:pPr>
            <w:r/>
            <w:r>
              <w:rPr>
                <w:rFonts w:ascii="Arial" w:hAnsi="Arial" w:cs="Arial"/>
                <w:b w:val="0"/>
                <w:sz w:val="17"/>
              </w:rPr>
              <w:t>Warranty/EPC recourse</w:t>
            </w:r>
          </w:p>
        </w:tc>
      </w:tr>
      <w:tr>
        <w:tc>
          <w:tcPr>
            <w:tcW w:w="3000" w:type="dxa"/>
          </w:tcPr>
          <w:p>
            <w:pPr>
              <w:spacing w:after="0" w:before="0"/>
            </w:pPr>
            <w:r/>
            <w:r>
              <w:rPr>
                <w:rFonts w:ascii="Arial" w:hAnsi="Arial" w:cs="Arial"/>
                <w:b w:val="0"/>
                <w:sz w:val="17"/>
              </w:rPr>
              <w:t>EPC default</w:t>
            </w:r>
          </w:p>
        </w:tc>
        <w:tc>
          <w:tcPr>
            <w:tcW w:w="6360" w:type="dxa"/>
          </w:tcPr>
          <w:p>
            <w:pPr>
              <w:spacing w:after="0" w:before="0"/>
            </w:pPr>
            <w:r/>
            <w:r>
              <w:rPr>
                <w:rFonts w:ascii="Arial" w:hAnsi="Arial" w:cs="Arial"/>
                <w:b w:val="0"/>
                <w:sz w:val="17"/>
              </w:rPr>
              <w:t>Coordinate; protect borrower</w:t>
            </w:r>
          </w:p>
        </w:tc>
      </w:tr>
      <w:tr>
        <w:tc>
          <w:tcPr>
            <w:tcW w:w="3000" w:type="dxa"/>
          </w:tcPr>
          <w:p>
            <w:pPr>
              <w:spacing w:after="0" w:before="0"/>
            </w:pPr>
            <w:r/>
            <w:r>
              <w:rPr>
                <w:rFonts w:ascii="Arial" w:hAnsi="Arial" w:cs="Arial"/>
                <w:b w:val="0"/>
                <w:sz w:val="17"/>
              </w:rPr>
              <w:t>Net-metering approval delay</w:t>
            </w:r>
          </w:p>
        </w:tc>
        <w:tc>
          <w:tcPr>
            <w:tcW w:w="6360" w:type="dxa"/>
          </w:tcPr>
          <w:p>
            <w:pPr>
              <w:spacing w:after="0" w:before="0"/>
            </w:pPr>
            <w:r/>
            <w:r>
              <w:rPr>
                <w:rFonts w:ascii="Arial" w:hAnsi="Arial" w:cs="Arial"/>
                <w:b w:val="0"/>
                <w:sz w:val="17"/>
              </w:rPr>
              <w:t>Hold grid-linked benefits</w:t>
            </w:r>
          </w:p>
        </w:tc>
      </w:tr>
      <w:tr>
        <w:tc>
          <w:tcPr>
            <w:tcW w:w="3000" w:type="dxa"/>
          </w:tcPr>
          <w:p>
            <w:pPr>
              <w:spacing w:after="0" w:before="0"/>
            </w:pPr>
            <w:r/>
            <w:r>
              <w:rPr>
                <w:rFonts w:ascii="Arial" w:hAnsi="Arial" w:cs="Arial"/>
                <w:b w:val="0"/>
                <w:sz w:val="17"/>
              </w:rPr>
              <w:t>Equipment warranty claim</w:t>
            </w:r>
          </w:p>
        </w:tc>
        <w:tc>
          <w:tcPr>
            <w:tcW w:w="6360" w:type="dxa"/>
          </w:tcPr>
          <w:p>
            <w:pPr>
              <w:spacing w:after="0" w:before="0"/>
            </w:pPr>
            <w:r/>
            <w:r>
              <w:rPr>
                <w:rFonts w:ascii="Arial" w:hAnsi="Arial" w:cs="Arial"/>
                <w:b w:val="0"/>
                <w:sz w:val="17"/>
              </w:rPr>
              <w:t>Vendor/OEM process</w:t>
            </w:r>
          </w:p>
        </w:tc>
      </w:tr>
    </w:tbl>
    <w:p/>
    <w:p>
      <w:r>
        <w:rPr>
          <w:rFonts w:ascii="Arial" w:hAnsi="Arial" w:cs="Arial"/>
          <w:b w:val="0"/>
          <w:i w:val="0"/>
          <w:sz w:val="22"/>
        </w:rPr>
        <w:t>Documents &amp; integrations: Sanction, agreement, EPC/vendor docs, KFS; integrations — subsidy portal, EPC/vendor, DISCOM (net-metering).</w:t>
      </w:r>
    </w:p>
    <w:p>
      <w:r>
        <w:rPr>
          <w:rFonts w:ascii="Arial" w:hAnsi="Arial" w:cs="Arial"/>
          <w:b w:val="0"/>
          <w:i w:val="0"/>
          <w:sz w:val="22"/>
        </w:rPr>
      </w:r>
    </w:p>
    <w:p>
      <w:r>
        <w:rPr>
          <w:rFonts w:ascii="Arial" w:hAnsi="Arial" w:cs="Arial"/>
          <w:b w:val="0"/>
          <w:i/>
          <w:sz w:val="22"/>
        </w:rPr>
        <w:t>Sections 88–98 (Version 5.0) close the functional and engineering gaps identified in the v4.0 architecture review: payment appropriation, write-off/OTS, field cash handling, deceased-borrower settlement, party master-data management, offline field-app synchronisation, the production event architecture, configuration governance, scorecard champion–challenger, archival/purge under the DPDP Act, and borrower-portal session security. Each section follows the money-precision standard of Section 28 and the audit requirements of Section 34.</w:t>
      </w:r>
    </w:p>
    <w:p>
      <w:pPr>
        <w:pStyle w:val="Heading1"/>
      </w:pPr>
      <w:r>
        <w:t>88. Payment Appropriation, Excess Funds &amp; Refunds</w:t>
      </w:r>
    </w:p>
    <w:p>
      <w:r>
        <w:rPr>
          <w:rFonts w:ascii="Arial" w:hAnsi="Arial" w:cs="Arial"/>
          <w:b w:val="0"/>
          <w:i w:val="0"/>
          <w:sz w:val="22"/>
        </w:rPr>
        <w:t>Every credit received against a loan account must be applied in a deterministic, disclosed, and configurable order. This section is the single reference for appropriation; the servicing engine (Section 6), the calculation engine (Section 45) and NPA income recognition (Section 33) consume it. The appropriation order is disclosed in the KFS (Section 17.1) per the RBI Fair Practices Code.</w:t>
      </w:r>
    </w:p>
    <w:p>
      <w:pPr>
        <w:pStyle w:val="Heading2"/>
      </w:pPr>
      <w:r>
        <w:t>88.1 Appropriation Order (Standard Accounts)</w:t>
      </w:r>
    </w:p>
    <w:p>
      <w:r>
        <w:rPr>
          <w:rFonts w:ascii="Arial" w:hAnsi="Arial" w:cs="Arial"/>
          <w:b w:val="0"/>
          <w:i w:val="0"/>
          <w:sz w:val="22"/>
        </w:rPr>
        <w:t>The default order below is configurable per product in the Product Master and is versioned/effective-dated (Section 39.2); a loan always applies the order in force under its booked config_version.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200"/>
        <w:gridCol w:w="3360"/>
      </w:tblGrid>
      <w:tr>
        <w:tc>
          <w:tcPr>
            <w:tcW w:type="dxa" w:w="9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Priority</w:t>
            </w:r>
          </w:p>
        </w:tc>
        <w:tc>
          <w:tcPr>
            <w:tcW w:type="dxa" w:w="29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Applied to</w:t>
            </w:r>
          </w:p>
        </w:tc>
        <w:tc>
          <w:tcPr>
            <w:tcW w:type="dxa" w:w="22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GL reference</w:t>
            </w:r>
          </w:p>
        </w:tc>
        <w:tc>
          <w:tcPr>
            <w:tcW w:type="dxa" w:w="33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Notes</w:t>
            </w:r>
          </w:p>
        </w:tc>
      </w:tr>
      <w:tr>
        <w:tc>
          <w:tcPr>
            <w:tcW w:type="dxa" w:w="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1</w:t>
            </w:r>
          </w:p>
        </w:tc>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Statutory dues recoverable from borrower (e.g., unpaid stamp/GST on charges)</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Charges receivable</w:t>
            </w:r>
          </w:p>
        </w:tc>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Only where contractually recoverable</w:t>
            </w:r>
          </w:p>
        </w:tc>
      </w:tr>
      <w:tr>
        <w:tc>
          <w:tcPr>
            <w:tcW w:type="dxa" w:w="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2</w:t>
            </w:r>
          </w:p>
        </w:tc>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Bounce/other event charges &amp; fees (oldest first)</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Fee income / receivable</w:t>
            </w:r>
          </w:p>
        </w:tc>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Section 45.5 fee heads</w:t>
            </w:r>
          </w:p>
        </w:tc>
      </w:tr>
      <w:tr>
        <w:tc>
          <w:tcPr>
            <w:tcW w:type="dxa" w:w="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3</w:t>
            </w:r>
          </w:p>
        </w:tc>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Penal charges (oldest first)</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Penal charge receivable</w:t>
            </w:r>
          </w:p>
        </w:tc>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Not capitalised — Section 24.7 / 45.6</w:t>
            </w:r>
          </w:p>
        </w:tc>
      </w:tr>
      <w:tr>
        <w:tc>
          <w:tcPr>
            <w:tcW w:type="dxa" w:w="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4</w:t>
            </w:r>
          </w:p>
        </w:tc>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Overdue interest (oldest installment first)</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Interest receivable</w:t>
            </w:r>
          </w:p>
        </w:tc>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FIFO by due date</w:t>
            </w:r>
          </w:p>
        </w:tc>
      </w:tr>
      <w:tr>
        <w:tc>
          <w:tcPr>
            <w:tcW w:type="dxa" w:w="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5</w:t>
            </w:r>
          </w:p>
        </w:tc>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Overdue principal (oldest installment first)</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Loan principal</w:t>
            </w:r>
          </w:p>
        </w:tc>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FIFO by due date</w:t>
            </w:r>
          </w:p>
        </w:tc>
      </w:tr>
      <w:tr>
        <w:tc>
          <w:tcPr>
            <w:tcW w:type="dxa" w:w="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6</w:t>
            </w:r>
          </w:p>
        </w:tc>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Current-due interest, then current-due principal</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As above</w:t>
            </w:r>
          </w:p>
        </w:tc>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w:t>
            </w:r>
          </w:p>
        </w:tc>
      </w:tr>
      <w:tr>
        <w:tc>
          <w:tcPr>
            <w:tcW w:type="dxa" w:w="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7</w:t>
            </w:r>
          </w:p>
        </w:tc>
        <w:tc>
          <w:tcPr>
            <w:tcW w:type="dxa" w:w="29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Residual → excess/unapplied funds (88.3)</w:t>
            </w:r>
          </w:p>
        </w:tc>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Excess-money sub-ledger</w:t>
            </w:r>
          </w:p>
        </w:tc>
        <w:tc>
          <w:tcPr>
            <w:tcW w:type="dxa" w:w="3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Never silently absorbed</w:t>
            </w:r>
          </w:p>
        </w:tc>
      </w:tr>
    </w:tbl>
    <w:p>
      <w:pPr>
        <w:pStyle w:val="ListParagraph"/>
        <w:numPr>
          <w:ilvl w:val="0"/>
          <w:numId w:val="2"/>
        </w:numPr>
        <w:spacing w:after="60"/>
      </w:pPr>
      <w:r>
        <w:rPr>
          <w:rFonts w:ascii="Arial" w:hAnsi="Arial" w:cs="Arial"/>
          <w:b w:val="0"/>
          <w:i w:val="0"/>
          <w:sz w:val="22"/>
        </w:rPr>
        <w:t>Partial payments: within each priority bucket, dues are settled oldest-first (FIFO by due date); DPD and bucket are recomputed immediately after posting (Section 9.4).</w:t>
      </w:r>
    </w:p>
    <w:p>
      <w:pPr>
        <w:pStyle w:val="ListParagraph"/>
        <w:numPr>
          <w:ilvl w:val="0"/>
          <w:numId w:val="2"/>
        </w:numPr>
        <w:spacing w:after="60"/>
      </w:pPr>
      <w:r>
        <w:rPr>
          <w:rFonts w:ascii="Arial" w:hAnsi="Arial" w:cs="Arial"/>
          <w:b w:val="0"/>
          <w:i w:val="0"/>
          <w:sz w:val="22"/>
        </w:rPr>
        <w:t>NPA accounts: recoveries are appropriated per the Board-approved policy referenced in Section 33 (typically charges → interest suspense realisation → principal, or principal-first where policy dictates); the engine supports both orders as a product/policy parameter and the applied order is stored on each posting for audit.</w:t>
      </w:r>
    </w:p>
    <w:p>
      <w:pPr>
        <w:pStyle w:val="ListParagraph"/>
        <w:numPr>
          <w:ilvl w:val="0"/>
          <w:numId w:val="2"/>
        </w:numPr>
        <w:spacing w:after="60"/>
      </w:pPr>
      <w:r>
        <w:rPr>
          <w:rFonts w:ascii="Arial" w:hAnsi="Arial" w:cs="Arial"/>
          <w:b w:val="0"/>
          <w:i w:val="0"/>
          <w:sz w:val="22"/>
        </w:rPr>
        <w:t>Restructured/OTS accounts: appropriation follows the settlement schedule terms (Sections 32.2, 89.4), overriding the standard order for scheduled settlement receipts.</w:t>
      </w:r>
    </w:p>
    <w:p>
      <w:pPr>
        <w:pStyle w:val="Heading2"/>
      </w:pPr>
      <w:r>
        <w:t>88.2 Excess &amp; Unapplied Funds</w:t>
      </w:r>
    </w:p>
    <w:p>
      <w:pPr>
        <w:pStyle w:val="ListParagraph"/>
        <w:numPr>
          <w:ilvl w:val="0"/>
          <w:numId w:val="2"/>
        </w:numPr>
        <w:spacing w:after="60"/>
      </w:pPr>
      <w:r>
        <w:rPr>
          <w:rFonts w:ascii="Arial" w:hAnsi="Arial" w:cs="Arial"/>
          <w:b w:val="0"/>
          <w:i w:val="0"/>
          <w:sz w:val="22"/>
        </w:rPr>
        <w:t>Any residual after full appropriation is credited to a per-loan Excess Money sub-ledger (GL: Excess/Unapplied Funds — liability), never to income.</w:t>
      </w:r>
    </w:p>
    <w:p>
      <w:pPr>
        <w:pStyle w:val="ListParagraph"/>
        <w:numPr>
          <w:ilvl w:val="0"/>
          <w:numId w:val="2"/>
        </w:numPr>
        <w:spacing w:after="60"/>
      </w:pPr>
      <w:r>
        <w:rPr>
          <w:rFonts w:ascii="Arial" w:hAnsi="Arial" w:cs="Arial"/>
          <w:b w:val="0"/>
          <w:i w:val="0"/>
          <w:sz w:val="22"/>
        </w:rPr>
        <w:t>Auto-disposition rules (product-configurable): (a) hold and auto-apply to the next installment on its due date; (b) treat as part-prepayment per Section 24.8 with borrower confirmation via portal/SMS; (c) auto-refund where the excess exceeds a threshold (default: &gt; 1 EMI or &gt; ₹5,000, whichever is lower) or the account is closed.</w:t>
      </w:r>
    </w:p>
    <w:p>
      <w:pPr>
        <w:pStyle w:val="ListParagraph"/>
        <w:numPr>
          <w:ilvl w:val="0"/>
          <w:numId w:val="2"/>
        </w:numPr>
        <w:spacing w:after="60"/>
      </w:pPr>
      <w:r>
        <w:rPr>
          <w:rFonts w:ascii="Arial" w:hAnsi="Arial" w:cs="Arial"/>
          <w:b w:val="0"/>
          <w:i w:val="0"/>
          <w:sz w:val="22"/>
        </w:rPr>
        <w:t>An ageing report on unapplied funds runs monthly; balances older than 90 days trigger mandatory refund workflow; unclaimed balances follow the dormancy/escheat policy and remain on the balance sheet until settled.</w:t>
      </w:r>
    </w:p>
    <w:p>
      <w:pPr>
        <w:pStyle w:val="ListParagraph"/>
        <w:numPr>
          <w:ilvl w:val="0"/>
          <w:numId w:val="2"/>
        </w:numPr>
        <w:spacing w:after="60"/>
      </w:pPr>
      <w:r>
        <w:rPr>
          <w:rFonts w:ascii="Arial" w:hAnsi="Arial" w:cs="Arial"/>
          <w:b w:val="0"/>
          <w:i w:val="0"/>
          <w:sz w:val="22"/>
        </w:rPr>
        <w:t>Payments that cannot be matched to a loan (wrong reference, unknown VPA) land in a Payment Suspense queue with a 48-hour match SLA and maker-checker manual matching; suspense ageing is a day-end exception report (Section 8.3).</w:t>
      </w:r>
    </w:p>
    <w:p>
      <w:pPr>
        <w:pStyle w:val="Heading2"/>
      </w:pPr>
      <w:r>
        <w:t>88.3 Refund Workflow</w:t>
      </w:r>
    </w:p>
    <w:p>
      <w:pPr>
        <w:pStyle w:val="ListParagraph"/>
        <w:numPr>
          <w:ilvl w:val="0"/>
          <w:numId w:val="2"/>
        </w:numPr>
        <w:spacing w:after="60"/>
      </w:pPr>
      <w:r>
        <w:rPr>
          <w:rFonts w:ascii="Arial" w:hAnsi="Arial" w:cs="Arial"/>
          <w:b w:val="0"/>
          <w:i w:val="0"/>
          <w:sz w:val="22"/>
        </w:rPr>
        <w:t>Refunds (excess money, foreclosure residual, charge reversal, insurance premium refund on cancellation) are maker-checker approved, paid only to the borrower’s registered/source bank account, and posted as: Dr. Excess/Charge account, Cr. Bank.</w:t>
      </w:r>
    </w:p>
    <w:p>
      <w:pPr>
        <w:pStyle w:val="ListParagraph"/>
        <w:numPr>
          <w:ilvl w:val="0"/>
          <w:numId w:val="2"/>
        </w:numPr>
        <w:spacing w:after="60"/>
      </w:pPr>
      <w:r>
        <w:rPr>
          <w:rFonts w:ascii="Arial" w:hAnsi="Arial" w:cs="Arial"/>
          <w:b w:val="0"/>
          <w:i w:val="0"/>
          <w:sz w:val="22"/>
        </w:rPr>
        <w:t>TAT: 7 working days from trigger; foreclosure excess is auto-refunded before NOC issuance (Section 4 Closure stage blocks NOC while excess &gt; 0).</w:t>
      </w:r>
    </w:p>
    <w:p>
      <w:pPr>
        <w:pStyle w:val="ListParagraph"/>
        <w:numPr>
          <w:ilvl w:val="0"/>
          <w:numId w:val="2"/>
        </w:numPr>
        <w:spacing w:after="60"/>
      </w:pPr>
      <w:r>
        <w:rPr>
          <w:rFonts w:ascii="Arial" w:hAnsi="Arial" w:cs="Arial"/>
          <w:b w:val="0"/>
          <w:i w:val="0"/>
          <w:sz w:val="22"/>
        </w:rPr>
        <w:t>Every refund emits a refund.processed domain event (Section 94) and a borrower notification with reason code.</w:t>
      </w:r>
    </w:p>
    <w:p>
      <w:pPr>
        <w:pStyle w:val="Heading2"/>
      </w:pPr>
      <w:r>
        <w:t>88.4 Worked Example (Golden Test Vector)</w:t>
      </w:r>
    </w:p>
    <w:p>
      <w:r>
        <w:rPr>
          <w:rFonts w:ascii="Arial" w:hAnsi="Arial" w:cs="Arial"/>
          <w:b w:val="0"/>
          <w:i w:val="0"/>
          <w:sz w:val="22"/>
        </w:rPr>
        <w:t>Due today: EMI ₹10,000 (interest ₹6,200 + principal ₹3,800), penal charge ₹250, bounce charge ₹590 (incl. GST). Payment received: ₹9,000. Application: bounce charge 590 → penal 250 → interest 6,200 → principal 1,960 (partial). Result: principal overdue ₹1,840; DPD continues on the unpaid principal portion; no amount is posted to excess. This vector is added to the Section 41.2 regression suite.</w:t>
      </w:r>
    </w:p>
    <w:p>
      <w:pPr>
        <w:pStyle w:val="Heading1"/>
      </w:pPr>
      <w:r>
        <w:t>89. Write-Off, One-Time Settlement (OTS) &amp; Post-Write-Off Recovery</w:t>
      </w:r>
    </w:p>
    <w:p>
      <w:r>
        <w:rPr>
          <w:rFonts w:ascii="Arial" w:hAnsi="Arial" w:cs="Arial"/>
          <w:b w:val="0"/>
          <w:i w:val="0"/>
          <w:sz w:val="22"/>
        </w:rPr>
        <w:t>Section 8.2 defines write-off postings; this section adds the workflow, states and controls. The Loan Account state machine (Sections 25.2, 44.8) gains the states WRITE_OFF_APPROVED, WRITTEN_OFF and OTS_IN_PROGRESS.</w:t>
      </w:r>
    </w:p>
    <w:p>
      <w:pPr>
        <w:pStyle w:val="Heading2"/>
      </w:pPr>
      <w:r>
        <w:t>89.1 Write-Off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360"/>
        <w:gridCol w:w="2000"/>
      </w:tblGrid>
      <w:tr>
        <w:tc>
          <w:tcPr>
            <w:tcW w:type="dxa" w:w="18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Type</w:t>
            </w:r>
          </w:p>
        </w:tc>
        <w:tc>
          <w:tcPr>
            <w:tcW w:type="dxa" w:w="32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Meaning</w:t>
            </w:r>
          </w:p>
        </w:tc>
        <w:tc>
          <w:tcPr>
            <w:tcW w:type="dxa" w:w="23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Books</w:t>
            </w:r>
          </w:p>
        </w:tc>
        <w:tc>
          <w:tcPr>
            <w:tcW w:type="dxa" w:w="20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Recovery right</w:t>
            </w:r>
          </w:p>
        </w:tc>
      </w:tr>
      <w:tr>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Prudential / technical write-off</w:t>
            </w:r>
          </w:p>
        </w:tc>
        <w:tc>
          <w:tcPr>
            <w:tcW w:type="dxa" w:w="3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Loan written off in the books (usually fully provided) while recovery efforts continue</w:t>
            </w:r>
          </w:p>
        </w:tc>
        <w:tc>
          <w:tcPr>
            <w:tcW w:type="dxa" w:w="2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Loan removed from advances; tracked in a memorandum (shadow) sub-ledger</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Retained — collections &amp; legal continue (Sections 7, 36)</w:t>
            </w:r>
          </w:p>
        </w:tc>
      </w:tr>
      <w:tr>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Actual / full write-off (waiver)</w:t>
            </w:r>
          </w:p>
        </w:tc>
        <w:tc>
          <w:tcPr>
            <w:tcW w:type="dxa" w:w="3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Claim against the borrower is extinguished (e.g., post-OTS shortfall, uneconomic recovery)</w:t>
            </w:r>
          </w:p>
        </w:tc>
        <w:tc>
          <w:tcPr>
            <w:tcW w:type="dxa" w:w="23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Loan removed; waiver documented</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Extinguished — account closed</w:t>
            </w:r>
          </w:p>
        </w:tc>
      </w:tr>
    </w:tbl>
    <w:p>
      <w:pPr>
        <w:pStyle w:val="Heading2"/>
      </w:pPr>
      <w:r>
        <w:t>89.2 Approval Workflow &amp; Controls</w:t>
      </w:r>
    </w:p>
    <w:p>
      <w:pPr>
        <w:pStyle w:val="ListParagraph"/>
        <w:numPr>
          <w:ilvl w:val="0"/>
          <w:numId w:val="2"/>
        </w:numPr>
        <w:spacing w:after="60"/>
      </w:pPr>
      <w:r>
        <w:rPr>
          <w:rFonts w:ascii="Arial" w:hAnsi="Arial" w:cs="Arial"/>
          <w:b w:val="0"/>
          <w:i w:val="0"/>
          <w:sz w:val="22"/>
        </w:rPr>
        <w:t>Write-off proposals carry mandatory documentation: outstanding break-up, provision held, recovery actions taken, security status/realisation, and NPV justification.</w:t>
      </w:r>
    </w:p>
    <w:p>
      <w:pPr>
        <w:pStyle w:val="ListParagraph"/>
        <w:numPr>
          <w:ilvl w:val="0"/>
          <w:numId w:val="2"/>
        </w:numPr>
        <w:spacing w:after="60"/>
      </w:pPr>
      <w:r>
        <w:rPr>
          <w:rFonts w:ascii="Arial" w:hAnsi="Arial" w:cs="Arial"/>
          <w:b w:val="0"/>
          <w:i w:val="0"/>
          <w:sz w:val="22"/>
        </w:rPr>
        <w:t>Approval per the DOA matrix, with Board/Committee approval above configured thresholds; maker (proposing officer) can never be the approver; all approvals logged to the immutable audit trail (Section 34).</w:t>
      </w:r>
    </w:p>
    <w:p>
      <w:pPr>
        <w:pStyle w:val="ListParagraph"/>
        <w:numPr>
          <w:ilvl w:val="0"/>
          <w:numId w:val="2"/>
        </w:numPr>
        <w:spacing w:after="60"/>
      </w:pPr>
      <w:r>
        <w:rPr>
          <w:rFonts w:ascii="Arial" w:hAnsi="Arial" w:cs="Arial"/>
          <w:b w:val="0"/>
          <w:i w:val="0"/>
          <w:sz w:val="22"/>
        </w:rPr>
        <w:t>Accounting on write-off: Dr. Provision for NPA (and P&amp;L for any unprovided residue), Cr. Loan Principal; unrealised interest already sits in Interest Suspense (Section 33).</w:t>
      </w:r>
    </w:p>
    <w:p>
      <w:pPr>
        <w:pStyle w:val="Heading2"/>
      </w:pPr>
      <w:r>
        <w:t>89.3 Post-Write-Off Recovery</w:t>
      </w:r>
    </w:p>
    <w:p>
      <w:pPr>
        <w:pStyle w:val="ListParagraph"/>
        <w:numPr>
          <w:ilvl w:val="0"/>
          <w:numId w:val="2"/>
        </w:numPr>
        <w:spacing w:after="60"/>
      </w:pPr>
      <w:r>
        <w:rPr>
          <w:rFonts w:ascii="Arial" w:hAnsi="Arial" w:cs="Arial"/>
          <w:b w:val="0"/>
          <w:i w:val="0"/>
          <w:sz w:val="22"/>
        </w:rPr>
        <w:t>Written-off accounts move to the memorandum ledger: zero gross advance, full dues tracked for recovery; portfolio reports show written-off pools separately (shadow AUM).</w:t>
      </w:r>
    </w:p>
    <w:p>
      <w:pPr>
        <w:pStyle w:val="ListParagraph"/>
        <w:numPr>
          <w:ilvl w:val="0"/>
          <w:numId w:val="2"/>
        </w:numPr>
        <w:spacing w:after="60"/>
      </w:pPr>
      <w:r>
        <w:rPr>
          <w:rFonts w:ascii="Arial" w:hAnsi="Arial" w:cs="Arial"/>
          <w:b w:val="0"/>
          <w:i w:val="0"/>
          <w:sz w:val="22"/>
        </w:rPr>
        <w:t>Recoveries post as Dr. Bank, Cr. Bad Debts Recovered (P&amp;L); appropriation of recovery follows the Board policy of Section 88.1.</w:t>
      </w:r>
    </w:p>
    <w:p>
      <w:pPr>
        <w:pStyle w:val="ListParagraph"/>
        <w:numPr>
          <w:ilvl w:val="0"/>
          <w:numId w:val="2"/>
        </w:numPr>
        <w:spacing w:after="60"/>
      </w:pPr>
      <w:r>
        <w:rPr>
          <w:rFonts w:ascii="Arial" w:hAnsi="Arial" w:cs="Arial"/>
          <w:b w:val="0"/>
          <w:i w:val="0"/>
          <w:sz w:val="22"/>
        </w:rPr>
        <w:t>CIC reporting continues with status “Written Off” and, on settlement, “Post-write-off settled/closed” (Section 10.2); collections conduct rules (Section 36) apply unchanged to written-off accounts.</w:t>
      </w:r>
    </w:p>
    <w:p>
      <w:pPr>
        <w:pStyle w:val="Heading2"/>
      </w:pPr>
      <w:r>
        <w:t>89.4 One-Time Settlement (OTS)</w:t>
      </w:r>
    </w:p>
    <w:p>
      <w:pPr>
        <w:pStyle w:val="ListParagraph"/>
        <w:numPr>
          <w:ilvl w:val="0"/>
          <w:numId w:val="2"/>
        </w:numPr>
        <w:spacing w:after="60"/>
      </w:pPr>
      <w:r>
        <w:rPr>
          <w:rFonts w:ascii="Arial" w:hAnsi="Arial" w:cs="Arial"/>
          <w:b w:val="0"/>
          <w:i w:val="0"/>
          <w:sz w:val="22"/>
        </w:rPr>
        <w:t>Workflow: borrower/officer proposal → NPV comparison of the offer vs. expected recovery (security value, ageing, legal cost) → DOA/Committee approval → settlement letter with payment schedule → receipts tracked against the OTS schedule.</w:t>
      </w:r>
    </w:p>
    <w:p>
      <w:pPr>
        <w:pStyle w:val="ListParagraph"/>
        <w:numPr>
          <w:ilvl w:val="0"/>
          <w:numId w:val="2"/>
        </w:numPr>
        <w:spacing w:after="60"/>
      </w:pPr>
      <w:r>
        <w:rPr>
          <w:rFonts w:ascii="Arial" w:hAnsi="Arial" w:cs="Arial"/>
          <w:b w:val="0"/>
          <w:i w:val="0"/>
          <w:sz w:val="22"/>
        </w:rPr>
        <w:t>On full OTS receipt: shortfall posted as sacrifice/write-off with approval reference; account closed; bureau updated with settled status and settlement amount; NOC issued per Section 4.</w:t>
      </w:r>
    </w:p>
    <w:p>
      <w:pPr>
        <w:pStyle w:val="ListParagraph"/>
        <w:numPr>
          <w:ilvl w:val="0"/>
          <w:numId w:val="2"/>
        </w:numPr>
        <w:spacing w:after="60"/>
      </w:pPr>
      <w:r>
        <w:rPr>
          <w:rFonts w:ascii="Arial" w:hAnsi="Arial" w:cs="Arial"/>
          <w:b w:val="0"/>
          <w:i w:val="0"/>
          <w:sz w:val="22"/>
        </w:rPr>
        <w:t>Broken OTS (missed settlement installment beyond grace): OTS stands cancelled, original dues (less amounts received, re-appropriated per Section 88.1) are reinstated, and the account returns to its prior classification; all reinstatements are system-computed, not manual.</w:t>
      </w:r>
    </w:p>
    <w:p>
      <w:pPr>
        <w:pStyle w:val="ListParagraph"/>
        <w:numPr>
          <w:ilvl w:val="0"/>
          <w:numId w:val="2"/>
        </w:numPr>
        <w:spacing w:after="60"/>
      </w:pPr>
      <w:r>
        <w:rPr>
          <w:rFonts w:ascii="Arial" w:hAnsi="Arial" w:cs="Arial"/>
          <w:b w:val="0"/>
          <w:i w:val="0"/>
          <w:sz w:val="22"/>
        </w:rPr>
        <w:t>Sacrifice/waiver amounts are reported in the MIS (Section 13) and feed the fraud/EWS checks of Section 37 where settlement patterns are anomalous.</w:t>
      </w:r>
    </w:p>
    <w:p>
      <w:pPr>
        <w:pStyle w:val="Heading1"/>
      </w:pPr>
      <w:r>
        <w:t>90. Field Cash Collections &amp; Receipt Management</w:t>
      </w:r>
    </w:p>
    <w:p>
      <w:r>
        <w:rPr>
          <w:rFonts w:ascii="Arial" w:hAnsi="Arial" w:cs="Arial"/>
          <w:b w:val="0"/>
          <w:i w:val="0"/>
          <w:sz w:val="22"/>
        </w:rPr>
        <w:t>Cash remains material for gold-loan, microfinance and rural collections. Uncontrolled receipt books are the single largest field-fraud vector in NBFCs; this section makes the receipt, the cash and the agent each independently reconcilable. It binds the field PWA (Sections 1.1, 93), Collections (Section 7), the GL (Section 8) and AML thresholds (Section 16).</w:t>
      </w:r>
    </w:p>
    <w:p>
      <w:pPr>
        <w:pStyle w:val="Heading2"/>
      </w:pPr>
      <w:r>
        <w:t>90.1 Receipt Integrity</w:t>
      </w:r>
    </w:p>
    <w:p>
      <w:pPr>
        <w:pStyle w:val="ListParagraph"/>
        <w:numPr>
          <w:ilvl w:val="0"/>
          <w:numId w:val="2"/>
        </w:numPr>
        <w:spacing w:after="60"/>
      </w:pPr>
      <w:r>
        <w:rPr>
          <w:rFonts w:ascii="Arial" w:hAnsi="Arial" w:cs="Arial"/>
          <w:b w:val="0"/>
          <w:i w:val="0"/>
          <w:sz w:val="22"/>
        </w:rPr>
        <w:t>Receipts are system-generated only — a server-issued, gap-free sequence per branch/agent; manual/physical receipt books are prohibited.</w:t>
      </w:r>
    </w:p>
    <w:p>
      <w:pPr>
        <w:pStyle w:val="ListParagraph"/>
        <w:numPr>
          <w:ilvl w:val="0"/>
          <w:numId w:val="2"/>
        </w:numPr>
        <w:spacing w:after="60"/>
      </w:pPr>
      <w:r>
        <w:rPr>
          <w:rFonts w:ascii="Arial" w:hAnsi="Arial" w:cs="Arial"/>
          <w:b w:val="0"/>
          <w:i w:val="0"/>
          <w:sz w:val="22"/>
        </w:rPr>
        <w:t>Offline issuance draws from a pre-allocated receipt-number block assigned to a registered device (Section 93.1); blocks are small (default 20), expire in 72 hours, and unused numbers are reconciled on sync.</w:t>
      </w:r>
    </w:p>
    <w:p>
      <w:pPr>
        <w:pStyle w:val="ListParagraph"/>
        <w:numPr>
          <w:ilvl w:val="0"/>
          <w:numId w:val="2"/>
        </w:numPr>
        <w:spacing w:after="60"/>
      </w:pPr>
      <w:r>
        <w:rPr>
          <w:rFonts w:ascii="Arial" w:hAnsi="Arial" w:cs="Arial"/>
          <w:b w:val="0"/>
          <w:i w:val="0"/>
          <w:sz w:val="22"/>
        </w:rPr>
        <w:t>On every receipt (online or on sync), the borrower receives an independent SMS/WhatsApp confirmation on the registered mobile with amount and receipt number — the borrower-side check that defeats fake receipts.</w:t>
      </w:r>
    </w:p>
    <w:p>
      <w:pPr>
        <w:pStyle w:val="ListParagraph"/>
        <w:numPr>
          <w:ilvl w:val="0"/>
          <w:numId w:val="2"/>
        </w:numPr>
        <w:spacing w:after="60"/>
      </w:pPr>
      <w:r>
        <w:rPr>
          <w:rFonts w:ascii="Arial" w:hAnsi="Arial" w:cs="Arial"/>
          <w:b w:val="0"/>
          <w:i w:val="0"/>
          <w:sz w:val="22"/>
        </w:rPr>
        <w:t>Receipt cancellation requires maker-checker with reason code; a cancelled receipt number is never reused.</w:t>
      </w:r>
    </w:p>
    <w:p>
      <w:pPr>
        <w:pStyle w:val="Heading2"/>
      </w:pPr>
      <w:r>
        <w:t>90.2 Agent Cash Limits &amp; Deposition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Control</w:t>
            </w:r>
          </w:p>
        </w:tc>
        <w:tc>
          <w:tcPr>
            <w:tcW w:type="dxa" w:w="34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Default</w:t>
            </w:r>
          </w:p>
        </w:tc>
        <w:tc>
          <w:tcPr>
            <w:tcW w:type="dxa" w:w="34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Enforcement</w:t>
            </w:r>
          </w:p>
        </w:tc>
      </w:tr>
      <w:t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Cash-in-hand cap per agent</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₹50,000 (configurable by role/geography)</w:t>
            </w:r>
          </w:p>
        </w:tc>
        <w:tc>
          <w:tcPr>
            <w:tcW w:type="dxa" w:w="34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Receipting blocked above cap</w:t>
            </w:r>
          </w:p>
        </w:tc>
      </w:tr>
      <w:t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Deposition SLA</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T+1 working day to branch/bank/CMS pickup</w:t>
            </w:r>
          </w:p>
        </w:tc>
        <w:tc>
          <w:tcPr>
            <w:tcW w:type="dxa" w:w="34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Auto-block + supervisor alert on breach</w:t>
            </w:r>
          </w:p>
        </w:tc>
      </w:tr>
      <w:t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Deposit evidence</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Deposit slip / CMS acknowledgement photo, OCR-matched to amount</w:t>
            </w:r>
          </w:p>
        </w:tc>
        <w:tc>
          <w:tcPr>
            <w:tcW w:type="dxa" w:w="34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Recon exception if mismatch</w:t>
            </w:r>
          </w:p>
        </w:tc>
      </w:tr>
      <w:tr>
        <w:tc>
          <w:tcPr>
            <w:tcW w:type="dxa" w:w="25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Per-receipt cash limit</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Per AML policy; CTR aggregation beyond threshold (Section 16.2)</w:t>
            </w:r>
          </w:p>
        </w:tc>
        <w:tc>
          <w:tcPr>
            <w:tcW w:type="dxa" w:w="34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Hard stop above regulatory limit</w:t>
            </w:r>
          </w:p>
        </w:tc>
      </w:tr>
    </w:tbl>
    <w:p>
      <w:pPr>
        <w:pStyle w:val="Heading2"/>
      </w:pPr>
      <w:r>
        <w:t>90.3 Daily Cash Reconciliation</w:t>
      </w:r>
    </w:p>
    <w:p>
      <w:pPr>
        <w:pStyle w:val="ListParagraph"/>
        <w:numPr>
          <w:ilvl w:val="0"/>
          <w:numId w:val="2"/>
        </w:numPr>
        <w:spacing w:after="60"/>
      </w:pPr>
      <w:r>
        <w:rPr>
          <w:rFonts w:ascii="Arial" w:hAnsi="Arial" w:cs="Arial"/>
          <w:b w:val="0"/>
          <w:i w:val="0"/>
          <w:sz w:val="22"/>
        </w:rPr>
        <w:t>Three-way daily reconciliation per agent: receipts issued vs. cash deposited vs. GL cash-in-transit; breaks land in an exception queue with branch-manager ownership and a 24-hour ageing SLA.</w:t>
      </w:r>
    </w:p>
    <w:p>
      <w:pPr>
        <w:pStyle w:val="ListParagraph"/>
        <w:numPr>
          <w:ilvl w:val="0"/>
          <w:numId w:val="2"/>
        </w:numPr>
        <w:spacing w:after="60"/>
      </w:pPr>
      <w:r>
        <w:rPr>
          <w:rFonts w:ascii="Arial" w:hAnsi="Arial" w:cs="Arial"/>
          <w:b w:val="0"/>
          <w:i w:val="0"/>
          <w:sz w:val="22"/>
        </w:rPr>
        <w:t>Cash-in-transit is a distinct GL account: receipt posts Dr. Cash-in-Transit (agent) / Cr. Loan dues; deposition posts Dr. Bank / Cr. Cash-in-Transit — so un-deposited cash is always visible on the balance sheet by agent.</w:t>
      </w:r>
    </w:p>
    <w:p>
      <w:pPr>
        <w:pStyle w:val="ListParagraph"/>
        <w:numPr>
          <w:ilvl w:val="0"/>
          <w:numId w:val="2"/>
        </w:numPr>
        <w:spacing w:after="60"/>
      </w:pPr>
      <w:r>
        <w:rPr>
          <w:rFonts w:ascii="Arial" w:hAnsi="Arial" w:cs="Arial"/>
          <w:b w:val="0"/>
          <w:i w:val="0"/>
          <w:sz w:val="22"/>
        </w:rPr>
        <w:t>Surprise-audit sampling: the system randomly flags agents/receipts for physical verification; sampling output feeds internal audit (Section 34).</w:t>
      </w:r>
    </w:p>
    <w:p>
      <w:pPr>
        <w:pStyle w:val="Heading2"/>
      </w:pPr>
      <w:r>
        <w:t>90.4 Fraud Controls</w:t>
      </w:r>
    </w:p>
    <w:p>
      <w:pPr>
        <w:pStyle w:val="ListParagraph"/>
        <w:numPr>
          <w:ilvl w:val="0"/>
          <w:numId w:val="2"/>
        </w:numPr>
        <w:spacing w:after="60"/>
      </w:pPr>
      <w:r>
        <w:rPr>
          <w:rFonts w:ascii="Arial" w:hAnsi="Arial" w:cs="Arial"/>
          <w:b w:val="0"/>
          <w:i w:val="0"/>
          <w:sz w:val="22"/>
        </w:rPr>
        <w:t>Duplicate-receipt and split-receipt detection (same borrower, same day, amounts summing to a round figure just below limits).</w:t>
      </w:r>
    </w:p>
    <w:p>
      <w:pPr>
        <w:pStyle w:val="ListParagraph"/>
        <w:numPr>
          <w:ilvl w:val="0"/>
          <w:numId w:val="2"/>
        </w:numPr>
        <w:spacing w:after="60"/>
      </w:pPr>
      <w:r>
        <w:rPr>
          <w:rFonts w:ascii="Arial" w:hAnsi="Arial" w:cs="Arial"/>
          <w:b w:val="0"/>
          <w:i w:val="0"/>
          <w:sz w:val="22"/>
        </w:rPr>
        <w:t>Geo/time stamp captured at receipt issuance; visits and receipts cross-checked against the agent’s assigned worklist (Section 7).</w:t>
      </w:r>
    </w:p>
    <w:p>
      <w:pPr>
        <w:pStyle w:val="ListParagraph"/>
        <w:numPr>
          <w:ilvl w:val="0"/>
          <w:numId w:val="2"/>
        </w:numPr>
        <w:spacing w:after="60"/>
      </w:pPr>
      <w:r>
        <w:rPr>
          <w:rFonts w:ascii="Arial" w:hAnsi="Arial" w:cs="Arial"/>
          <w:b w:val="0"/>
          <w:i w:val="0"/>
          <w:sz w:val="22"/>
        </w:rPr>
        <w:t>Borrower dispute channel (“paid but not credited”) on the self-service portal creates a high-priority case linked to the agent’s reconciliation history; patterns feed the EWS engine (Section 37.1).</w:t>
      </w:r>
    </w:p>
    <w:p>
      <w:pPr>
        <w:pStyle w:val="Heading1"/>
      </w:pPr>
      <w:r>
        <w:t>91. Deceased-Borrower &amp; Claim Settlement Workflow</w:t>
      </w:r>
    </w:p>
    <w:p>
      <w:r>
        <w:rPr>
          <w:rFonts w:ascii="Arial" w:hAnsi="Arial" w:cs="Arial"/>
          <w:b w:val="0"/>
          <w:i w:val="0"/>
          <w:sz w:val="22"/>
        </w:rPr>
        <w:t>On credible notice of a borrower’s death the account enters a protective state, collections conduct changes immediately, and — where credit-life insurance exists (Section 19) — the claim pipeline drives resolution. The Loan Account state machine gains the flag/state DECEASED_FLAGGED (compatible with any lifecycle state) and the resolution states CLAIM_IN_PROGRESS and SETTLED_BY_CLAIM.</w:t>
      </w:r>
    </w:p>
    <w:p>
      <w:pPr>
        <w:pStyle w:val="Heading2"/>
      </w:pPr>
      <w:r>
        <w:t>91.1 Trigger &amp; Immediate System Actions</w:t>
      </w:r>
    </w:p>
    <w:p>
      <w:pPr>
        <w:pStyle w:val="ListParagraph"/>
        <w:numPr>
          <w:ilvl w:val="0"/>
          <w:numId w:val="2"/>
        </w:numPr>
        <w:spacing w:after="60"/>
      </w:pPr>
      <w:r>
        <w:rPr>
          <w:rFonts w:ascii="Arial" w:hAnsi="Arial" w:cs="Arial"/>
          <w:b w:val="0"/>
          <w:i w:val="0"/>
          <w:sz w:val="22"/>
        </w:rPr>
        <w:t>Triggers: family/branch intimation, returned-mail/field report, or insurer/registry notification; the flag requires a supporting document reference within 15 days (death certificate or field verification) or it lapses with audit trail.</w:t>
      </w:r>
    </w:p>
    <w:p>
      <w:pPr>
        <w:pStyle w:val="ListParagraph"/>
        <w:numPr>
          <w:ilvl w:val="0"/>
          <w:numId w:val="2"/>
        </w:numPr>
        <w:spacing w:after="60"/>
      </w:pPr>
      <w:r>
        <w:rPr>
          <w:rFonts w:ascii="Arial" w:hAnsi="Arial" w:cs="Arial"/>
          <w:b w:val="0"/>
          <w:i w:val="0"/>
          <w:sz w:val="22"/>
        </w:rPr>
        <w:t>On flagging: all automated dunning and reminder communications are suppressed (Section 36); field collection tasks are converted to sensitive-handling tasks; penal charges freeze from date of death per Board policy; NACH presentation is paused where the deceased was the sole account holder.</w:t>
      </w:r>
    </w:p>
    <w:p>
      <w:pPr>
        <w:pStyle w:val="Heading2"/>
      </w:pPr>
      <w:r>
        <w:t>91.2 Insurance Claim Path (where credit-life cover exists)</w:t>
      </w:r>
    </w:p>
    <w:p>
      <w:pPr>
        <w:pStyle w:val="ListParagraph"/>
        <w:numPr>
          <w:ilvl w:val="0"/>
          <w:numId w:val="2"/>
        </w:numPr>
        <w:spacing w:after="60"/>
      </w:pPr>
      <w:r>
        <w:rPr>
          <w:rFonts w:ascii="Arial" w:hAnsi="Arial" w:cs="Arial"/>
          <w:b w:val="0"/>
          <w:i w:val="0"/>
          <w:sz w:val="22"/>
        </w:rPr>
        <w:t>Claim initiation within the insurer’s notification window, tracked as a case: intimation → document collection (death certificate, claim forms, assignment) → insurer decision → proceeds receipt.</w:t>
      </w:r>
    </w:p>
    <w:p>
      <w:pPr>
        <w:pStyle w:val="ListParagraph"/>
        <w:numPr>
          <w:ilvl w:val="0"/>
          <w:numId w:val="2"/>
        </w:numPr>
        <w:spacing w:after="60"/>
      </w:pPr>
      <w:r>
        <w:rPr>
          <w:rFonts w:ascii="Arial" w:hAnsi="Arial" w:cs="Arial"/>
          <w:b w:val="0"/>
          <w:i w:val="0"/>
          <w:sz w:val="22"/>
        </w:rPr>
        <w:t>Claim proceeds are appropriated to the loan (order per Section 88.1); surplus over dues is paid to the nominee/legal heirs; shortfall follows 91.3.</w:t>
      </w:r>
    </w:p>
    <w:p>
      <w:pPr>
        <w:pStyle w:val="Heading2"/>
      </w:pPr>
      <w:r>
        <w:t>91.3 Resolution Paths (no cover / shortfall)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c>
          <w:tcPr>
            <w:tcW w:type="dxa" w:w="18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Path</w:t>
            </w:r>
          </w:p>
        </w:tc>
        <w:tc>
          <w:tcPr>
            <w:tcW w:type="dxa" w:w="46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Description</w:t>
            </w:r>
          </w:p>
        </w:tc>
        <w:tc>
          <w:tcPr>
            <w:tcW w:type="dxa" w:w="29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Key controls</w:t>
            </w:r>
          </w:p>
        </w:tc>
      </w:tr>
      <w:tr>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Heir continuation</w:t>
            </w:r>
          </w:p>
        </w:tc>
        <w:tc>
          <w:tcPr>
            <w:tcW w:type="dxa" w:w="4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Legal heir(s)/co-borrower assume the loan; KYC + credit assessment; novation documented</w:t>
            </w:r>
          </w:p>
        </w:tc>
        <w:tc>
          <w:tcPr>
            <w:tcW w:type="dxa" w:w="2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Fresh agreement/novation; bureau linkage updated</w:t>
            </w:r>
          </w:p>
        </w:tc>
      </w:tr>
      <w:tr>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Foreclosure by estate</w:t>
            </w:r>
          </w:p>
        </w:tc>
        <w:tc>
          <w:tcPr>
            <w:tcW w:type="dxa" w:w="4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Estate/heirs foreclose; foreclosure charges waived per policy</w:t>
            </w:r>
          </w:p>
        </w:tc>
        <w:tc>
          <w:tcPr>
            <w:tcW w:type="dxa" w:w="2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Waiver per DOA; NOC to estate</w:t>
            </w:r>
          </w:p>
        </w:tc>
      </w:tr>
      <w:tr>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Security realisation</w:t>
            </w:r>
          </w:p>
        </w:tc>
        <w:tc>
          <w:tcPr>
            <w:tcW w:type="dxa" w:w="4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Where secured and estate does not resolve within policy window, recovery follows Section 7 with mandatory senior-officer approval</w:t>
            </w:r>
          </w:p>
        </w:tc>
        <w:tc>
          <w:tcPr>
            <w:tcW w:type="dxa" w:w="2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Compassionate-handling checklist; legal review</w:t>
            </w:r>
          </w:p>
        </w:tc>
      </w:tr>
      <w:tr>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Write-off</w:t>
            </w:r>
          </w:p>
        </w:tc>
        <w:tc>
          <w:tcPr>
            <w:tcW w:type="dxa" w:w="4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Uneconomic recovery per Section 89</w:t>
            </w:r>
          </w:p>
        </w:tc>
        <w:tc>
          <w:tcPr>
            <w:tcW w:type="dxa" w:w="2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Standard write-off DOA</w:t>
            </w:r>
          </w:p>
        </w:tc>
      </w:tr>
    </w:tbl>
    <w:p>
      <w:pPr>
        <w:pStyle w:val="ListParagraph"/>
        <w:numPr>
          <w:ilvl w:val="0"/>
          <w:numId w:val="2"/>
        </w:numPr>
        <w:spacing w:after="60"/>
      </w:pPr>
      <w:r>
        <w:rPr>
          <w:rFonts w:ascii="Arial" w:hAnsi="Arial" w:cs="Arial"/>
          <w:b w:val="0"/>
          <w:i w:val="0"/>
          <w:sz w:val="22"/>
        </w:rPr>
        <w:t>Legal-heir verification: death certificate plus legal-heir/succession certificate (or indemnity-based settlement below a configured threshold per Board policy); all documents stored against the Party (Section 11).</w:t>
      </w:r>
    </w:p>
    <w:p>
      <w:pPr>
        <w:pStyle w:val="ListParagraph"/>
        <w:numPr>
          <w:ilvl w:val="0"/>
          <w:numId w:val="2"/>
        </w:numPr>
        <w:spacing w:after="60"/>
      </w:pPr>
      <w:r>
        <w:rPr>
          <w:rFonts w:ascii="Arial" w:hAnsi="Arial" w:cs="Arial"/>
          <w:b w:val="0"/>
          <w:i w:val="0"/>
          <w:sz w:val="22"/>
        </w:rPr>
        <w:t>Co-borrower/guarantor accounts: liability continues; the system re-papers repayment mandates to the surviving obligor; bureau reporting reflects the deceased status on the individual and continuation on co-obligors.</w:t>
      </w:r>
    </w:p>
    <w:p>
      <w:pPr>
        <w:pStyle w:val="Heading1"/>
      </w:pPr>
      <w:r>
        <w:t>92. Party Master-Data Management — Duplicate Detection, Merge &amp; Survivorship</w:t>
      </w:r>
    </w:p>
    <w:p>
      <w:r>
        <w:rPr>
          <w:rFonts w:ascii="Arial" w:hAnsi="Arial" w:cs="Arial"/>
          <w:b w:val="0"/>
          <w:i w:val="0"/>
          <w:sz w:val="22"/>
        </w:rPr>
        <w:t>Section 5.2’s negative-list de-dupe prevents some duplicates at onboarding; this section governs the golden record when duplicates nonetheless arise (name variants, pre-PAN legacy records, migration artefacts). It protects single-borrower exposure aggregation (Section 69.7), bureau accuracy (Section 10) and consent integrity (Section 35).</w:t>
      </w:r>
    </w:p>
    <w:p>
      <w:pPr>
        <w:pStyle w:val="Heading2"/>
      </w:pPr>
      <w:r>
        <w:t>92.1 Detection</w:t>
      </w:r>
    </w:p>
    <w:p>
      <w:pPr>
        <w:pStyle w:val="ListParagraph"/>
        <w:numPr>
          <w:ilvl w:val="0"/>
          <w:numId w:val="2"/>
        </w:numPr>
        <w:spacing w:after="60"/>
      </w:pPr>
      <w:r>
        <w:rPr>
          <w:rFonts w:ascii="Arial" w:hAnsi="Arial" w:cs="Arial"/>
          <w:b w:val="0"/>
          <w:i w:val="0"/>
          <w:sz w:val="22"/>
        </w:rPr>
        <w:t>Deterministic keys: PAN, Aadhaar-hash, CKYC ID — an exact match on any is a hard duplicate (blocked at onboarding; flagged in batch).</w:t>
      </w:r>
    </w:p>
    <w:p>
      <w:pPr>
        <w:pStyle w:val="ListParagraph"/>
        <w:numPr>
          <w:ilvl w:val="0"/>
          <w:numId w:val="2"/>
        </w:numPr>
        <w:spacing w:after="60"/>
      </w:pPr>
      <w:r>
        <w:rPr>
          <w:rFonts w:ascii="Arial" w:hAnsi="Arial" w:cs="Arial"/>
          <w:b w:val="0"/>
          <w:i w:val="0"/>
          <w:sz w:val="22"/>
        </w:rPr>
        <w:t>Probabilistic matching: normalised name + DOB + mobile/email + address hash produce a match score; scores above the review threshold enter the steward queue; matching rules and thresholds are configurable and versioned.</w:t>
      </w:r>
    </w:p>
    <w:p>
      <w:pPr>
        <w:pStyle w:val="ListParagraph"/>
        <w:numPr>
          <w:ilvl w:val="0"/>
          <w:numId w:val="2"/>
        </w:numPr>
        <w:spacing w:after="60"/>
      </w:pPr>
      <w:r>
        <w:rPr>
          <w:rFonts w:ascii="Arial" w:hAnsi="Arial" w:cs="Arial"/>
          <w:b w:val="0"/>
          <w:i w:val="0"/>
          <w:sz w:val="22"/>
        </w:rPr>
        <w:t>A weekly batch sweep scans the full Party base (including migrated records, Section 23.1) and after every bulk import.</w:t>
      </w:r>
    </w:p>
    <w:p>
      <w:pPr>
        <w:pStyle w:val="Heading2"/>
      </w:pPr>
      <w:r>
        <w:t>92.2 Merge Workflow &amp; Survivorship</w:t>
      </w:r>
    </w:p>
    <w:p>
      <w:pPr>
        <w:pStyle w:val="ListParagraph"/>
        <w:numPr>
          <w:ilvl w:val="0"/>
          <w:numId w:val="2"/>
        </w:numPr>
        <w:spacing w:after="60"/>
      </w:pPr>
      <w:r>
        <w:rPr>
          <w:rFonts w:ascii="Arial" w:hAnsi="Arial" w:cs="Arial"/>
          <w:b w:val="0"/>
          <w:i w:val="0"/>
          <w:sz w:val="22"/>
        </w:rPr>
        <w:t>Merge is maker-checker: a data steward proposes survivor + merge set; an approver confirms; the merge executes atomically and emits party.merged (Section 94).</w:t>
      </w:r>
    </w:p>
    <w:p>
      <w:pPr>
        <w:pStyle w:val="ListParagraph"/>
        <w:numPr>
          <w:ilvl w:val="0"/>
          <w:numId w:val="2"/>
        </w:numPr>
        <w:spacing w:after="60"/>
      </w:pPr>
      <w:r>
        <w:rPr>
          <w:rFonts w:ascii="Arial" w:hAnsi="Arial" w:cs="Arial"/>
          <w:b w:val="0"/>
          <w:i w:val="0"/>
          <w:sz w:val="22"/>
        </w:rPr>
        <w:t>Survivorship rules (attribute-level): latest KYC-verified value wins; otherwise most recent source-system value; conflicts listed for steward decision. The full pre-merge state is snapshotted for reversal.</w:t>
      </w:r>
    </w:p>
    <w:p>
      <w:pPr>
        <w:pStyle w:val="ListParagraph"/>
        <w:numPr>
          <w:ilvl w:val="0"/>
          <w:numId w:val="2"/>
        </w:numPr>
        <w:spacing w:after="60"/>
      </w:pPr>
      <w:r>
        <w:rPr>
          <w:rFonts w:ascii="Arial" w:hAnsi="Arial" w:cs="Arial"/>
          <w:b w:val="0"/>
          <w:i w:val="0"/>
          <w:sz w:val="22"/>
        </w:rPr>
        <w:t>The losing party_id is never deleted: it is marked MERGED with a merged_into reference (alias). All reads resolve aliases transparently; historical documents, communications and audit rows keep their original FK and remain retrievable.</w:t>
      </w:r>
    </w:p>
    <w:p>
      <w:pPr>
        <w:pStyle w:val="ListParagraph"/>
        <w:numPr>
          <w:ilvl w:val="0"/>
          <w:numId w:val="2"/>
        </w:numPr>
        <w:spacing w:after="60"/>
      </w:pPr>
      <w:r>
        <w:rPr>
          <w:rFonts w:ascii="Arial" w:hAnsi="Arial" w:cs="Arial"/>
          <w:b w:val="0"/>
          <w:i w:val="0"/>
          <w:sz w:val="22"/>
        </w:rPr>
        <w:t>Unmerge: permitted within a configured window by restoring the snapshot; post-window unmerge is a governed data-correction procedure with compliance sign-off.</w:t>
      </w:r>
    </w:p>
    <w:p>
      <w:pPr>
        <w:pStyle w:val="Heading2"/>
      </w:pPr>
      <w:r>
        <w:t>92.3 Downstream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Domain</w:t>
            </w:r>
          </w:p>
        </w:tc>
        <w:tc>
          <w:tcPr>
            <w:tcW w:type="dxa" w:w="69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Effect of merge</w:t>
            </w:r>
          </w:p>
        </w:tc>
      </w:tr>
      <w:t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Exposure &amp; limits</w:t>
            </w:r>
          </w:p>
        </w:tc>
        <w:tc>
          <w:tcPr>
            <w:tcW w:type="dxa" w:w="6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Single-borrower/group exposure (Section 69.7) recomputed on the survivor immediately</w:t>
            </w:r>
          </w:p>
        </w:tc>
      </w:tr>
      <w:t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Bureau reporting</w:t>
            </w:r>
          </w:p>
        </w:tc>
        <w:tc>
          <w:tcPr>
            <w:tcW w:type="dxa" w:w="6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Subsequent CIC files report the survivor’s identifiers; prior submissions corrected via the dispute/correction flow (Section 10.6)</w:t>
            </w:r>
          </w:p>
        </w:tc>
      </w:tr>
      <w:t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Consents (Section 35)</w:t>
            </w:r>
          </w:p>
        </w:tc>
        <w:tc>
          <w:tcPr>
            <w:tcW w:type="dxa" w:w="6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Union of valid consents retained; narrowest purpose limitation applies on conflict</w:t>
            </w:r>
          </w:p>
        </w:tc>
      </w:tr>
      <w:t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Underwriting</w:t>
            </w:r>
          </w:p>
        </w:tc>
        <w:tc>
          <w:tcPr>
            <w:tcW w:type="dxa" w:w="6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Open applications on the merged party are re-pointed and re-deduped before decision</w:t>
            </w:r>
          </w:p>
        </w:tc>
      </w:tr>
      <w:t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Collections</w:t>
            </w:r>
          </w:p>
        </w:tc>
        <w:tc>
          <w:tcPr>
            <w:tcW w:type="dxa" w:w="69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Worklists and PTPs re-pointed; communication history unified</w:t>
            </w:r>
          </w:p>
        </w:tc>
      </w:tr>
    </w:tbl>
    <w:p>
      <w:pPr>
        <w:pStyle w:val="Heading1"/>
      </w:pPr>
      <w:r>
        <w:t>93. Field PWA — Offline Synchronisation &amp; Device Security</w:t>
      </w:r>
    </w:p>
    <w:p>
      <w:r>
        <w:rPr>
          <w:rFonts w:ascii="Arial" w:hAnsi="Arial" w:cs="Arial"/>
          <w:b w:val="0"/>
          <w:i w:val="0"/>
          <w:sz w:val="22"/>
        </w:rPr>
        <w:t>Sections 1.1 and 7 promise offline-capable field capture; this section specifies it. The design principle: the device queues signed intents; the server remains the sole authority on money.</w:t>
      </w:r>
    </w:p>
    <w:p>
      <w:pPr>
        <w:pStyle w:val="Heading2"/>
      </w:pPr>
      <w:r>
        <w:t>93.1 Offline Operation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Allowed offline</w:t>
            </w:r>
          </w:p>
        </w:tc>
        <w:tc>
          <w:tcPr>
            <w:tcW w:type="dxa" w:w="468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Never offline</w:t>
            </w:r>
          </w:p>
        </w:tc>
      </w:tr>
      <w:t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Visit logging, PTP capture, borrower notes</w:t>
            </w:r>
          </w:p>
        </w:tc>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Disbursement or limit changes</w:t>
            </w:r>
          </w:p>
        </w:tc>
      </w:tr>
      <w:t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Cash receipt issuance — only within a pre-allocated receipt block and cash cap (Section 90)</w:t>
            </w:r>
          </w:p>
        </w:tc>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Waivers, charge reversals, settlement approvals</w:t>
            </w:r>
          </w:p>
        </w:tc>
      </w:tr>
      <w:t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KYC document/photo capture, gold appraisal photos &amp; weights</w:t>
            </w:r>
          </w:p>
        </w:tc>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KYC verification decisions</w:t>
            </w:r>
          </w:p>
        </w:tc>
      </w:tr>
      <w:t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Read-only worklist, schedules and dues (as of last sync)</w:t>
            </w:r>
          </w:p>
        </w:tc>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Any GL posting (receipts sync as pending postings)</w:t>
            </w:r>
          </w:p>
        </w:tc>
      </w:tr>
    </w:tbl>
    <w:p>
      <w:pPr>
        <w:pStyle w:val="Heading2"/>
      </w:pPr>
      <w:r>
        <w:t>93.2 Sync Protocol</w:t>
      </w:r>
    </w:p>
    <w:p>
      <w:pPr>
        <w:pStyle w:val="ListParagraph"/>
        <w:numPr>
          <w:ilvl w:val="0"/>
          <w:numId w:val="2"/>
        </w:numPr>
        <w:spacing w:after="60"/>
      </w:pPr>
      <w:r>
        <w:rPr>
          <w:rFonts w:ascii="Arial" w:hAnsi="Arial" w:cs="Arial"/>
          <w:b w:val="0"/>
          <w:i w:val="0"/>
          <w:sz w:val="22"/>
        </w:rPr>
        <w:t>Each offline action is an operation record: client-generated UUID (doubles as the idempotency key, Section 40.1), operation type, payload, device ID, geo/time stamp, and a device signature; operations queue locally and upload in order on connectivity.</w:t>
      </w:r>
    </w:p>
    <w:p>
      <w:pPr>
        <w:pStyle w:val="ListParagraph"/>
        <w:numPr>
          <w:ilvl w:val="0"/>
          <w:numId w:val="2"/>
        </w:numPr>
        <w:spacing w:after="60"/>
      </w:pPr>
      <w:r>
        <w:rPr>
          <w:rFonts w:ascii="Arial" w:hAnsi="Arial" w:cs="Arial"/>
          <w:b w:val="0"/>
          <w:i w:val="0"/>
          <w:sz w:val="22"/>
        </w:rPr>
        <w:t>Server application rules: money operations (receipts) are validated against current account state and posted via the normal engine — the server result is authoritative and the device reconciles; notes/PTP use last-write-wins with full history retained.</w:t>
      </w:r>
    </w:p>
    <w:p>
      <w:pPr>
        <w:pStyle w:val="ListParagraph"/>
        <w:numPr>
          <w:ilvl w:val="0"/>
          <w:numId w:val="2"/>
        </w:numPr>
        <w:spacing w:after="60"/>
      </w:pPr>
      <w:r>
        <w:rPr>
          <w:rFonts w:ascii="Arial" w:hAnsi="Arial" w:cs="Arial"/>
          <w:b w:val="0"/>
          <w:i w:val="0"/>
          <w:sz w:val="22"/>
        </w:rPr>
        <w:t>Duplicate suppression by operation UUID; out-of-order and replayed uploads are safe (at-least-once upload, exactly-once apply — same regime as Section 38).</w:t>
      </w:r>
    </w:p>
    <w:p>
      <w:pPr>
        <w:pStyle w:val="ListParagraph"/>
        <w:numPr>
          <w:ilvl w:val="0"/>
          <w:numId w:val="2"/>
        </w:numPr>
        <w:spacing w:after="60"/>
      </w:pPr>
      <w:r>
        <w:rPr>
          <w:rFonts w:ascii="Arial" w:hAnsi="Arial" w:cs="Arial"/>
          <w:b w:val="0"/>
          <w:i w:val="0"/>
          <w:sz w:val="22"/>
        </w:rPr>
        <w:t>Sync SLA: a device holding unsynced money operations beyond 24 hours (configurable) is auto-blocked from further receipting and escalated to the supervisor; unsynced-operation count is a standing ops dashboard metric.</w:t>
      </w:r>
    </w:p>
    <w:p>
      <w:pPr>
        <w:pStyle w:val="Heading2"/>
      </w:pPr>
      <w:r>
        <w:t>93.3 Conflict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Scenario</w:t>
            </w:r>
          </w:p>
        </w:tc>
        <w:tc>
          <w:tcPr>
            <w:tcW w:type="dxa" w:w="468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Resolution</w:t>
            </w:r>
          </w:p>
        </w:tc>
      </w:tr>
      <w:t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Receipt taken offline; account foreclosed online meanwhile</w:t>
            </w:r>
          </w:p>
        </w:tc>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Receipt posts to excess funds (Section 88.2) and triggers refund workflow; agent notified</w:t>
            </w:r>
          </w:p>
        </w:tc>
      </w:tr>
      <w:t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Two devices log PTP for the same account</w:t>
            </w:r>
          </w:p>
        </w:tc>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Both retained in history; latest by server receipt time is the active PTP</w:t>
            </w:r>
          </w:p>
        </w:tc>
      </w:tr>
      <w:t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Offline receipt exceeds dues after an online payment landed first</w:t>
            </w:r>
          </w:p>
        </w:tc>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Residual auto-flows to excess funds per Section 88.1 priority 7</w:t>
            </w:r>
          </w:p>
        </w:tc>
      </w:tr>
      <w:tr>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Receipt-block number used twice (device clone attempt)</w:t>
            </w:r>
          </w:p>
        </w:tc>
        <w:tc>
          <w:tcPr>
            <w:tcW w:type="dxa" w:w="46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Second use rejected; fraud alert (Section 37) and device quarantined</w:t>
            </w:r>
          </w:p>
        </w:tc>
      </w:tr>
    </w:tbl>
    <w:p>
      <w:pPr>
        <w:pStyle w:val="Heading2"/>
      </w:pPr>
      <w:r>
        <w:t>93.4 Device Security</w:t>
      </w:r>
    </w:p>
    <w:p>
      <w:pPr>
        <w:pStyle w:val="ListParagraph"/>
        <w:numPr>
          <w:ilvl w:val="0"/>
          <w:numId w:val="2"/>
        </w:numPr>
        <w:spacing w:after="60"/>
      </w:pPr>
      <w:r>
        <w:rPr>
          <w:rFonts w:ascii="Arial" w:hAnsi="Arial" w:cs="Arial"/>
          <w:b w:val="0"/>
          <w:i w:val="0"/>
          <w:sz w:val="22"/>
        </w:rPr>
        <w:t>Device registration and binding (device ID + certificate) precede any field use; certificate pinning on all API calls; jailbreak/root detection blocks the app.</w:t>
      </w:r>
    </w:p>
    <w:p>
      <w:pPr>
        <w:pStyle w:val="ListParagraph"/>
        <w:numPr>
          <w:ilvl w:val="0"/>
          <w:numId w:val="2"/>
        </w:numPr>
        <w:spacing w:after="60"/>
      </w:pPr>
      <w:r>
        <w:rPr>
          <w:rFonts w:ascii="Arial" w:hAnsi="Arial" w:cs="Arial"/>
          <w:b w:val="0"/>
          <w:i w:val="0"/>
          <w:sz w:val="22"/>
        </w:rPr>
        <w:t>Local store is encrypted (e.g., SQLCipher/WebCrypto-wrapped IndexedDB); it holds only the agent’s assigned worklist, never the broader book; biometric/PIN unlock with 5-minute idle lock.</w:t>
      </w:r>
    </w:p>
    <w:p>
      <w:pPr>
        <w:pStyle w:val="ListParagraph"/>
        <w:numPr>
          <w:ilvl w:val="0"/>
          <w:numId w:val="2"/>
        </w:numPr>
        <w:spacing w:after="60"/>
      </w:pPr>
      <w:r>
        <w:rPr>
          <w:rFonts w:ascii="Arial" w:hAnsi="Arial" w:cs="Arial"/>
          <w:b w:val="0"/>
          <w:i w:val="0"/>
          <w:sz w:val="22"/>
        </w:rPr>
        <w:t>Remote wipe and instant de-registration on exit/loss; local data auto-purges after successful sync and at end-of-day.</w:t>
      </w:r>
    </w:p>
    <w:p>
      <w:pPr>
        <w:pStyle w:val="Heading1"/>
      </w:pPr>
      <w:r>
        <w:t>94. Domain Event Architecture (extends Section 81)</w:t>
      </w:r>
    </w:p>
    <w:p>
      <w:r>
        <w:rPr>
          <w:rFonts w:ascii="Arial" w:hAnsi="Arial" w:cs="Arial"/>
          <w:b w:val="0"/>
          <w:i w:val="0"/>
          <w:sz w:val="22"/>
        </w:rPr>
        <w:t>Section 81 lists core events and the webhook contract; this section adds the production semantics: envelope, schema governance, ordering, delivery guarantees, retention and replay. The transactional outbox (Section 38.1) is the only publish path — no service writes to the event backbone directly alongside a DB commit.</w:t>
      </w:r>
    </w:p>
    <w:p>
      <w:pPr>
        <w:pStyle w:val="Heading2"/>
      </w:pPr>
      <w:r>
        <w:t>94.1 Event Envelope (all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Field</w:t>
            </w:r>
          </w:p>
        </w:tc>
        <w:tc>
          <w:tcPr>
            <w:tcW w:type="dxa" w:w="16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Type</w:t>
            </w:r>
          </w:p>
        </w:tc>
        <w:tc>
          <w:tcPr>
            <w:tcW w:type="dxa" w:w="55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Notes</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eventId</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UUID</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Globally unique; consumer idempotency key</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eventType</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string</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Namespaced, e.g. loan.disbursed; catalogue in Section 81</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schemaVersion</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semver</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Payload schema version</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occurredAt / recordedAt</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timestamptz</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Business time vs. outbox time</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tenantId</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UUID</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Section 15 isolation carried end-to-end</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aggregateType / aggregateId</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string / ID</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e.g. LoanAccount / LN-2026-000123</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sequenceNo</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long</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Monotonic per aggregate — gap detection</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traceId</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string</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Joins API trace (Section 40.2) to async flow</w:t>
            </w:r>
          </w:p>
        </w:tc>
      </w:tr>
      <w:tr>
        <w:tc>
          <w:tcPr>
            <w:tcW w:type="dxa" w:w="2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payload</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object</w:t>
            </w:r>
          </w:p>
        </w:tc>
        <w:tc>
          <w:tcPr>
            <w:tcW w:type="dxa" w:w="5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Versioned business data; PII minimised per Section 35</w:t>
            </w:r>
          </w:p>
        </w:tc>
      </w:tr>
    </w:tbl>
    <w:p>
      <w:pPr>
        <w:pStyle w:val="Heading2"/>
      </w:pPr>
      <w:r>
        <w:t>94.2 Schema Governance</w:t>
      </w:r>
    </w:p>
    <w:p>
      <w:pPr>
        <w:pStyle w:val="ListParagraph"/>
        <w:numPr>
          <w:ilvl w:val="0"/>
          <w:numId w:val="2"/>
        </w:numPr>
        <w:spacing w:after="60"/>
      </w:pPr>
      <w:r>
        <w:rPr>
          <w:rFonts w:ascii="Arial" w:hAnsi="Arial" w:cs="Arial"/>
          <w:b w:val="0"/>
          <w:i w:val="0"/>
          <w:sz w:val="22"/>
        </w:rPr>
        <w:t>All event schemas live in a schema registry; changes must be backward-compatible within a major version (add-only); breaking changes publish a new major version alongside the old for a deprecation window.</w:t>
      </w:r>
    </w:p>
    <w:p>
      <w:pPr>
        <w:pStyle w:val="ListParagraph"/>
        <w:numPr>
          <w:ilvl w:val="0"/>
          <w:numId w:val="2"/>
        </w:numPr>
        <w:spacing w:after="60"/>
      </w:pPr>
      <w:r>
        <w:rPr>
          <w:rFonts w:ascii="Arial" w:hAnsi="Arial" w:cs="Arial"/>
          <w:b w:val="0"/>
          <w:i w:val="0"/>
          <w:sz w:val="22"/>
        </w:rPr>
        <w:t>Producers own schemas; consumers pin to major versions; CI contract tests (Section 41.1) fail on incompatible change.</w:t>
      </w:r>
    </w:p>
    <w:p>
      <w:pPr>
        <w:pStyle w:val="Heading2"/>
      </w:pPr>
      <w:r>
        <w:t>94.3 Ordering &amp; Delivery</w:t>
      </w:r>
    </w:p>
    <w:p>
      <w:pPr>
        <w:pStyle w:val="ListParagraph"/>
        <w:numPr>
          <w:ilvl w:val="0"/>
          <w:numId w:val="2"/>
        </w:numPr>
        <w:spacing w:after="60"/>
      </w:pPr>
      <w:r>
        <w:rPr>
          <w:rFonts w:ascii="Arial" w:hAnsi="Arial" w:cs="Arial"/>
          <w:b w:val="0"/>
          <w:i w:val="0"/>
          <w:sz w:val="22"/>
        </w:rPr>
        <w:t>Events are partitioned by aggregateId, guaranteeing per-aggregate order (a repayment.posted can never overtake its loan.disbursed); no global ordering is promised or needed.</w:t>
      </w:r>
    </w:p>
    <w:p>
      <w:pPr>
        <w:pStyle w:val="ListParagraph"/>
        <w:numPr>
          <w:ilvl w:val="0"/>
          <w:numId w:val="2"/>
        </w:numPr>
        <w:spacing w:after="60"/>
      </w:pPr>
      <w:r>
        <w:rPr>
          <w:rFonts w:ascii="Arial" w:hAnsi="Arial" w:cs="Arial"/>
          <w:b w:val="0"/>
          <w:i w:val="0"/>
          <w:sz w:val="22"/>
        </w:rPr>
        <w:t>Delivery is at-least-once; every consumer is idempotent on eventId (same regime as Section 40.1); poison messages go to a DLQ with alerting and a documented reprocessing runbook.</w:t>
      </w:r>
    </w:p>
    <w:p>
      <w:pPr>
        <w:pStyle w:val="Heading2"/>
      </w:pPr>
      <w:r>
        <w:t>94.4 Retention &amp; Replay</w:t>
      </w:r>
    </w:p>
    <w:p>
      <w:pPr>
        <w:pStyle w:val="ListParagraph"/>
        <w:numPr>
          <w:ilvl w:val="0"/>
          <w:numId w:val="2"/>
        </w:numPr>
        <w:spacing w:after="60"/>
      </w:pPr>
      <w:r>
        <w:rPr>
          <w:rFonts w:ascii="Arial" w:hAnsi="Arial" w:cs="Arial"/>
          <w:b w:val="0"/>
          <w:i w:val="0"/>
          <w:sz w:val="22"/>
        </w:rPr>
        <w:t>Financial events are retained in the event store for the same period as the underlying records (Section 35.2) — they are evidence, not plumbing.</w:t>
      </w:r>
    </w:p>
    <w:p>
      <w:pPr>
        <w:pStyle w:val="ListParagraph"/>
        <w:numPr>
          <w:ilvl w:val="0"/>
          <w:numId w:val="2"/>
        </w:numPr>
        <w:spacing w:after="60"/>
      </w:pPr>
      <w:r>
        <w:rPr>
          <w:rFonts w:ascii="Arial" w:hAnsi="Arial" w:cs="Arial"/>
          <w:b w:val="0"/>
          <w:i w:val="0"/>
          <w:sz w:val="22"/>
        </w:rPr>
        <w:t>The reporting mart (Section 9.3) and read models must be rebuildable by replay from the event store; a quarterly replay drill into a staging mart validates this (Section 41.3).</w:t>
      </w:r>
    </w:p>
    <w:p>
      <w:pPr>
        <w:pStyle w:val="Heading2"/>
      </w:pPr>
      <w:r>
        <w:t>94.5 Catalogue Additions</w:t>
      </w:r>
    </w:p>
    <w:p>
      <w:r>
        <w:rPr>
          <w:rFonts w:ascii="Arial" w:hAnsi="Arial" w:cs="Arial"/>
          <w:b w:val="0"/>
          <w:i w:val="0"/>
          <w:sz w:val="22"/>
        </w:rPr>
        <w:t>Section 81’s catalogue is extended with: application.rejected, sanction.approved, loan.restructured, loan.written_off, ots.approved, ots.settled, ots.broken, refund.processed, receipt.issued, receipt.cancelled, party.merged, consent.revoked, device.blocked, config.activated, scorecard.promoted — each following the 94.1 envelope.</w:t>
      </w:r>
    </w:p>
    <w:p>
      <w:pPr>
        <w:pStyle w:val="Heading1"/>
      </w:pPr>
      <w:r>
        <w:t>95. Configuration Lifecycle Governance</w:t>
      </w:r>
    </w:p>
    <w:p>
      <w:r>
        <w:rPr>
          <w:rFonts w:ascii="Arial" w:hAnsi="Arial" w:cs="Arial"/>
          <w:b w:val="0"/>
          <w:i w:val="0"/>
          <w:sz w:val="22"/>
        </w:rPr>
        <w:t>The platform’s central principle — products, rules, rates and returns as configuration, not code (Sections 1.3, 82) — is only safe if configuration is governed like code. Without this section, config becomes an unaudited release channel.</w:t>
      </w:r>
    </w:p>
    <w:p>
      <w:pPr>
        <w:pStyle w:val="Heading2"/>
      </w:pPr>
      <w:r>
        <w:t>95.1 Configuration States &amp;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c>
          <w:tcPr>
            <w:tcW w:type="dxa" w:w="21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State</w:t>
            </w:r>
          </w:p>
        </w:tc>
        <w:tc>
          <w:tcPr>
            <w:tcW w:type="dxa" w:w="42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Meaning</w:t>
            </w:r>
          </w:p>
        </w:tc>
        <w:tc>
          <w:tcPr>
            <w:tcW w:type="dxa" w:w="30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Gate to next state</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DRAFT</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Editable working copy; never visible to runtime</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Author completes; validation passes</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SANDBOX_TESTED</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Executed against the sandbox tenant with seed + cloned masked data</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Test evidence attached</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PENDING_APPROVAL</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Locked; diff vs. active version generated automatically</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Maker-checker: approver ≠ author; DOA by config class</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APPROVED / SCHEDULED</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Effective-dated activation queued (Section 39.2)</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Effective date reached</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ACTIVE</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In force for new business from effective date</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Superseded or retired</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RETIRED</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No new use; historical loans still resolve their booked config_version</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600"/>
        <w:gridCol w:w="2660"/>
      </w:tblGrid>
      <w:tr>
        <w:tc>
          <w:tcPr>
            <w:tcW w:type="dxa" w:w="21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Config class</w:t>
            </w:r>
          </w:p>
        </w:tc>
        <w:tc>
          <w:tcPr>
            <w:tcW w:type="dxa" w:w="46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Examples</w:t>
            </w:r>
          </w:p>
        </w:tc>
        <w:tc>
          <w:tcPr>
            <w:tcW w:type="dxa" w:w="26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Approval authority</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Regulatory-sensitive</w:t>
            </w:r>
          </w:p>
        </w:tc>
        <w:tc>
          <w:tcPr>
            <w:tcW w:type="dxa" w:w="4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Interest rate model &amp; grids (§5.4), penal charges (§45.6), KFS templates (§17.1), provisioning parameters (§9.4/30)</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Board/Committee resolution reference mandatory</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Financial</w:t>
            </w:r>
          </w:p>
        </w:tc>
        <w:tc>
          <w:tcPr>
            <w:tcW w:type="dxa" w:w="4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Fee schedules, appropriation order (§88), GL posting rules (§8.2)</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CFO/Head of Product per DOA</w:t>
            </w:r>
          </w:p>
        </w:tc>
      </w:tr>
      <w:tr>
        <w:tc>
          <w:tcPr>
            <w:tcW w:type="dxa" w:w="21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Operational</w:t>
            </w:r>
          </w:p>
        </w:tc>
        <w:tc>
          <w:tcPr>
            <w:tcW w:type="dxa" w:w="4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Form fields, checklists, worklist rules, notification templates</w:t>
            </w:r>
          </w:p>
        </w:tc>
        <w:tc>
          <w:tcPr>
            <w:tcW w:type="dxa" w:w="26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Module owner per DOA</w:t>
            </w:r>
          </w:p>
        </w:tc>
      </w:tr>
    </w:tbl>
    <w:p>
      <w:pPr>
        <w:pStyle w:val="Heading2"/>
      </w:pPr>
      <w:r>
        <w:t>95.2 Impact Simulation (What-If)</w:t>
      </w:r>
    </w:p>
    <w:p>
      <w:pPr>
        <w:pStyle w:val="ListParagraph"/>
        <w:numPr>
          <w:ilvl w:val="0"/>
          <w:numId w:val="2"/>
        </w:numPr>
        <w:spacing w:after="60"/>
      </w:pPr>
      <w:r>
        <w:rPr>
          <w:rFonts w:ascii="Arial" w:hAnsi="Arial" w:cs="Arial"/>
          <w:b w:val="0"/>
          <w:i w:val="0"/>
          <w:sz w:val="22"/>
        </w:rPr>
        <w:t>Before approval, a mandatory simulation runs the proposed config against a masked portfolio snapshot and reports: accounts affected, EMI/charge delta distribution, KFS re-disclosure obligations triggered (Section 17.1), GL posting-rule differences, and regulatory-return field impacts.</w:t>
      </w:r>
    </w:p>
    <w:p>
      <w:pPr>
        <w:pStyle w:val="ListParagraph"/>
        <w:numPr>
          <w:ilvl w:val="0"/>
          <w:numId w:val="2"/>
        </w:numPr>
        <w:spacing w:after="60"/>
      </w:pPr>
      <w:r>
        <w:rPr>
          <w:rFonts w:ascii="Arial" w:hAnsi="Arial" w:cs="Arial"/>
          <w:b w:val="0"/>
          <w:i w:val="0"/>
          <w:sz w:val="22"/>
        </w:rPr>
        <w:t>The simulation report is attached to the approval record — an approver never approves a diff blind.</w:t>
      </w:r>
    </w:p>
    <w:p>
      <w:pPr>
        <w:pStyle w:val="Heading2"/>
      </w:pPr>
      <w:r>
        <w:t>95.3 Environment Promotion &amp; Drift</w:t>
      </w:r>
    </w:p>
    <w:p>
      <w:pPr>
        <w:pStyle w:val="ListParagraph"/>
        <w:numPr>
          <w:ilvl w:val="0"/>
          <w:numId w:val="2"/>
        </w:numPr>
        <w:spacing w:after="60"/>
      </w:pPr>
      <w:r>
        <w:rPr>
          <w:rFonts w:ascii="Arial" w:hAnsi="Arial" w:cs="Arial"/>
          <w:b w:val="0"/>
          <w:i w:val="0"/>
          <w:sz w:val="22"/>
        </w:rPr>
        <w:t>Config exports are signed, versioned artifacts promoted Dev → UAT → Prod through the same pipeline discipline as code (Section 42.1); direct production config edits are disabled except break-glass with dual control and post-facto review.</w:t>
      </w:r>
    </w:p>
    <w:p>
      <w:pPr>
        <w:pStyle w:val="ListParagraph"/>
        <w:numPr>
          <w:ilvl w:val="0"/>
          <w:numId w:val="2"/>
        </w:numPr>
        <w:spacing w:after="60"/>
      </w:pPr>
      <w:r>
        <w:rPr>
          <w:rFonts w:ascii="Arial" w:hAnsi="Arial" w:cs="Arial"/>
          <w:b w:val="0"/>
          <w:i w:val="0"/>
          <w:sz w:val="22"/>
        </w:rPr>
        <w:t>Nightly drift detection diffs each environment against its expected artifact set; unexplained drift pages the platform owner.</w:t>
      </w:r>
    </w:p>
    <w:p>
      <w:pPr>
        <w:pStyle w:val="ListParagraph"/>
        <w:numPr>
          <w:ilvl w:val="0"/>
          <w:numId w:val="2"/>
        </w:numPr>
        <w:spacing w:after="60"/>
      </w:pPr>
      <w:r>
        <w:rPr>
          <w:rFonts w:ascii="Arial" w:hAnsi="Arial" w:cs="Arial"/>
          <w:b w:val="0"/>
          <w:i w:val="0"/>
          <w:sz w:val="22"/>
        </w:rPr>
        <w:t>Per-tenant overlays are themselves versioned artifacts; a tenant’s effective config is always reproducible as (base version + overlay version).</w:t>
      </w:r>
    </w:p>
    <w:p>
      <w:pPr>
        <w:pStyle w:val="Heading2"/>
      </w:pPr>
      <w:r>
        <w:t>95.4 Rollback &amp; Traceability</w:t>
      </w:r>
    </w:p>
    <w:p>
      <w:pPr>
        <w:pStyle w:val="ListParagraph"/>
        <w:numPr>
          <w:ilvl w:val="0"/>
          <w:numId w:val="2"/>
        </w:numPr>
        <w:spacing w:after="60"/>
      </w:pPr>
      <w:r>
        <w:rPr>
          <w:rFonts w:ascii="Arial" w:hAnsi="Arial" w:cs="Arial"/>
          <w:b w:val="0"/>
          <w:i w:val="0"/>
          <w:sz w:val="22"/>
        </w:rPr>
        <w:t>Any activation can be rolled back by re-activating the prior version effective-dated forward; loans keep their booked config_version (Section 39.2) so rollback never rewrites in-flight terms.</w:t>
      </w:r>
    </w:p>
    <w:p>
      <w:pPr>
        <w:pStyle w:val="ListParagraph"/>
        <w:numPr>
          <w:ilvl w:val="0"/>
          <w:numId w:val="2"/>
        </w:numPr>
        <w:spacing w:after="60"/>
      </w:pPr>
      <w:r>
        <w:rPr>
          <w:rFonts w:ascii="Arial" w:hAnsi="Arial" w:cs="Arial"/>
          <w:b w:val="0"/>
          <w:i w:val="0"/>
          <w:sz w:val="22"/>
        </w:rPr>
        <w:t>config.activated events (Section 94.5) give a complete, queryable history of what was in force when — the first artefact requested in any regulatory inspection of system-driven charges.</w:t>
      </w:r>
    </w:p>
    <w:p>
      <w:pPr>
        <w:pStyle w:val="Heading1"/>
      </w:pPr>
      <w:r>
        <w:t>96. Scorecard &amp; Rules — Champion–Challenger, Shadow Deployment &amp; Monitoring</w:t>
      </w:r>
    </w:p>
    <w:p>
      <w:r>
        <w:rPr>
          <w:rFonts w:ascii="Arial" w:hAnsi="Arial" w:cs="Arial"/>
          <w:b w:val="0"/>
          <w:i w:val="0"/>
          <w:sz w:val="22"/>
        </w:rPr>
        <w:t>Appendix D (Section 66) sets model-risk governance; this section adds the operating mechanism that lets Credit evolve scorecards (Section 5.2) safely and demonstrably — supporting the algorithmic-decisioning disclosure duties of Section 17.3.</w:t>
      </w:r>
    </w:p>
    <w:p>
      <w:pPr>
        <w:pStyle w:val="Heading2"/>
      </w:pPr>
      <w:r>
        <w:t>96.1 Shadow Mode</w:t>
      </w:r>
    </w:p>
    <w:p>
      <w:pPr>
        <w:pStyle w:val="ListParagraph"/>
        <w:numPr>
          <w:ilvl w:val="0"/>
          <w:numId w:val="2"/>
        </w:numPr>
        <w:spacing w:after="60"/>
      </w:pPr>
      <w:r>
        <w:rPr>
          <w:rFonts w:ascii="Arial" w:hAnsi="Arial" w:cs="Arial"/>
          <w:b w:val="0"/>
          <w:i w:val="0"/>
          <w:sz w:val="22"/>
        </w:rPr>
        <w:t>A challenger scorecard/rule-set executes on every live application in parallel with the champion; its decision, score and reason codes are logged but never enforced.</w:t>
      </w:r>
    </w:p>
    <w:p>
      <w:pPr>
        <w:pStyle w:val="ListParagraph"/>
        <w:numPr>
          <w:ilvl w:val="0"/>
          <w:numId w:val="2"/>
        </w:numPr>
        <w:spacing w:after="60"/>
      </w:pPr>
      <w:r>
        <w:rPr>
          <w:rFonts w:ascii="Arial" w:hAnsi="Arial" w:cs="Arial"/>
          <w:b w:val="0"/>
          <w:i w:val="0"/>
          <w:sz w:val="22"/>
        </w:rPr>
        <w:t>The comparison dashboard shows swap-set analysis (approve→decline and decline→approve populations), score-band migration and decision-agreement rate; shadow runs for a minimum sample size before any promotion case is accepted.</w:t>
      </w:r>
    </w:p>
    <w:p>
      <w:pPr>
        <w:pStyle w:val="Heading2"/>
      </w:pPr>
      <w:r>
        <w:t>96.2 Champion–Challenger Split</w:t>
      </w:r>
    </w:p>
    <w:p>
      <w:pPr>
        <w:pStyle w:val="ListParagraph"/>
        <w:numPr>
          <w:ilvl w:val="0"/>
          <w:numId w:val="2"/>
        </w:numPr>
        <w:spacing w:after="60"/>
      </w:pPr>
      <w:r>
        <w:rPr>
          <w:rFonts w:ascii="Arial" w:hAnsi="Arial" w:cs="Arial"/>
          <w:b w:val="0"/>
          <w:i w:val="0"/>
          <w:sz w:val="22"/>
        </w:rPr>
        <w:t>Optionally, an approved percentage of traffic (default ≤ 10%) is decided by the challenger; allocation is random within segment, logged per application, and requires Credit-head approval plus model-governance sign-off (Section 66).</w:t>
      </w:r>
    </w:p>
    <w:p>
      <w:pPr>
        <w:pStyle w:val="ListParagraph"/>
        <w:numPr>
          <w:ilvl w:val="0"/>
          <w:numId w:val="2"/>
        </w:numPr>
        <w:spacing w:after="60"/>
      </w:pPr>
      <w:r>
        <w:rPr>
          <w:rFonts w:ascii="Arial" w:hAnsi="Arial" w:cs="Arial"/>
          <w:b w:val="0"/>
          <w:i w:val="0"/>
          <w:sz w:val="22"/>
        </w:rPr>
        <w:t>Guardrails: a challenger can never relax regulatory or Board-policy constraints (e.g., microfinance indebtedness caps, LTV ceilings in Section 25.3, negative-list checks) — these execute outside the experiment as invariant rules.</w:t>
      </w:r>
    </w:p>
    <w:p>
      <w:pPr>
        <w:pStyle w:val="Heading2"/>
      </w:pPr>
      <w:r>
        <w:t>96.3 Ongoing Monitoring &amp; Recalibration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c>
          <w:tcPr>
            <w:tcW w:type="dxa" w:w="23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Metric</w:t>
            </w:r>
          </w:p>
        </w:tc>
        <w:tc>
          <w:tcPr>
            <w:tcW w:type="dxa" w:w="42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Purpose</w:t>
            </w:r>
          </w:p>
        </w:tc>
        <w:tc>
          <w:tcPr>
            <w:tcW w:type="dxa" w:w="28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Default trigger</w:t>
            </w:r>
          </w:p>
        </w:tc>
      </w:tr>
      <w:t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PSI / CSI</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Population &amp; characteristic stability vs. development sample</w:t>
            </w:r>
          </w:p>
        </w:tc>
        <w:tc>
          <w:tcPr>
            <w:tcW w:type="dxa" w:w="2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PSI &gt; 0.25 → recalibration review</w:t>
            </w:r>
          </w:p>
        </w:tc>
      </w:tr>
      <w:t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Gini / KS</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Discriminatory power on booked outcomes</w:t>
            </w:r>
          </w:p>
        </w:tc>
        <w:tc>
          <w:tcPr>
            <w:tcW w:type="dxa" w:w="2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Drop &gt; 10% from baseline</w:t>
            </w:r>
          </w:p>
        </w:tc>
      </w:tr>
      <w:t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Vintage default curves by score band</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Rank-ordering validation</w:t>
            </w:r>
          </w:p>
        </w:tc>
        <w:tc>
          <w:tcPr>
            <w:tcW w:type="dxa" w:w="2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Band inversion for 2 consecutive vintages</w:t>
            </w:r>
          </w:p>
        </w:tc>
      </w:tr>
      <w:tr>
        <w:tc>
          <w:tcPr>
            <w:tcW w:type="dxa" w:w="2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Override rate</w:t>
            </w:r>
          </w:p>
        </w:tc>
        <w:tc>
          <w:tcPr>
            <w:tcW w:type="dxa" w:w="4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Manual deviations vs. scorecard (Section 5.2)</w:t>
            </w:r>
          </w:p>
        </w:tc>
        <w:tc>
          <w:tcPr>
            <w:tcW w:type="dxa" w:w="28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&gt; 15% sustained → policy review</w:t>
            </w:r>
          </w:p>
        </w:tc>
      </w:tr>
    </w:tbl>
    <w:p>
      <w:pPr>
        <w:pStyle w:val="Heading2"/>
      </w:pPr>
      <w:r>
        <w:t>96.4 Promotion &amp; Reproducibility</w:t>
      </w:r>
    </w:p>
    <w:p>
      <w:pPr>
        <w:pStyle w:val="ListParagraph"/>
        <w:numPr>
          <w:ilvl w:val="0"/>
          <w:numId w:val="2"/>
        </w:numPr>
        <w:spacing w:after="60"/>
      </w:pPr>
      <w:r>
        <w:rPr>
          <w:rFonts w:ascii="Arial" w:hAnsi="Arial" w:cs="Arial"/>
          <w:b w:val="0"/>
          <w:i w:val="0"/>
          <w:sz w:val="22"/>
        </w:rPr>
        <w:t>Promotion follows a checklist: shadow evidence, swap-set impact, fair-treatment review, model-governance approval, and a rollback plan; promotion emits scorecard.promoted (Section 94.5).</w:t>
      </w:r>
    </w:p>
    <w:p>
      <w:pPr>
        <w:pStyle w:val="ListParagraph"/>
        <w:numPr>
          <w:ilvl w:val="0"/>
          <w:numId w:val="2"/>
        </w:numPr>
        <w:spacing w:after="60"/>
      </w:pPr>
      <w:r>
        <w:rPr>
          <w:rFonts w:ascii="Arial" w:hAnsi="Arial" w:cs="Arial"/>
          <w:b w:val="0"/>
          <w:i w:val="0"/>
          <w:sz w:val="22"/>
        </w:rPr>
        <w:t>Scorecards are versioned in a registry; every decision stores inputs, score, version and reason codes so any historical decision is exactly reproducible (Sections 17.3, 66).</w:t>
      </w:r>
    </w:p>
    <w:p>
      <w:pPr>
        <w:pStyle w:val="Heading1"/>
      </w:pPr>
      <w:r>
        <w:t>97. Data Archival, Retrieval &amp; DPDP Purge Certification</w:t>
      </w:r>
    </w:p>
    <w:p>
      <w:r>
        <w:rPr>
          <w:rFonts w:ascii="Arial" w:hAnsi="Arial" w:cs="Arial"/>
          <w:b w:val="0"/>
          <w:i w:val="0"/>
          <w:sz w:val="22"/>
        </w:rPr>
        <w:t>Section 35.2 fixes retention periods and Section 39.4 mentions partition archival; this section specifies the mechanism — how data moves through storage tiers, how it comes back for a regulator or court, and how erasure is proven under the DPDP Act.</w:t>
      </w:r>
    </w:p>
    <w:p>
      <w:pPr>
        <w:pStyle w:val="Heading2"/>
      </w:pPr>
      <w:r>
        <w:t>97.1 Storage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3060"/>
        <w:gridCol w:w="1800"/>
      </w:tblGrid>
      <w:tr>
        <w:tc>
          <w:tcPr>
            <w:tcW w:type="dxa" w:w="12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Tier</w:t>
            </w:r>
          </w:p>
        </w:tc>
        <w:tc>
          <w:tcPr>
            <w:tcW w:type="dxa" w:w="33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Contents</w:t>
            </w:r>
          </w:p>
        </w:tc>
        <w:tc>
          <w:tcPr>
            <w:tcW w:type="dxa" w:w="30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Store</w:t>
            </w:r>
          </w:p>
        </w:tc>
        <w:tc>
          <w:tcPr>
            <w:tcW w:type="dxa" w:w="18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Access</w:t>
            </w:r>
          </w:p>
        </w:tc>
      </w:tr>
      <w:tr>
        <w:tc>
          <w:tcPr>
            <w:tcW w:type="dxa" w:w="1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Hot</w:t>
            </w:r>
          </w:p>
        </w:tc>
        <w:tc>
          <w:tcPr>
            <w:tcW w:type="dxa" w:w="3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Live accounts + 24 months of closed accounts</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OLTP (Section 27.1)</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Milliseconds, full application access</w:t>
            </w:r>
          </w:p>
        </w:tc>
      </w:tr>
      <w:tr>
        <w:tc>
          <w:tcPr>
            <w:tcW w:type="dxa" w:w="1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Warm</w:t>
            </w:r>
          </w:p>
        </w:tc>
        <w:tc>
          <w:tcPr>
            <w:tcW w:type="dxa" w:w="3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Closed accounts beyond hot window; full detail</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Reporting mart / replica</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Query access; read-only</w:t>
            </w:r>
          </w:p>
        </w:tc>
      </w:tr>
      <w:tr>
        <w:tc>
          <w:tcPr>
            <w:tcW w:type="dxa" w:w="12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Cold</w:t>
            </w:r>
          </w:p>
        </w:tc>
        <w:tc>
          <w:tcPr>
            <w:tcW w:type="dxa" w:w="33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Beyond warm window until retention expiry</w:t>
            </w:r>
          </w:p>
        </w:tc>
        <w:tc>
          <w:tcPr>
            <w:tcW w:type="dxa" w:w="30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Columnar files (e.g., Parquet) + schema snapshot on WORM object storage</w:t>
            </w:r>
          </w:p>
        </w:tc>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Restore-based; 97.2 SLA</w:t>
            </w:r>
          </w:p>
        </w:tc>
      </w:tr>
    </w:tbl>
    <w:p>
      <w:pPr>
        <w:pStyle w:val="ListParagraph"/>
        <w:numPr>
          <w:ilvl w:val="0"/>
          <w:numId w:val="2"/>
        </w:numPr>
        <w:spacing w:after="60"/>
      </w:pPr>
      <w:r>
        <w:rPr>
          <w:rFonts w:ascii="Arial" w:hAnsi="Arial" w:cs="Arial"/>
          <w:b w:val="0"/>
          <w:i w:val="0"/>
          <w:sz w:val="22"/>
        </w:rPr>
        <w:t>Archival runs as an idempotent monthly batch (Section 82.3 catalogue addition); every archived partition carries a manifest (row counts, checksums, schema version) verified on write and on any restore.</w:t>
      </w:r>
    </w:p>
    <w:p>
      <w:pPr>
        <w:pStyle w:val="Heading2"/>
      </w:pPr>
      <w:r>
        <w:t>97.2 Retrieval</w:t>
      </w:r>
    </w:p>
    <w:p>
      <w:pPr>
        <w:pStyle w:val="ListParagraph"/>
        <w:numPr>
          <w:ilvl w:val="0"/>
          <w:numId w:val="2"/>
        </w:numPr>
        <w:spacing w:after="60"/>
      </w:pPr>
      <w:r>
        <w:rPr>
          <w:rFonts w:ascii="Arial" w:hAnsi="Arial" w:cs="Arial"/>
          <w:b w:val="0"/>
          <w:i w:val="0"/>
          <w:sz w:val="22"/>
        </w:rPr>
        <w:t>SLAs: warm ≤ 48 hours, cold ≤ 7 working days, for regulator, court, internal-audit or borrower (DPDP access-request) needs.</w:t>
      </w:r>
    </w:p>
    <w:p>
      <w:pPr>
        <w:pStyle w:val="ListParagraph"/>
        <w:numPr>
          <w:ilvl w:val="0"/>
          <w:numId w:val="2"/>
        </w:numPr>
        <w:spacing w:after="60"/>
      </w:pPr>
      <w:r>
        <w:rPr>
          <w:rFonts w:ascii="Arial" w:hAnsi="Arial" w:cs="Arial"/>
          <w:b w:val="0"/>
          <w:i w:val="0"/>
          <w:sz w:val="22"/>
        </w:rPr>
        <w:t>Cold restores go to an isolated restore sandbox — never back into production tables; access is time-boxed and logged with a chain-of-custody record (who requested, legal basis, what was restored, when destroyed).</w:t>
      </w:r>
    </w:p>
    <w:p>
      <w:pPr>
        <w:pStyle w:val="Heading2"/>
      </w:pPr>
      <w:r>
        <w:t>97.3 Purge &amp; DPDP Erasure Certification</w:t>
      </w:r>
    </w:p>
    <w:p>
      <w:pPr>
        <w:pStyle w:val="ListParagraph"/>
        <w:numPr>
          <w:ilvl w:val="0"/>
          <w:numId w:val="2"/>
        </w:numPr>
        <w:spacing w:after="60"/>
      </w:pPr>
      <w:r>
        <w:rPr>
          <w:rFonts w:ascii="Arial" w:hAnsi="Arial" w:cs="Arial"/>
          <w:b w:val="0"/>
          <w:i w:val="0"/>
          <w:sz w:val="22"/>
        </w:rPr>
        <w:t>The Section 35.2 schedule drives automated purge jobs; a purge is blocked by any active legal hold, ongoing dispute, or statutory retention override (RBI/PMLA periods prevail over erasure requests — the borrower is informed of the deferral basis).</w:t>
      </w:r>
    </w:p>
    <w:p>
      <w:pPr>
        <w:pStyle w:val="ListParagraph"/>
        <w:numPr>
          <w:ilvl w:val="0"/>
          <w:numId w:val="2"/>
        </w:numPr>
        <w:spacing w:after="60"/>
      </w:pPr>
      <w:r>
        <w:rPr>
          <w:rFonts w:ascii="Arial" w:hAnsi="Arial" w:cs="Arial"/>
          <w:b w:val="0"/>
          <w:i w:val="0"/>
          <w:sz w:val="22"/>
        </w:rPr>
        <w:t>Encrypted PII supports cryptographic erasure (key destruction) where physical deletion is impractical (e.g., WORM archives); key-destruction events are themselves logged and certified.</w:t>
      </w:r>
    </w:p>
    <w:p>
      <w:pPr>
        <w:pStyle w:val="ListParagraph"/>
        <w:numPr>
          <w:ilvl w:val="0"/>
          <w:numId w:val="2"/>
        </w:numPr>
        <w:spacing w:after="60"/>
      </w:pPr>
      <w:r>
        <w:rPr>
          <w:rFonts w:ascii="Arial" w:hAnsi="Arial" w:cs="Arial"/>
          <w:b w:val="0"/>
          <w:i w:val="0"/>
          <w:sz w:val="22"/>
        </w:rPr>
        <w:t>Every purge produces a purge certificate: scope, record-count manifest hash, schedule/authority reference, execution timestamp, operator and approver — retained as compliance evidence.</w:t>
      </w:r>
    </w:p>
    <w:p>
      <w:pPr>
        <w:pStyle w:val="Heading2"/>
      </w:pPr>
      <w:r>
        <w:t>97.4 Backup Alignment</w:t>
      </w:r>
    </w:p>
    <w:p>
      <w:pPr>
        <w:pStyle w:val="ListParagraph"/>
        <w:numPr>
          <w:ilvl w:val="0"/>
          <w:numId w:val="2"/>
        </w:numPr>
        <w:spacing w:after="60"/>
      </w:pPr>
      <w:r>
        <w:rPr>
          <w:rFonts w:ascii="Arial" w:hAnsi="Arial" w:cs="Arial"/>
          <w:b w:val="0"/>
          <w:i w:val="0"/>
          <w:sz w:val="22"/>
        </w:rPr>
        <w:t>Backups age out on a schedule consistent with retention: purged data must not outlive policy inside backups; backup encryption keys rotate, and restore tests (Section 42) verify that purged records do not resurrect.</w:t>
      </w:r>
    </w:p>
    <w:p>
      <w:pPr>
        <w:pStyle w:val="Heading1"/>
      </w:pPr>
      <w:r>
        <w:t>98. Borrower-Portal Session Security &amp; Account-Takeover Controls</w:t>
      </w:r>
    </w:p>
    <w:p>
      <w:r>
        <w:rPr>
          <w:rFonts w:ascii="Arial" w:hAnsi="Arial" w:cs="Arial"/>
          <w:b w:val="0"/>
          <w:i w:val="0"/>
          <w:sz w:val="22"/>
        </w:rPr>
        <w:t>Section 34 secures the platform; this section hardens the public-facing surface — the borrower portal/app (Section 1.2 Layer 1) — against credential abuse and account takeover (ATO). Fraud signals from this section feed the EWS engine (Section 37.1).</w:t>
      </w:r>
    </w:p>
    <w:p>
      <w:pPr>
        <w:pStyle w:val="Heading2"/>
      </w:pPr>
      <w:r>
        <w:t>98.1 Session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Control</w:t>
            </w:r>
          </w:p>
        </w:tc>
        <w:tc>
          <w:tcPr>
            <w:tcW w:type="dxa" w:w="260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Default</w:t>
            </w:r>
          </w:p>
        </w:tc>
        <w:tc>
          <w:tcPr>
            <w:tcW w:type="dxa" w:w="4160"/>
            <w:tcBorders>
              <w:top w:val="single" w:color="BFBFBF" w:sz="1"/>
              <w:left w:val="single" w:color="BFBFBF" w:sz="1"/>
              <w:bottom w:val="single" w:color="BFBFBF" w:sz="1"/>
              <w:right w:val="single" w:color="BFBFBF" w:sz="1"/>
            </w:tcBorders>
            <w:shd w:val="clear" w:fill="1F4E78"/>
            <w:tcMar>
              <w:top w:type="dxa" w:w="50"/>
              <w:left w:type="dxa" w:w="90"/>
              <w:bottom w:type="dxa" w:w="50"/>
              <w:right w:type="dxa" w:w="90"/>
            </w:tcMar>
            <w:vAlign w:val="center"/>
          </w:tcPr>
          <w:p>
            <w:r>
              <w:rPr>
                <w:rFonts w:ascii="Arial" w:hAnsi="Arial" w:cs="Arial"/>
                <w:rFonts w:ascii="Arial" w:hAnsi="Arial"/>
                <w:b/>
                <w:color w:val="FFFFFF"/>
                <w:sz w:val="17"/>
              </w:rPr>
              <w:t>Notes</w:t>
            </w:r>
          </w:p>
        </w:tc>
      </w:tr>
      <w:t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Idle timeout</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10 minutes</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Sliding; re-auth on expiry</w:t>
            </w:r>
          </w:p>
        </w:tc>
      </w:tr>
      <w:t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Absolute session lifetime</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24 hours</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Refresh-token rotation per Section 82.1</w:t>
            </w:r>
          </w:p>
        </w:tc>
      </w:tr>
      <w:t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Concurrent sessions</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2 devices</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Oldest evicted with notification</w:t>
            </w:r>
          </w:p>
        </w:tc>
      </w:tr>
      <w:t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Step-up authentication</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OTP re-challenge</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For: bank/beneficiary change, contact-detail change, foreclosure/statement-to-new-email requests</w:t>
            </w:r>
          </w:p>
        </w:tc>
      </w:tr>
      <w:tr>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New-device login</w:t>
            </w:r>
          </w:p>
        </w:tc>
        <w:tc>
          <w:tcPr>
            <w:tcW w:type="dxa" w:w="2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OTP + push/SMS notification to registered contacts</w:t>
            </w:r>
          </w:p>
        </w:tc>
        <w:tc>
          <w:tcPr>
            <w:tcW w:type="dxa" w:w="4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rFonts w:ascii="Arial" w:hAnsi="Arial" w:cs="Arial"/>
                <w:rFonts w:ascii="Arial" w:hAnsi="Arial"/>
                <w:b w:val="0"/>
                <w:color w:val="222222"/>
                <w:sz w:val="17"/>
              </w:rPr>
              <w:t>Device fingerprint stored; borrower can revoke devices</w:t>
            </w:r>
          </w:p>
        </w:tc>
      </w:tr>
    </w:tbl>
    <w:p>
      <w:pPr>
        <w:pStyle w:val="Heading2"/>
      </w:pPr>
      <w:r>
        <w:t>98.2 Credential &amp; Bot Defence</w:t>
      </w:r>
    </w:p>
    <w:p>
      <w:pPr>
        <w:pStyle w:val="ListParagraph"/>
        <w:numPr>
          <w:ilvl w:val="0"/>
          <w:numId w:val="2"/>
        </w:numPr>
        <w:spacing w:after="60"/>
      </w:pPr>
      <w:r>
        <w:rPr>
          <w:rFonts w:ascii="Arial" w:hAnsi="Arial" w:cs="Arial"/>
          <w:b w:val="0"/>
          <w:i w:val="0"/>
          <w:sz w:val="22"/>
        </w:rPr>
        <w:t>Login rate-limiting per account and per IP with exponential lockout; CAPTCHA/bot-management challenge on anomaly; credentials screened against breached-password lists at set/change.</w:t>
      </w:r>
    </w:p>
    <w:p>
      <w:pPr>
        <w:pStyle w:val="ListParagraph"/>
        <w:numPr>
          <w:ilvl w:val="0"/>
          <w:numId w:val="2"/>
        </w:numPr>
        <w:spacing w:after="60"/>
      </w:pPr>
      <w:r>
        <w:rPr>
          <w:rFonts w:ascii="Arial" w:hAnsi="Arial" w:cs="Arial"/>
          <w:b w:val="0"/>
          <w:i w:val="0"/>
          <w:sz w:val="22"/>
        </w:rPr>
        <w:t>Velocity and geo checks (impossible travel, TOR/proxy heuristics) score each session; high-risk sessions are limited to read-only until step-up succeeds.</w:t>
      </w:r>
    </w:p>
    <w:p>
      <w:pPr>
        <w:pStyle w:val="Heading2"/>
      </w:pPr>
      <w:r>
        <w:t>98.3 Account-Takeover Response</w:t>
      </w:r>
    </w:p>
    <w:p>
      <w:pPr>
        <w:pStyle w:val="ListParagraph"/>
        <w:numPr>
          <w:ilvl w:val="0"/>
          <w:numId w:val="2"/>
        </w:numPr>
        <w:spacing w:after="60"/>
      </w:pPr>
      <w:r>
        <w:rPr>
          <w:rFonts w:ascii="Arial" w:hAnsi="Arial" w:cs="Arial"/>
          <w:b w:val="0"/>
          <w:i w:val="0"/>
          <w:sz w:val="22"/>
        </w:rPr>
        <w:t>Mobile/email change requires dual verification (OTP on both old and new channel, or branch/VKYC where the old channel is lost) with a 24-hour cooling period during which payouts/mandate changes are blocked and the old channel is notified.</w:t>
      </w:r>
    </w:p>
    <w:p>
      <w:pPr>
        <w:pStyle w:val="ListParagraph"/>
        <w:numPr>
          <w:ilvl w:val="0"/>
          <w:numId w:val="2"/>
        </w:numPr>
        <w:spacing w:after="60"/>
      </w:pPr>
      <w:r>
        <w:rPr>
          <w:rFonts w:ascii="Arial" w:hAnsi="Arial" w:cs="Arial"/>
          <w:b w:val="0"/>
          <w:i w:val="0"/>
          <w:sz w:val="22"/>
        </w:rPr>
        <w:t>Suspected ATO locks the portal account (never the loan servicing itself), notifies the borrower out-of-band, and requires verified re-KYC to unlock; every event is auditable and reported into fraud workflows (Section 37.2).</w:t>
      </w:r>
    </w:p>
    <w:p>
      <w:pPr>
        <w:pStyle w:val="ListParagraph"/>
        <w:numPr>
          <w:ilvl w:val="0"/>
          <w:numId w:val="2"/>
        </w:numPr>
        <w:spacing w:after="60"/>
      </w:pPr>
      <w:r>
        <w:rPr>
          <w:rFonts w:ascii="Arial" w:hAnsi="Arial" w:cs="Arial"/>
          <w:b w:val="0"/>
          <w:i w:val="0"/>
          <w:sz w:val="22"/>
        </w:rPr>
        <w:t>All 98.x events (new device, step-up failure, channel change, lockout) emit domain events (Section 94) and appear in the borrower’s own activity log on the portal — transparency is itself a control.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LMS — Architecture &amp; Functional Specification</w:t>
    </w:r>
    <w:r>
      <w:rPr>
        <w:color w:val="888888"/>
        <w:sz w:val="16"/>
        <w:szCs w:val="16"/>
      </w:rPr>
      <w:t xml:space="preserve">	LawDocs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6" w:space="4"/>
      </w:pBdr>
      <w:spacing w:after="20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4E78"/>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2E75B6"/>
      <w:sz w:val="24"/>
      <w:szCs w:val="24"/>
    </w:rPr>
  </w:style>
  <w:style w:type="paragraph" w:styleId="Heading4">
    <w:name w:val="Heading 4"/>
    <w:basedOn w:val="Normal"/>
    <w:next w:val="Normal"/>
    <w:qFormat/>
    <w:pPr>
      <w:spacing w:after="80" w:before="160"/>
      <w:outlineLvl w:val="3"/>
    </w:pPr>
    <w:rPr>
      <w:rFonts w:ascii="Arial" w:cs="Arial" w:eastAsia="Arial" w:hAnsi="Arial"/>
      <w:b/>
      <w:bCs/>
      <w:color w:val="444444"/>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927a516b922a8c75156a0f5dac6bfa1fbf9153.png"/><Relationship Id="rId10" Type="http://schemas.openxmlformats.org/officeDocument/2006/relationships/image" Target="media/dbc3daf2b01f223d6f6d44e0c495b277bcbe88ca.png"/><Relationship Id="rId11" Type="http://schemas.openxmlformats.org/officeDocument/2006/relationships/image" Target="media/373e9c6e9ba83c3703dcec6858bf479e165599a9.png"/><Relationship Id="rId12" Type="http://schemas.openxmlformats.org/officeDocument/2006/relationships/image" Target="media/761546f6c76e691cef636babc205053547d028b8.png"/><Relationship Id="rId13" Type="http://schemas.openxmlformats.org/officeDocument/2006/relationships/fontTable" Target="fontTable.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2026-07-01T13:23:14.972Z</dcterms:created>
  <dcterms:modified xsi:type="dcterms:W3CDTF">2026-07-01T13:23:14.972Z</dcterms:modified>
</cp:coreProperties>
</file>

<file path=docProps/custom.xml><?xml version="1.0" encoding="utf-8"?>
<Properties xmlns="http://schemas.openxmlformats.org/officeDocument/2006/custom-properties" xmlns:vt="http://schemas.openxmlformats.org/officeDocument/2006/docPropsVTypes"/>
</file>