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b/>
          <w:color w:val="1A2A40"/>
          <w:sz w:val="40"/>
        </w:rPr>
        <w:t>Supply Chain Agility Simulator — User Guide</w:t>
      </w:r>
    </w:p>
    <w:p>
      <w:pPr>
        <w:spacing w:after="80"/>
      </w:pPr>
      <w:r>
        <w:rPr>
          <w:i/>
        </w:rPr>
        <w:t>Version 2 · April 2026 · single-file Streamlit app</w:t>
      </w:r>
    </w:p>
    <w:p>
      <w:pPr>
        <w:spacing w:before="200" w:after="80"/>
      </w:pPr>
      <w:r>
        <w:rPr>
          <w:b/>
          <w:color w:val="2C3E56"/>
          <w:sz w:val="28"/>
        </w:rPr>
        <w:t>Executive Summary</w:t>
      </w:r>
    </w:p>
    <w:p>
      <w:pPr>
        <w:spacing w:after="80"/>
      </w:pPr>
      <w:r>
        <w:t>This tool simulates a 26-week, two-store supply chain across four physical stages (Material → Semi → Finishing+CW → Distribution). It compares Push and Agile architectures across three demand regimes (Flat, Growth, Drop) plus Seasonal patterns, and quantifies the financial impact of lead time, order frequency, stock distribution, and reactive distribution.</w:t>
      </w:r>
    </w:p>
    <w:p>
      <w:pPr>
        <w:spacing w:before="120" w:after="40"/>
      </w:pPr>
      <w:r>
        <w:rPr>
          <w:b/>
          <w:color w:val="4A6280"/>
          <w:sz w:val="23"/>
        </w:rPr>
        <w:t>What the simulator demonstrates</w:t>
      </w:r>
    </w:p>
    <w:p>
      <w:pPr>
        <w:pStyle w:val="ListBullet"/>
        <w:spacing w:after="40"/>
      </w:pPr>
      <w:r>
        <w:t>Agility wins across regimes — short lead times + frequent reviews beat long lead times + heavy pre-positioning on margin and capital efficiency.</w:t>
      </w:r>
    </w:p>
    <w:p>
      <w:pPr>
        <w:pStyle w:val="ListBullet"/>
        <w:spacing w:after="40"/>
      </w:pPr>
      <w:r>
        <w:t>Medium lead time is the dangerous middle — neither Push's brute-force stock nor Agile's short pipeline.</w:t>
      </w:r>
    </w:p>
    <w:p>
      <w:pPr>
        <w:pStyle w:val="ListBullet"/>
        <w:spacing w:after="40"/>
      </w:pPr>
      <w:r>
        <w:t>Pre-positioned store stock sells immediately; pre-positioned upstream stock (RM/Semi) only flows once the planner places an order.</w:t>
      </w:r>
    </w:p>
    <w:p>
      <w:pPr>
        <w:pStyle w:val="ListBullet"/>
        <w:spacing w:after="40"/>
      </w:pPr>
      <w:r>
        <w:t>Initial inventory is real pre-investment — valued at stage cost (RM 50%, Semi 75%, Finished 100%) and reflected in the P&amp;L. Nothing is free.</w:t>
      </w:r>
    </w:p>
    <w:p>
      <w:pPr>
        <w:spacing w:before="120" w:after="40"/>
      </w:pPr>
      <w:r>
        <w:rPr>
          <w:b/>
          <w:color w:val="4A6280"/>
          <w:sz w:val="23"/>
        </w:rPr>
        <w:t>The four levers</w:t>
      </w:r>
    </w:p>
    <w:p>
      <w:pPr>
        <w:pStyle w:val="ListBullet"/>
        <w:spacing w:after="40"/>
      </w:pPr>
      <w:r>
        <w:t>Lead time per stage — drives reactivity.</w:t>
      </w:r>
    </w:p>
    <w:p>
      <w:pPr>
        <w:pStyle w:val="ListBullet"/>
        <w:spacing w:after="40"/>
      </w:pPr>
      <w:r>
        <w:t>Order frequency — periodic-review blindness between reviews.</w:t>
      </w:r>
    </w:p>
    <w:p>
      <w:pPr>
        <w:pStyle w:val="ListBullet"/>
        <w:spacing w:after="40"/>
      </w:pPr>
      <w:r>
        <w:t>Initial stock total + distribution across the four buffers.</w:t>
      </w:r>
    </w:p>
    <w:p>
      <w:pPr>
        <w:pStyle w:val="ListBullet"/>
        <w:spacing w:after="40"/>
      </w:pPr>
      <w:r>
        <w:t>Smart vs blind store allocation when CW pushes finished goods downstream.</w:t>
      </w:r>
    </w:p>
    <w:p>
      <w:pPr>
        <w:spacing w:before="120" w:after="40"/>
      </w:pPr>
      <w:r>
        <w:rPr>
          <w:b/>
          <w:color w:val="4A6280"/>
          <w:sz w:val="23"/>
        </w:rPr>
        <w:t>Quick start</w:t>
      </w:r>
    </w:p>
    <w:p>
      <w:pPr>
        <w:pStyle w:val="ListNumber"/>
        <w:spacing w:after="40"/>
      </w:pPr>
      <w:r>
        <w:t>Open the app in your browser.</w:t>
      </w:r>
    </w:p>
    <w:p>
      <w:pPr>
        <w:pStyle w:val="ListNumber"/>
        <w:spacing w:after="40"/>
      </w:pPr>
      <w:r>
        <w:t>Click any of the 18 quick-scenario buttons in the left sidebar to load a preset.</w:t>
      </w:r>
    </w:p>
    <w:p>
      <w:pPr>
        <w:pStyle w:val="ListNumber"/>
        <w:spacing w:after="40"/>
      </w:pPr>
      <w:r>
        <w:t>Use the week navigation buttons (W0 / −1 / +1 / W26) to step through time.</w:t>
      </w:r>
    </w:p>
    <w:p>
      <w:pPr>
        <w:pStyle w:val="ListNumber"/>
        <w:spacing w:after="40"/>
      </w:pPr>
      <w:r>
        <w:t>Read the cumulative KPIs at the top, expand the P&amp;L for the financial summary, and the Charts expander for trend views.</w:t>
      </w:r>
    </w:p>
    <w:p>
      <w:pPr>
        <w:pStyle w:val="ListNumber"/>
        <w:spacing w:after="40"/>
      </w:pPr>
      <w:r>
        <w:t>Compare scenarios with the Save Scenario expander — first save is the baseline, subsequent saves show Δ vs base.</w:t>
      </w:r>
    </w:p>
    <w:p>
      <w:r>
        <w:br w:type="page"/>
      </w:r>
    </w:p>
    <w:p>
      <w:pPr>
        <w:spacing w:before="240" w:after="160"/>
      </w:pPr>
      <w:r>
        <w:rPr>
          <w:b/>
          <w:color w:val="1A2A40"/>
          <w:sz w:val="40"/>
        </w:rPr>
        <w:t>1. Introduction</w:t>
      </w:r>
    </w:p>
    <w:p>
      <w:pPr>
        <w:spacing w:before="200" w:after="80"/>
      </w:pPr>
      <w:r>
        <w:rPr>
          <w:b/>
          <w:color w:val="2C3E56"/>
          <w:sz w:val="28"/>
        </w:rPr>
        <w:t>Purpose</w:t>
      </w:r>
    </w:p>
    <w:p>
      <w:pPr>
        <w:spacing w:after="80"/>
      </w:pPr>
      <w:r>
        <w:t>Supply chain debates often reduce to dogma: "agility is always better" vs "economies of scale need long campaigns." Both positions ignore that the right answer depends on demand profile, lead times, and pre-investment. This simulator lets the numbers settle the argument under explicit, editable hypotheses.</w:t>
      </w:r>
    </w:p>
    <w:p>
      <w:pPr>
        <w:spacing w:before="200" w:after="80"/>
      </w:pPr>
      <w:r>
        <w:rPr>
          <w:b/>
          <w:color w:val="2C3E56"/>
          <w:sz w:val="28"/>
        </w:rPr>
        <w:t>The physical model</w:t>
      </w:r>
    </w:p>
    <w:p>
      <w:pPr>
        <w:spacing w:after="80"/>
      </w:pPr>
      <w:r>
        <w:t>A single product flows through four sequential stages, each with its own lead time and capacity. Two retail stores draw from a shared central warehouse (CW). Demand is split between the stores by a configurable percentage. The supplier ships raw material into the Material pipe; capacity ramps linearly once the factory is activated by the first order.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531"/>
            <w:shd w:val="clear" w:fill="DCE3ED"/>
          </w:tcPr>
          <w:p>
            <w:r/>
            <w:r>
              <w:rPr>
                <w:b/>
                <w:sz w:val="20"/>
              </w:rPr>
              <w:t>Stage</w:t>
            </w:r>
          </w:p>
        </w:tc>
        <w:tc>
          <w:tcPr>
            <w:tcW w:type="dxa" w:w="2948"/>
            <w:shd w:val="clear" w:fill="DCE3ED"/>
          </w:tcPr>
          <w:p>
            <w:r/>
            <w:r>
              <w:rPr>
                <w:b/>
                <w:sz w:val="20"/>
              </w:rPr>
              <w:t>Holds</w:t>
            </w:r>
          </w:p>
        </w:tc>
        <w:tc>
          <w:tcPr>
            <w:tcW w:type="dxa" w:w="1474"/>
            <w:shd w:val="clear" w:fill="DCE3ED"/>
          </w:tcPr>
          <w:p>
            <w:r/>
            <w:r>
              <w:rPr>
                <w:b/>
                <w:sz w:val="20"/>
              </w:rPr>
              <w:t>Cost valuation</w:t>
            </w:r>
          </w:p>
        </w:tc>
        <w:tc>
          <w:tcPr>
            <w:tcW w:type="dxa" w:w="1417"/>
            <w:shd w:val="clear" w:fill="DCE3ED"/>
          </w:tcPr>
          <w:p>
            <w:r/>
            <w:r>
              <w:rPr>
                <w:b/>
                <w:sz w:val="20"/>
              </w:rPr>
              <w:t>Default Agile LT</w:t>
            </w:r>
          </w:p>
        </w:tc>
        <w:tc>
          <w:tcPr>
            <w:tcW w:type="dxa" w:w="1417"/>
            <w:shd w:val="clear" w:fill="DCE3ED"/>
          </w:tcPr>
          <w:p>
            <w:r/>
            <w:r>
              <w:rPr>
                <w:b/>
                <w:sz w:val="20"/>
              </w:rPr>
              <w:t>Default Push LT</w:t>
            </w:r>
          </w:p>
        </w:tc>
      </w:tr>
      <w:tr>
        <w:tc>
          <w:tcPr>
            <w:tcW w:type="dxa" w:w="1531"/>
          </w:tcPr>
          <w:p>
            <w:r/>
            <w:r>
              <w:rPr>
                <w:sz w:val="19"/>
              </w:rPr>
              <w:t>Material</w:t>
            </w:r>
          </w:p>
        </w:tc>
        <w:tc>
          <w:tcPr>
            <w:tcW w:type="dxa" w:w="2948"/>
          </w:tcPr>
          <w:p>
            <w:r/>
            <w:r>
              <w:rPr>
                <w:sz w:val="19"/>
              </w:rPr>
              <w:t>Raw material in transit + RM buffer</w:t>
            </w:r>
          </w:p>
        </w:tc>
        <w:tc>
          <w:tcPr>
            <w:tcW w:type="dxa" w:w="1474"/>
          </w:tcPr>
          <w:p>
            <w:r/>
            <w:r>
              <w:rPr>
                <w:sz w:val="19"/>
              </w:rPr>
              <w:t>50% of VC</w:t>
            </w:r>
          </w:p>
        </w:tc>
        <w:tc>
          <w:tcPr>
            <w:tcW w:type="dxa" w:w="1417"/>
          </w:tcPr>
          <w:p>
            <w:r/>
            <w:r>
              <w:rPr>
                <w:sz w:val="19"/>
              </w:rPr>
              <w:t>4 wk</w:t>
            </w:r>
          </w:p>
        </w:tc>
        <w:tc>
          <w:tcPr>
            <w:tcW w:type="dxa" w:w="1417"/>
          </w:tcPr>
          <w:p>
            <w:r/>
            <w:r>
              <w:rPr>
                <w:sz w:val="19"/>
              </w:rPr>
              <w:t>12 wk</w:t>
            </w:r>
          </w:p>
        </w:tc>
      </w:tr>
      <w:tr>
        <w:tc>
          <w:tcPr>
            <w:tcW w:type="dxa" w:w="1531"/>
          </w:tcPr>
          <w:p>
            <w:r/>
            <w:r>
              <w:rPr>
                <w:sz w:val="19"/>
              </w:rPr>
              <w:t>Semi</w:t>
            </w:r>
          </w:p>
        </w:tc>
        <w:tc>
          <w:tcPr>
            <w:tcW w:type="dxa" w:w="2948"/>
          </w:tcPr>
          <w:p>
            <w:r/>
            <w:r>
              <w:rPr>
                <w:sz w:val="19"/>
              </w:rPr>
              <w:t>Semi-finished in transit + Semi buffer</w:t>
            </w:r>
          </w:p>
        </w:tc>
        <w:tc>
          <w:tcPr>
            <w:tcW w:type="dxa" w:w="1474"/>
          </w:tcPr>
          <w:p>
            <w:r/>
            <w:r>
              <w:rPr>
                <w:sz w:val="19"/>
              </w:rPr>
              <w:t>75% of VC</w:t>
            </w:r>
          </w:p>
        </w:tc>
        <w:tc>
          <w:tcPr>
            <w:tcW w:type="dxa" w:w="1417"/>
          </w:tcPr>
          <w:p>
            <w:r/>
            <w:r>
              <w:rPr>
                <w:sz w:val="19"/>
              </w:rPr>
              <w:t>2 wk</w:t>
            </w:r>
          </w:p>
        </w:tc>
        <w:tc>
          <w:tcPr>
            <w:tcW w:type="dxa" w:w="1417"/>
          </w:tcPr>
          <w:p>
            <w:r/>
            <w:r>
              <w:rPr>
                <w:sz w:val="19"/>
              </w:rPr>
              <w:t>6 wk</w:t>
            </w:r>
          </w:p>
        </w:tc>
      </w:tr>
      <w:tr>
        <w:tc>
          <w:tcPr>
            <w:tcW w:type="dxa" w:w="1531"/>
          </w:tcPr>
          <w:p>
            <w:r/>
            <w:r>
              <w:rPr>
                <w:sz w:val="19"/>
              </w:rPr>
              <w:t>Finishing</w:t>
            </w:r>
          </w:p>
        </w:tc>
        <w:tc>
          <w:tcPr>
            <w:tcW w:type="dxa" w:w="2948"/>
          </w:tcPr>
          <w:p>
            <w:r/>
            <w:r>
              <w:rPr>
                <w:sz w:val="19"/>
              </w:rPr>
              <w:t>Finished goods in transit + CW buffer</w:t>
            </w:r>
          </w:p>
        </w:tc>
        <w:tc>
          <w:tcPr>
            <w:tcW w:type="dxa" w:w="1474"/>
          </w:tcPr>
          <w:p>
            <w:r/>
            <w:r>
              <w:rPr>
                <w:sz w:val="19"/>
              </w:rPr>
              <w:t>100% of VC</w:t>
            </w:r>
          </w:p>
        </w:tc>
        <w:tc>
          <w:tcPr>
            <w:tcW w:type="dxa" w:w="1417"/>
          </w:tcPr>
          <w:p>
            <w:r/>
            <w:r>
              <w:rPr>
                <w:sz w:val="19"/>
              </w:rPr>
              <w:t>1 wk</w:t>
            </w:r>
          </w:p>
        </w:tc>
        <w:tc>
          <w:tcPr>
            <w:tcW w:type="dxa" w:w="1417"/>
          </w:tcPr>
          <w:p>
            <w:r/>
            <w:r>
              <w:rPr>
                <w:sz w:val="19"/>
              </w:rPr>
              <w:t>3 wk</w:t>
            </w:r>
          </w:p>
        </w:tc>
      </w:tr>
      <w:tr>
        <w:tc>
          <w:tcPr>
            <w:tcW w:type="dxa" w:w="1531"/>
          </w:tcPr>
          <w:p>
            <w:r/>
            <w:r>
              <w:rPr>
                <w:sz w:val="19"/>
              </w:rPr>
              <w:t>Distribution</w:t>
            </w:r>
          </w:p>
        </w:tc>
        <w:tc>
          <w:tcPr>
            <w:tcW w:type="dxa" w:w="2948"/>
          </w:tcPr>
          <w:p>
            <w:r/>
            <w:r>
              <w:rPr>
                <w:sz w:val="19"/>
              </w:rPr>
              <w:t>Goods en route to a specific store</w:t>
            </w:r>
          </w:p>
        </w:tc>
        <w:tc>
          <w:tcPr>
            <w:tcW w:type="dxa" w:w="1474"/>
          </w:tcPr>
          <w:p>
            <w:r/>
            <w:r>
              <w:rPr>
                <w:sz w:val="19"/>
              </w:rPr>
              <w:t>100% of VC</w:t>
            </w:r>
          </w:p>
        </w:tc>
        <w:tc>
          <w:tcPr>
            <w:tcW w:type="dxa" w:w="1417"/>
          </w:tcPr>
          <w:p>
            <w:r/>
            <w:r>
              <w:rPr>
                <w:sz w:val="19"/>
              </w:rPr>
              <w:t>1 wk</w:t>
            </w:r>
          </w:p>
        </w:tc>
        <w:tc>
          <w:tcPr>
            <w:tcW w:type="dxa" w:w="1417"/>
          </w:tcPr>
          <w:p>
            <w:r/>
            <w:r>
              <w:rPr>
                <w:sz w:val="19"/>
              </w:rPr>
              <w:t>3 wk</w:t>
            </w:r>
          </w:p>
        </w:tc>
      </w:tr>
    </w:tbl>
    <w:p>
      <w:pPr>
        <w:spacing w:before="200" w:after="80"/>
      </w:pPr>
      <w:r>
        <w:rPr>
          <w:b/>
          <w:color w:val="2C3E56"/>
          <w:sz w:val="28"/>
        </w:rPr>
        <w:t>Two stores, smart distribution</w:t>
      </w:r>
    </w:p>
    <w:p>
      <w:pPr>
        <w:spacing w:after="80"/>
      </w:pPr>
      <w:r>
        <w:t>Store A receives the demand share configured in the sidebar (default 60%); Store B receives the remainder (default 40%). Initial store stock is always split 50/50 — the planner has not yet reviewed when the simulation begins. From the first planning review onward, smart distribution rebalances CW pushes to equalize weeks-of-cover between stores before splitting by demand rate.</w:t>
      </w:r>
    </w:p>
    <w:p>
      <w:r>
        <w:br w:type="page"/>
      </w:r>
    </w:p>
    <w:p>
      <w:pPr>
        <w:spacing w:before="240" w:after="160"/>
      </w:pPr>
      <w:r>
        <w:rPr>
          <w:b/>
          <w:color w:val="1A2A40"/>
          <w:sz w:val="40"/>
        </w:rPr>
        <w:t>2. Lead Times, Coverage, and Frequency</w:t>
      </w:r>
    </w:p>
    <w:p>
      <w:pPr>
        <w:spacing w:before="200" w:after="80"/>
      </w:pPr>
      <w:r>
        <w:rPr>
          <w:b/>
          <w:color w:val="2C3E56"/>
          <w:sz w:val="28"/>
        </w:rPr>
        <w:t>Physical lead time</w:t>
      </w:r>
    </w:p>
    <w:p>
      <w:pPr>
        <w:spacing w:after="80"/>
      </w:pPr>
      <w:r>
        <w:t>Physical lead time = sum of stage lead times. With Agile defaults (4+2+1+1) it is 8 weeks; with Push defaults (12+6+3+3) it is 24 weeks. This is the time between placing a supplier order and the resulting unit being available at a store.</w:t>
      </w:r>
    </w:p>
    <w:p>
      <w:pPr>
        <w:spacing w:before="200" w:after="80"/>
      </w:pPr>
      <w:r>
        <w:rPr>
          <w:b/>
          <w:color w:val="2C3E56"/>
          <w:sz w:val="28"/>
        </w:rPr>
        <w:t>Order frequency and coverage</w:t>
      </w:r>
    </w:p>
    <w:p>
      <w:pPr>
        <w:spacing w:after="80"/>
      </w:pPr>
      <w:r>
        <w:t>The order frequency is the cadence at which the planner reviews stock and places replenishment orders. Between reviews, the planner is blind to demand changes — the forecast value is only updated on review weeks.</w:t>
      </w:r>
    </w:p>
    <w:p>
      <w:pPr>
        <w:spacing w:after="80"/>
      </w:pPr>
      <w:r>
        <w:t>Coverage = physical lead time + order frequency. This is the number of weeks of demand the system must hold to avoid stockouts between reviews. It drives both the recommended initial stock and the in-loop ordering rule.</w:t>
      </w:r>
    </w:p>
    <w:p>
      <w:pPr>
        <w:spacing w:before="200" w:after="80"/>
      </w:pPr>
      <w:r>
        <w:rPr>
          <w:b/>
          <w:color w:val="2C3E56"/>
          <w:sz w:val="28"/>
        </w:rPr>
        <w:t>The ordering rule (periodic review, single-echelon target)</w:t>
      </w:r>
    </w:p>
    <w:p>
      <w:pPr>
        <w:spacing w:before="40" w:after="120"/>
        <w:ind w:left="283"/>
      </w:pPr>
      <w:r>
        <w:rPr>
          <w:rFonts w:ascii="Consolas" w:hAnsi="Consolas"/>
          <w:color w:val="1A2A40"/>
          <w:sz w:val="19"/>
        </w:rPr>
        <w:t>if w in review_weeks:</w:t>
        <w:br/>
        <w:t xml:space="preserve">    target   = forecast × coverage</w:t>
        <w:br/>
        <w:t xml:space="preserve">    existing = stores + WIP + buffers + supplier_backlog</w:t>
        <w:br/>
        <w:t xml:space="preserve">    order    = max(0, target − existing)</w:t>
      </w:r>
    </w:p>
    <w:p>
      <w:pPr>
        <w:spacing w:after="80"/>
      </w:pPr>
      <w:r>
        <w:t>On non-review weeks, the order is zero. The forecast updates only on review weeks (the planner re-bases on the latest observed demand). This intentionally models the periodic-review information lag that hurts Push more than Agile.</w:t>
      </w:r>
    </w:p>
    <w:p>
      <w:pPr>
        <w:spacing w:before="200" w:after="80"/>
      </w:pPr>
      <w:r>
        <w:rPr>
          <w:b/>
          <w:color w:val="2C3E56"/>
          <w:sz w:val="28"/>
        </w:rPr>
        <w:t>Capacity ramp</w:t>
      </w:r>
    </w:p>
    <w:p>
      <w:pPr>
        <w:spacing w:after="80"/>
      </w:pPr>
      <w:r>
        <w:t>Each stage has a starting weekly capacity (default 100 pcs/wk) and a linear ramp-up percentage (default +20%/wk). Ramp counters only advance after the first supplier order is placed — the factory does not warm up on the calendar but on commercial signal.</w:t>
      </w:r>
    </w:p>
    <w:p>
      <w:r>
        <w:br w:type="page"/>
      </w:r>
    </w:p>
    <w:p>
      <w:pPr>
        <w:spacing w:before="240" w:after="160"/>
      </w:pPr>
      <w:r>
        <w:rPr>
          <w:b/>
          <w:color w:val="1A2A40"/>
          <w:sz w:val="40"/>
        </w:rPr>
        <w:t>3. Forecasting and Replenishment Logic</w:t>
      </w:r>
    </w:p>
    <w:p>
      <w:pPr>
        <w:spacing w:before="200" w:after="80"/>
      </w:pPr>
      <w:r>
        <w:rPr>
          <w:b/>
          <w:color w:val="2C3E56"/>
          <w:sz w:val="28"/>
        </w:rPr>
        <w:t>What the planner sees</w:t>
      </w:r>
    </w:p>
    <w:p>
      <w:pPr>
        <w:spacing w:after="80"/>
      </w:pPr>
      <w:r>
        <w:t>On each review week the planner observes the current week's actual demand and treats it as the forward-looking forecast for ordering purposes. There is no moving-average smoothing or exponential-smoothing layer — the simulator deliberately uses the simplest possible signal so that the comparison between Agile and Push isolates the structural effects of lead time and review frequency.</w:t>
      </w:r>
    </w:p>
    <w:p>
      <w:pPr>
        <w:spacing w:before="200" w:after="80"/>
      </w:pPr>
      <w:r>
        <w:rPr>
          <w:b/>
          <w:color w:val="2C3E56"/>
          <w:sz w:val="28"/>
        </w:rPr>
        <w:t>What goes into the existing-stock count</w:t>
      </w:r>
    </w:p>
    <w:p>
      <w:pPr>
        <w:spacing w:after="80"/>
      </w:pPr>
      <w:r>
        <w:t>When computing existing inventory for the order calculation, the simulator counts every unit in the system that has already been paid for or committed:</w:t>
      </w:r>
    </w:p>
    <w:p>
      <w:pPr>
        <w:pStyle w:val="ListBullet"/>
        <w:spacing w:after="40"/>
      </w:pPr>
      <w:r>
        <w:t>Stocks at both stores</w:t>
      </w:r>
    </w:p>
    <w:p>
      <w:pPr>
        <w:pStyle w:val="ListBullet"/>
        <w:spacing w:after="40"/>
      </w:pPr>
      <w:r>
        <w:t>All units in transit (Material, Semi, Finishing, and Distribution pipes)</w:t>
      </w:r>
    </w:p>
    <w:p>
      <w:pPr>
        <w:pStyle w:val="ListBullet"/>
        <w:spacing w:after="40"/>
      </w:pPr>
      <w:r>
        <w:t>Buffers between stages (RM, Semi, CW)</w:t>
      </w:r>
    </w:p>
    <w:p>
      <w:pPr>
        <w:pStyle w:val="ListBullet"/>
        <w:spacing w:after="40"/>
      </w:pPr>
      <w:r>
        <w:t>Supplier backlog (orders placed but not yet shipped)</w:t>
      </w:r>
    </w:p>
    <w:p>
      <w:pPr>
        <w:spacing w:after="80"/>
      </w:pPr>
      <w:r>
        <w:t>This means that as the supplier accumulates a backlog, the planner does NOT re-order the same units — they are already on the books.</w:t>
      </w:r>
    </w:p>
    <w:p>
      <w:pPr>
        <w:spacing w:before="200" w:after="80"/>
      </w:pPr>
      <w:r>
        <w:rPr>
          <w:b/>
          <w:color w:val="2C3E56"/>
          <w:sz w:val="28"/>
        </w:rPr>
        <w:t>Initial stock recommendation</w:t>
      </w:r>
    </w:p>
    <w:p>
      <w:pPr>
        <w:spacing w:after="80"/>
      </w:pPr>
      <w:r>
        <w:t>The sidebar shows a smart recommendation that adapts to the demand shape: it sums the actual demand over the first ‘coverage' weeks of the curve. This matters most for ramps and seasonal profiles where the early weeks differ from the average.</w:t>
      </w:r>
    </w:p>
    <w:p>
      <w:pPr>
        <w:spacing w:before="200" w:after="80"/>
      </w:pPr>
      <w:r>
        <w:rPr>
          <w:b/>
          <w:color w:val="2C3E56"/>
          <w:sz w:val="28"/>
        </w:rPr>
        <w:t>Smart vs Push distribution</w:t>
      </w:r>
    </w:p>
    <w:p>
      <w:pPr>
        <w:spacing w:after="80"/>
      </w:pPr>
      <w:r>
        <w:t>Push 50/50 always allocates CW shipments equally between stores, ignoring the demand split. Smart distribution, after the first review, computes weeks-of-cover per store and prioritizes the worst-covered store before splitting the remainder by demand rate. The first CW shipment is still 50/50 because the planner has not yet reviewed.</w:t>
      </w:r>
    </w:p>
    <w:p>
      <w:r>
        <w:br w:type="page"/>
      </w:r>
    </w:p>
    <w:p>
      <w:pPr>
        <w:spacing w:before="240" w:after="160"/>
      </w:pPr>
      <w:r>
        <w:rPr>
          <w:b/>
          <w:color w:val="1A2A40"/>
          <w:sz w:val="40"/>
        </w:rPr>
        <w:t>4. Cost Accounting (Entering-Stage)</w:t>
      </w:r>
    </w:p>
    <w:p>
      <w:pPr>
        <w:spacing w:before="200" w:after="80"/>
      </w:pPr>
      <w:r>
        <w:rPr>
          <w:b/>
          <w:color w:val="2C3E56"/>
          <w:sz w:val="28"/>
        </w:rPr>
        <w:t>Three valorization rates</w:t>
      </w:r>
    </w:p>
    <w:p>
      <w:pPr>
        <w:spacing w:after="80"/>
      </w:pPr>
      <w:r>
        <w:t>A finished unit costs €200 in variable cost (default). Costs accumulate as the unit moves through the chain:</w:t>
      </w:r>
    </w:p>
    <w:tbl>
      <w:tblPr>
        <w:tblStyle w:val="LightGrid-Accent1"/>
        <w:tblW w:type="auto" w:w="0"/>
        <w:tblLook w:firstColumn="1" w:firstRow="1" w:lastColumn="0" w:lastRow="0" w:noHBand="0" w:noVBand="1" w:val="04A0"/>
      </w:tblPr>
      <w:tblGrid>
        <w:gridCol w:w="3249"/>
        <w:gridCol w:w="3249"/>
        <w:gridCol w:w="3249"/>
      </w:tblGrid>
      <w:tr>
        <w:tc>
          <w:tcPr>
            <w:tcW w:type="dxa" w:w="3118"/>
            <w:shd w:val="clear" w:fill="DCE3ED"/>
          </w:tcPr>
          <w:p>
            <w:r/>
            <w:r>
              <w:rPr>
                <w:b/>
                <w:sz w:val="20"/>
              </w:rPr>
              <w:t>Stage entered</w:t>
            </w:r>
          </w:p>
        </w:tc>
        <w:tc>
          <w:tcPr>
            <w:tcW w:type="dxa" w:w="2721"/>
            <w:shd w:val="clear" w:fill="DCE3ED"/>
          </w:tcPr>
          <w:p>
            <w:r/>
            <w:r>
              <w:rPr>
                <w:b/>
                <w:sz w:val="20"/>
              </w:rPr>
              <w:t>Cumulative valorization</w:t>
            </w:r>
          </w:p>
        </w:tc>
        <w:tc>
          <w:tcPr>
            <w:tcW w:type="dxa" w:w="2551"/>
            <w:shd w:val="clear" w:fill="DCE3ED"/>
          </w:tcPr>
          <w:p>
            <w:r/>
            <w:r>
              <w:rPr>
                <w:b/>
                <w:sz w:val="20"/>
              </w:rPr>
              <w:t>Incremental cost</w:t>
            </w:r>
          </w:p>
        </w:tc>
      </w:tr>
      <w:tr>
        <w:tc>
          <w:tcPr>
            <w:tcW w:type="dxa" w:w="3118"/>
          </w:tcPr>
          <w:p>
            <w:r/>
            <w:r>
              <w:rPr>
                <w:sz w:val="19"/>
              </w:rPr>
              <w:t>Raw Material (entry into Material pipe)</w:t>
            </w:r>
          </w:p>
        </w:tc>
        <w:tc>
          <w:tcPr>
            <w:tcW w:type="dxa" w:w="2721"/>
          </w:tcPr>
          <w:p>
            <w:r/>
            <w:r>
              <w:rPr>
                <w:sz w:val="19"/>
              </w:rPr>
              <w:t>50% of VC = €100</w:t>
            </w:r>
          </w:p>
        </w:tc>
        <w:tc>
          <w:tcPr>
            <w:tcW w:type="dxa" w:w="2551"/>
          </w:tcPr>
          <w:p>
            <w:r/>
            <w:r>
              <w:rPr>
                <w:sz w:val="19"/>
              </w:rPr>
              <w:t>€100 booked</w:t>
            </w:r>
          </w:p>
        </w:tc>
      </w:tr>
      <w:tr>
        <w:tc>
          <w:tcPr>
            <w:tcW w:type="dxa" w:w="3118"/>
          </w:tcPr>
          <w:p>
            <w:r/>
            <w:r>
              <w:rPr>
                <w:sz w:val="19"/>
              </w:rPr>
              <w:t>Semi (entry into Semi pipe)</w:t>
            </w:r>
          </w:p>
        </w:tc>
        <w:tc>
          <w:tcPr>
            <w:tcW w:type="dxa" w:w="2721"/>
          </w:tcPr>
          <w:p>
            <w:r/>
            <w:r>
              <w:rPr>
                <w:sz w:val="19"/>
              </w:rPr>
              <w:t>75% of VC = €150</w:t>
            </w:r>
          </w:p>
        </w:tc>
        <w:tc>
          <w:tcPr>
            <w:tcW w:type="dxa" w:w="2551"/>
          </w:tcPr>
          <w:p>
            <w:r/>
            <w:r>
              <w:rPr>
                <w:sz w:val="19"/>
              </w:rPr>
              <w:t>+€50 booked</w:t>
            </w:r>
          </w:p>
        </w:tc>
      </w:tr>
      <w:tr>
        <w:tc>
          <w:tcPr>
            <w:tcW w:type="dxa" w:w="3118"/>
          </w:tcPr>
          <w:p>
            <w:r/>
            <w:r>
              <w:rPr>
                <w:sz w:val="19"/>
              </w:rPr>
              <w:t>Finished (entry into FP pipe)</w:t>
            </w:r>
          </w:p>
        </w:tc>
        <w:tc>
          <w:tcPr>
            <w:tcW w:type="dxa" w:w="2721"/>
          </w:tcPr>
          <w:p>
            <w:r/>
            <w:r>
              <w:rPr>
                <w:sz w:val="19"/>
              </w:rPr>
              <w:t>100% of VC = €200</w:t>
            </w:r>
          </w:p>
        </w:tc>
        <w:tc>
          <w:tcPr>
            <w:tcW w:type="dxa" w:w="2551"/>
          </w:tcPr>
          <w:p>
            <w:r/>
            <w:r>
              <w:rPr>
                <w:sz w:val="19"/>
              </w:rPr>
              <w:t>+€50 booked</w:t>
            </w:r>
          </w:p>
        </w:tc>
      </w:tr>
    </w:tbl>
    <w:p>
      <w:pPr>
        <w:spacing w:before="200" w:after="80"/>
      </w:pPr>
      <w:r>
        <w:rPr>
          <w:b/>
          <w:color w:val="2C3E56"/>
          <w:sz w:val="28"/>
        </w:rPr>
        <w:t>When costs are booked</w:t>
      </w:r>
    </w:p>
    <w:p>
      <w:pPr>
        <w:spacing w:after="80"/>
      </w:pPr>
      <w:r>
        <w:t>Costs are booked at the moment a unit ENTERS each stage — i.e., when the supplier ships it into the Material pipe, when RM-to-Semi processing happens, and when Semi-to-FP processing happens. There is no anticipation and no double counting. The Debug expander asserts unit and value conservation at end of run.</w:t>
      </w:r>
    </w:p>
    <w:p>
      <w:pPr>
        <w:spacing w:before="40" w:after="120"/>
        <w:ind w:left="283"/>
      </w:pPr>
      <w:r>
        <w:rPr>
          <w:rFonts w:ascii="Consolas" w:hAnsi="Consolas"/>
          <w:color w:val="1A2A40"/>
          <w:sz w:val="19"/>
        </w:rPr>
        <w:t>cost_mat  = shipped × VC × 0.50   # supplier ship → mat_pipe</w:t>
        <w:br/>
        <w:t>cost_semi = si      × VC × 0.25   # RM → Semi processing</w:t>
        <w:br/>
        <w:t>cost_fp   = fi      × VC × 0.25   # Semi → FP processing</w:t>
      </w:r>
    </w:p>
    <w:p>
      <w:pPr>
        <w:spacing w:before="200" w:after="80"/>
      </w:pPr>
      <w:r>
        <w:rPr>
          <w:b/>
          <w:color w:val="2C3E56"/>
          <w:sz w:val="28"/>
        </w:rPr>
        <w:t>Initial stock value (the pre-investment)</w:t>
      </w:r>
    </w:p>
    <w:p>
      <w:pPr>
        <w:spacing w:after="80"/>
      </w:pPr>
      <w:r>
        <w:t>Initial stock is treated as a real, sunk pre-investment. It is valued at the stage where it sits at sim start and added to total variable cost in the P&amp;L:</w:t>
      </w:r>
    </w:p>
    <w:p>
      <w:pPr>
        <w:spacing w:before="40" w:after="120"/>
        <w:ind w:left="283"/>
      </w:pPr>
      <w:r>
        <w:rPr>
          <w:rFonts w:ascii="Consolas" w:hAnsi="Consolas"/>
          <w:color w:val="1A2A40"/>
          <w:sz w:val="19"/>
        </w:rPr>
        <w:t>init_stock_value = init_store    × VC × 1.00</w:t>
        <w:br/>
        <w:t xml:space="preserve">                 + init_cw       × VC × 1.00</w:t>
        <w:br/>
        <w:t xml:space="preserve">                 + init_semi     × VC × 0.75</w:t>
        <w:br/>
        <w:t xml:space="preserve">                 + init_rawmat   × VC × 0.50</w:t>
      </w:r>
    </w:p>
    <w:p>
      <w:pPr>
        <w:spacing w:after="80"/>
      </w:pPr>
      <w:r>
        <w:t>At W0 there are zero production costs. This avoids double-counting the initial stock both via init_stock_value and via the production-cost columns.</w:t>
      </w:r>
    </w:p>
    <w:p>
      <w:pPr>
        <w:spacing w:before="200" w:after="80"/>
      </w:pPr>
      <w:r>
        <w:rPr>
          <w:b/>
          <w:color w:val="2C3E56"/>
          <w:sz w:val="28"/>
        </w:rPr>
        <w:t>Fixed cost</w:t>
      </w:r>
    </w:p>
    <w:p>
      <w:pPr>
        <w:spacing w:after="80"/>
      </w:pPr>
      <w:r>
        <w:t>Fixed cost is computed as a percentage (default 45%) of the simulation-period FORECAST revenue, not the actual revenue. This represents factory overhead, salaries, depreciation — costs that are committed regardless of how many units actually sell.</w:t>
      </w:r>
    </w:p>
    <w:p>
      <w:pPr>
        <w:spacing w:before="200" w:after="80"/>
      </w:pPr>
      <w:r>
        <w:rPr>
          <w:b/>
          <w:color w:val="2C3E56"/>
          <w:sz w:val="28"/>
        </w:rPr>
        <w:t>P&amp;L identity</w:t>
      </w:r>
    </w:p>
    <w:p>
      <w:pPr>
        <w:spacing w:before="40" w:after="120"/>
        <w:ind w:left="283"/>
      </w:pPr>
      <w:r>
        <w:rPr>
          <w:rFonts w:ascii="Consolas" w:hAnsi="Consolas"/>
          <w:color w:val="1A2A40"/>
          <w:sz w:val="19"/>
        </w:rPr>
        <w:t>Revenue = total_sales × price</w:t>
        <w:br/>
        <w:t>Total VC = init_stock_value + Σ cost_mat + Σ cost_semi + Σ cost_fp</w:t>
        <w:br/>
        <w:t>Gross margin = Revenue − Total VC</w:t>
        <w:br/>
        <w:t>Net margin   = Gross margin − Fixed cost</w:t>
        <w:br/>
        <w:br/>
        <w:t>Identity (must hold exactly):</w:t>
        <w:br/>
        <w:t xml:space="preserve">    Revenue == Total VC + Fixed + Margin</w:t>
      </w:r>
    </w:p>
    <w:p>
      <w:pPr>
        <w:spacing w:after="80"/>
      </w:pPr>
      <w:r>
        <w:t>Below the net margin, the P&amp;L shows a separate "Leftover Stock + WIP" line as an asset — units that were paid for but not sold. Not subtracted from margin (the variable cost was already booked); shown as a measure of stranded capital.</w:t>
      </w:r>
    </w:p>
    <w:p>
      <w:r>
        <w:br w:type="page"/>
      </w:r>
    </w:p>
    <w:p>
      <w:pPr>
        <w:spacing w:before="240" w:after="160"/>
      </w:pPr>
      <w:r>
        <w:rPr>
          <w:b/>
          <w:color w:val="1A2A40"/>
          <w:sz w:val="40"/>
        </w:rPr>
        <w:t>5. Permanent Presets (Flat / Growth / Drop)</w:t>
      </w:r>
    </w:p>
    <w:p>
      <w:pPr>
        <w:spacing w:before="200" w:after="80"/>
      </w:pPr>
      <w:r>
        <w:rPr>
          <w:b/>
          <w:color w:val="2C3E56"/>
          <w:sz w:val="28"/>
        </w:rPr>
        <w:t>What ‘Permanent' means</w:t>
      </w:r>
    </w:p>
    <w:p>
      <w:pPr>
        <w:spacing w:after="80"/>
      </w:pPr>
      <w:r>
        <w:t>These nine presets — three lead-time profiles × three demand shapes — represent the steady-state operating modes of a real supply chain. Demand is either permanently flat at 100/wk, ramping up to 300/wk, or dropping to 30/wk.</w:t>
      </w:r>
    </w:p>
    <w:p>
      <w:pPr>
        <w:spacing w:before="200" w:after="80"/>
      </w:pPr>
      <w:r>
        <w:rPr>
          <w:b/>
          <w:color w:val="2C3E56"/>
          <w:sz w:val="28"/>
        </w:rPr>
        <w:t>Stock sizing rule</w:t>
      </w:r>
    </w:p>
    <w:p>
      <w:pPr>
        <w:spacing w:after="80"/>
      </w:pPr>
      <w:r>
        <w:t>Initial stock is auto-sized to coverage × base forecast (= 100). For Agile (coverage 9) this gives 900 pcs; for Medium (coverage 18) 1 800; for Push (coverage 28) 2 800.</w:t>
      </w:r>
    </w:p>
    <w:p>
      <w:pPr>
        <w:spacing w:before="200" w:after="80"/>
      </w:pPr>
      <w:r>
        <w:rPr>
          <w:b/>
          <w:color w:val="2C3E56"/>
          <w:sz w:val="28"/>
        </w:rPr>
        <w:t>Distributions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417"/>
            <w:shd w:val="clear" w:fill="DCE3ED"/>
          </w:tcPr>
          <w:p>
            <w:r/>
            <w:r>
              <w:rPr>
                <w:b/>
                <w:sz w:val="20"/>
              </w:rPr>
              <w:t>Profile</w:t>
            </w:r>
          </w:p>
        </w:tc>
        <w:tc>
          <w:tcPr>
            <w:tcW w:type="dxa" w:w="1134"/>
            <w:shd w:val="clear" w:fill="DCE3ED"/>
          </w:tcPr>
          <w:p>
            <w:r/>
            <w:r>
              <w:rPr>
                <w:b/>
                <w:sz w:val="20"/>
              </w:rPr>
              <w:t>Store %</w:t>
            </w:r>
          </w:p>
        </w:tc>
        <w:tc>
          <w:tcPr>
            <w:tcW w:type="dxa" w:w="1134"/>
            <w:shd w:val="clear" w:fill="DCE3ED"/>
          </w:tcPr>
          <w:p>
            <w:r/>
            <w:r>
              <w:rPr>
                <w:b/>
                <w:sz w:val="20"/>
              </w:rPr>
              <w:t>WH %</w:t>
            </w:r>
          </w:p>
        </w:tc>
        <w:tc>
          <w:tcPr>
            <w:tcW w:type="dxa" w:w="1134"/>
            <w:shd w:val="clear" w:fill="DCE3ED"/>
          </w:tcPr>
          <w:p>
            <w:r/>
            <w:r>
              <w:rPr>
                <w:b/>
                <w:sz w:val="20"/>
              </w:rPr>
              <w:t>Semi %</w:t>
            </w:r>
          </w:p>
        </w:tc>
        <w:tc>
          <w:tcPr>
            <w:tcW w:type="dxa" w:w="1134"/>
            <w:shd w:val="clear" w:fill="DCE3ED"/>
          </w:tcPr>
          <w:p>
            <w:r/>
            <w:r>
              <w:rPr>
                <w:b/>
                <w:sz w:val="20"/>
              </w:rPr>
              <w:t>RM %</w:t>
            </w:r>
          </w:p>
        </w:tc>
        <w:tc>
          <w:tcPr>
            <w:tcW w:type="dxa" w:w="1417"/>
            <w:shd w:val="clear" w:fill="DCE3ED"/>
          </w:tcPr>
          <w:p>
            <w:r/>
            <w:r>
              <w:rPr>
                <w:b/>
                <w:sz w:val="20"/>
              </w:rPr>
              <w:t>Order freq</w:t>
            </w:r>
          </w:p>
        </w:tc>
      </w:tr>
      <w:tr>
        <w:tc>
          <w:tcPr>
            <w:tcW w:type="dxa" w:w="1417"/>
          </w:tcPr>
          <w:p>
            <w:r/>
            <w:r>
              <w:rPr>
                <w:sz w:val="19"/>
              </w:rPr>
              <w:t>Agile</w:t>
            </w:r>
          </w:p>
        </w:tc>
        <w:tc>
          <w:tcPr>
            <w:tcW w:type="dxa" w:w="1134"/>
          </w:tcPr>
          <w:p>
            <w:r/>
            <w:r>
              <w:rPr>
                <w:sz w:val="19"/>
              </w:rPr>
              <w:t>60</w:t>
            </w:r>
          </w:p>
        </w:tc>
        <w:tc>
          <w:tcPr>
            <w:tcW w:type="dxa" w:w="1134"/>
          </w:tcPr>
          <w:p>
            <w:r/>
            <w:r>
              <w:rPr>
                <w:sz w:val="19"/>
              </w:rPr>
              <w:t>20</w:t>
            </w:r>
          </w:p>
        </w:tc>
        <w:tc>
          <w:tcPr>
            <w:tcW w:type="dxa" w:w="1134"/>
          </w:tcPr>
          <w:p>
            <w:r/>
            <w:r>
              <w:rPr>
                <w:sz w:val="19"/>
              </w:rPr>
              <w:t>10</w:t>
            </w:r>
          </w:p>
        </w:tc>
        <w:tc>
          <w:tcPr>
            <w:tcW w:type="dxa" w:w="1134"/>
          </w:tcPr>
          <w:p>
            <w:r/>
            <w:r>
              <w:rPr>
                <w:sz w:val="19"/>
              </w:rPr>
              <w:t>10</w:t>
            </w:r>
          </w:p>
        </w:tc>
        <w:tc>
          <w:tcPr>
            <w:tcW w:type="dxa" w:w="1417"/>
          </w:tcPr>
          <w:p>
            <w:r/>
            <w:r>
              <w:rPr>
                <w:sz w:val="19"/>
              </w:rPr>
              <w:t>1 wk</w:t>
            </w:r>
          </w:p>
        </w:tc>
      </w:tr>
      <w:tr>
        <w:tc>
          <w:tcPr>
            <w:tcW w:type="dxa" w:w="1417"/>
          </w:tcPr>
          <w:p>
            <w:r/>
            <w:r>
              <w:rPr>
                <w:sz w:val="19"/>
              </w:rPr>
              <w:t>Medium</w:t>
            </w:r>
          </w:p>
        </w:tc>
        <w:tc>
          <w:tcPr>
            <w:tcW w:type="dxa" w:w="1134"/>
          </w:tcPr>
          <w:p>
            <w:r/>
            <w:r>
              <w:rPr>
                <w:sz w:val="19"/>
              </w:rPr>
              <w:t>80</w:t>
            </w:r>
          </w:p>
        </w:tc>
        <w:tc>
          <w:tcPr>
            <w:tcW w:type="dxa" w:w="1134"/>
          </w:tcPr>
          <w:p>
            <w:r/>
            <w:r>
              <w:rPr>
                <w:sz w:val="19"/>
              </w:rPr>
              <w:t>20</w:t>
            </w:r>
          </w:p>
        </w:tc>
        <w:tc>
          <w:tcPr>
            <w:tcW w:type="dxa" w:w="1134"/>
          </w:tcPr>
          <w:p>
            <w:r/>
            <w:r>
              <w:rPr>
                <w:sz w:val="19"/>
              </w:rPr>
              <w:t>0</w:t>
            </w:r>
          </w:p>
        </w:tc>
        <w:tc>
          <w:tcPr>
            <w:tcW w:type="dxa" w:w="1134"/>
          </w:tcPr>
          <w:p>
            <w:r/>
            <w:r>
              <w:rPr>
                <w:sz w:val="19"/>
              </w:rPr>
              <w:t>0</w:t>
            </w:r>
          </w:p>
        </w:tc>
        <w:tc>
          <w:tcPr>
            <w:tcW w:type="dxa" w:w="1417"/>
          </w:tcPr>
          <w:p>
            <w:r/>
            <w:r>
              <w:rPr>
                <w:sz w:val="19"/>
              </w:rPr>
              <w:t>2 wk</w:t>
            </w:r>
          </w:p>
        </w:tc>
      </w:tr>
      <w:tr>
        <w:tc>
          <w:tcPr>
            <w:tcW w:type="dxa" w:w="1417"/>
          </w:tcPr>
          <w:p>
            <w:r/>
            <w:r>
              <w:rPr>
                <w:sz w:val="19"/>
              </w:rPr>
              <w:t>Push</w:t>
            </w:r>
          </w:p>
        </w:tc>
        <w:tc>
          <w:tcPr>
            <w:tcW w:type="dxa" w:w="1134"/>
          </w:tcPr>
          <w:p>
            <w:r/>
            <w:r>
              <w:rPr>
                <w:sz w:val="19"/>
              </w:rPr>
              <w:t>100</w:t>
            </w:r>
          </w:p>
        </w:tc>
        <w:tc>
          <w:tcPr>
            <w:tcW w:type="dxa" w:w="1134"/>
          </w:tcPr>
          <w:p>
            <w:r/>
            <w:r>
              <w:rPr>
                <w:sz w:val="19"/>
              </w:rPr>
              <w:t>0</w:t>
            </w:r>
          </w:p>
        </w:tc>
        <w:tc>
          <w:tcPr>
            <w:tcW w:type="dxa" w:w="1134"/>
          </w:tcPr>
          <w:p>
            <w:r/>
            <w:r>
              <w:rPr>
                <w:sz w:val="19"/>
              </w:rPr>
              <w:t>0</w:t>
            </w:r>
          </w:p>
        </w:tc>
        <w:tc>
          <w:tcPr>
            <w:tcW w:type="dxa" w:w="1134"/>
          </w:tcPr>
          <w:p>
            <w:r/>
            <w:r>
              <w:rPr>
                <w:sz w:val="19"/>
              </w:rPr>
              <w:t>0</w:t>
            </w:r>
          </w:p>
        </w:tc>
        <w:tc>
          <w:tcPr>
            <w:tcW w:type="dxa" w:w="1417"/>
          </w:tcPr>
          <w:p>
            <w:r/>
            <w:r>
              <w:rPr>
                <w:sz w:val="19"/>
              </w:rPr>
              <w:t>4 wk</w:t>
            </w:r>
          </w:p>
        </w:tc>
      </w:tr>
    </w:tbl>
    <w:p>
      <w:pPr>
        <w:spacing w:before="200" w:after="80"/>
      </w:pPr>
      <w:r>
        <w:rPr>
          <w:b/>
          <w:color w:val="2C3E56"/>
          <w:sz w:val="28"/>
        </w:rPr>
        <w:t>What this teaches</w:t>
      </w:r>
    </w:p>
    <w:p>
      <w:pPr>
        <w:pStyle w:val="ListBullet"/>
        <w:spacing w:after="40"/>
      </w:pPr>
      <w:r>
        <w:t>Flat demand: Push survives because there is no surprise. Margin gap to Agile is mostly the order-frequency overhead of carrying coverage stock for 4 weeks instead of 1.</w:t>
      </w:r>
    </w:p>
    <w:p>
      <w:pPr>
        <w:pStyle w:val="ListBullet"/>
        <w:spacing w:after="40"/>
      </w:pPr>
      <w:r>
        <w:t>Growth: Agile wins decisively. Push cannot ramp inside its 24-week pipeline; much of the demand becomes lost sales.</w:t>
      </w:r>
    </w:p>
    <w:p>
      <w:pPr>
        <w:pStyle w:val="ListBullet"/>
        <w:spacing w:after="40"/>
      </w:pPr>
      <w:r>
        <w:t>Drop: Agile wins by NOT producing. With initial RM/Semi gated behind the first order, the factory stays idle and the firm avoids producing inventory it cannot sell. Push, with all stock at store, sells what it has but writes off the rest.</w:t>
      </w:r>
    </w:p>
    <w:p>
      <w:r>
        <w:br w:type="page"/>
      </w:r>
    </w:p>
    <w:p>
      <w:pPr>
        <w:spacing w:before="240" w:after="160"/>
      </w:pPr>
      <w:r>
        <w:rPr>
          <w:b/>
          <w:color w:val="1A2A40"/>
          <w:sz w:val="40"/>
        </w:rPr>
        <w:t>6. Seasonal Presets (Steep curve, three averages)</w:t>
      </w:r>
    </w:p>
    <w:p>
      <w:pPr>
        <w:spacing w:before="200" w:after="80"/>
      </w:pPr>
      <w:r>
        <w:rPr>
          <w:b/>
          <w:color w:val="2C3E56"/>
          <w:sz w:val="28"/>
        </w:rPr>
        <w:t>What ‘Seasonal' means here</w:t>
      </w:r>
    </w:p>
    <w:p>
      <w:pPr>
        <w:spacing w:after="80"/>
      </w:pPr>
      <w:r>
        <w:t>These nine presets share a Steep gamma demand curve — peaking at week 6, with a magnitude roughly 2.4× the weekly average. The three averages 30 / 100 / 300 stress different parts of the agility argument: a low-demand seasonal (total 780 pcs) tests over-investment cost; the high-demand seasonal (total 7 800 pcs) tests pipeline reactivity at peak.</w:t>
      </w:r>
    </w:p>
    <w:p>
      <w:pPr>
        <w:spacing w:before="200" w:after="80"/>
      </w:pPr>
      <w:r>
        <w:rPr>
          <w:b/>
          <w:color w:val="2C3E56"/>
          <w:sz w:val="28"/>
        </w:rPr>
        <w:t>Stock sizing rule (sell-through hypothesis)</w:t>
      </w:r>
    </w:p>
    <w:p>
      <w:pPr>
        <w:spacing w:after="80"/>
      </w:pPr>
      <w:r>
        <w:t>Longer lead times must over-order to hedge demand uncertainty. The simulator encodes this via a sell-through target: initial stock = base seasonal stock (2 600 pcs) divided by the LT profile's sell-through target.</w:t>
      </w:r>
    </w:p>
    <w:tbl>
      <w:tblPr>
        <w:tblStyle w:val="LightGrid-Accent1"/>
        <w:tblW w:type="auto" w:w="0"/>
        <w:tblLook w:firstColumn="1" w:firstRow="1" w:lastColumn="0" w:lastRow="0" w:noHBand="0" w:noVBand="1" w:val="04A0"/>
      </w:tblPr>
      <w:tblGrid>
        <w:gridCol w:w="3249"/>
        <w:gridCol w:w="3249"/>
        <w:gridCol w:w="3249"/>
      </w:tblGrid>
      <w:tr>
        <w:tc>
          <w:tcPr>
            <w:tcW w:type="dxa" w:w="1417"/>
            <w:shd w:val="clear" w:fill="DCE3ED"/>
          </w:tcPr>
          <w:p>
            <w:r/>
            <w:r>
              <w:rPr>
                <w:b/>
                <w:sz w:val="20"/>
              </w:rPr>
              <w:t>Profile</w:t>
            </w:r>
          </w:p>
        </w:tc>
        <w:tc>
          <w:tcPr>
            <w:tcW w:type="dxa" w:w="4252"/>
            <w:shd w:val="clear" w:fill="DCE3ED"/>
          </w:tcPr>
          <w:p>
            <w:r/>
            <w:r>
              <w:rPr>
                <w:b/>
                <w:sz w:val="20"/>
              </w:rPr>
              <w:t>Sell-through target</w:t>
            </w:r>
          </w:p>
        </w:tc>
        <w:tc>
          <w:tcPr>
            <w:tcW w:type="dxa" w:w="1417"/>
            <w:shd w:val="clear" w:fill="DCE3ED"/>
          </w:tcPr>
          <w:p>
            <w:r/>
            <w:r>
              <w:rPr>
                <w:b/>
                <w:sz w:val="20"/>
              </w:rPr>
              <w:t>Initial stock</w:t>
            </w:r>
          </w:p>
        </w:tc>
      </w:tr>
      <w:tr>
        <w:tc>
          <w:tcPr>
            <w:tcW w:type="dxa" w:w="1417"/>
          </w:tcPr>
          <w:p>
            <w:r/>
            <w:r>
              <w:rPr>
                <w:sz w:val="19"/>
              </w:rPr>
              <w:t>Agile</w:t>
            </w:r>
          </w:p>
        </w:tc>
        <w:tc>
          <w:tcPr>
            <w:tcW w:type="dxa" w:w="4252"/>
          </w:tcPr>
          <w:p>
            <w:r/>
            <w:r>
              <w:rPr>
                <w:sz w:val="19"/>
              </w:rPr>
              <w:t>100% (no hedge needed — can react)</w:t>
            </w:r>
          </w:p>
        </w:tc>
        <w:tc>
          <w:tcPr>
            <w:tcW w:type="dxa" w:w="1417"/>
          </w:tcPr>
          <w:p>
            <w:r/>
            <w:r>
              <w:rPr>
                <w:sz w:val="19"/>
              </w:rPr>
              <w:t>2 600 pcs</w:t>
            </w:r>
          </w:p>
        </w:tc>
      </w:tr>
      <w:tr>
        <w:tc>
          <w:tcPr>
            <w:tcW w:type="dxa" w:w="1417"/>
          </w:tcPr>
          <w:p>
            <w:r/>
            <w:r>
              <w:rPr>
                <w:sz w:val="19"/>
              </w:rPr>
              <w:t>Medium</w:t>
            </w:r>
          </w:p>
        </w:tc>
        <w:tc>
          <w:tcPr>
            <w:tcW w:type="dxa" w:w="4252"/>
          </w:tcPr>
          <w:p>
            <w:r/>
            <w:r>
              <w:rPr>
                <w:sz w:val="19"/>
              </w:rPr>
              <w:t>85%  (15% buffer)</w:t>
            </w:r>
          </w:p>
        </w:tc>
        <w:tc>
          <w:tcPr>
            <w:tcW w:type="dxa" w:w="1417"/>
          </w:tcPr>
          <w:p>
            <w:r/>
            <w:r>
              <w:rPr>
                <w:sz w:val="19"/>
              </w:rPr>
              <w:t>3 059 pcs</w:t>
            </w:r>
          </w:p>
        </w:tc>
      </w:tr>
      <w:tr>
        <w:tc>
          <w:tcPr>
            <w:tcW w:type="dxa" w:w="1417"/>
          </w:tcPr>
          <w:p>
            <w:r/>
            <w:r>
              <w:rPr>
                <w:sz w:val="19"/>
              </w:rPr>
              <w:t>Push</w:t>
            </w:r>
          </w:p>
        </w:tc>
        <w:tc>
          <w:tcPr>
            <w:tcW w:type="dxa" w:w="4252"/>
          </w:tcPr>
          <w:p>
            <w:r/>
            <w:r>
              <w:rPr>
                <w:sz w:val="19"/>
              </w:rPr>
              <w:t>60%  (40% buffer)</w:t>
            </w:r>
          </w:p>
        </w:tc>
        <w:tc>
          <w:tcPr>
            <w:tcW w:type="dxa" w:w="1417"/>
          </w:tcPr>
          <w:p>
            <w:r/>
            <w:r>
              <w:rPr>
                <w:sz w:val="19"/>
              </w:rPr>
              <w:t>4 333 pcs</w:t>
            </w:r>
          </w:p>
        </w:tc>
      </w:tr>
    </w:tbl>
    <w:p>
      <w:pPr>
        <w:spacing w:after="80"/>
      </w:pPr>
      <w:r>
        <w:t>The hypothesis is observable: ask any actor in a long-cycle business and they will quote a planned shortfall — "we know 30-40% of pre-positioned stock will end up in clearance." The simulator turns this into a quantifiable P&amp;L line.</w:t>
      </w:r>
    </w:p>
    <w:p>
      <w:pPr>
        <w:spacing w:before="200" w:after="80"/>
      </w:pPr>
      <w:r>
        <w:rPr>
          <w:b/>
          <w:color w:val="2C3E56"/>
          <w:sz w:val="28"/>
        </w:rPr>
        <w:t>Distributions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417"/>
            <w:shd w:val="clear" w:fill="DCE3ED"/>
          </w:tcPr>
          <w:p>
            <w:r/>
            <w:r>
              <w:rPr>
                <w:b/>
                <w:sz w:val="20"/>
              </w:rPr>
              <w:t>Profile</w:t>
            </w:r>
          </w:p>
        </w:tc>
        <w:tc>
          <w:tcPr>
            <w:tcW w:type="dxa" w:w="1417"/>
            <w:shd w:val="clear" w:fill="DCE3ED"/>
          </w:tcPr>
          <w:p>
            <w:r/>
            <w:r>
              <w:rPr>
                <w:b/>
                <w:sz w:val="20"/>
              </w:rPr>
              <w:t>Store %</w:t>
            </w:r>
          </w:p>
        </w:tc>
        <w:tc>
          <w:tcPr>
            <w:tcW w:type="dxa" w:w="1417"/>
            <w:shd w:val="clear" w:fill="DCE3ED"/>
          </w:tcPr>
          <w:p>
            <w:r/>
            <w:r>
              <w:rPr>
                <w:b/>
                <w:sz w:val="20"/>
              </w:rPr>
              <w:t>WH %</w:t>
            </w:r>
          </w:p>
        </w:tc>
        <w:tc>
          <w:tcPr>
            <w:tcW w:type="dxa" w:w="1417"/>
            <w:shd w:val="clear" w:fill="DCE3ED"/>
          </w:tcPr>
          <w:p>
            <w:r/>
            <w:r>
              <w:rPr>
                <w:b/>
                <w:sz w:val="20"/>
              </w:rPr>
              <w:t>Semi %</w:t>
            </w:r>
          </w:p>
        </w:tc>
        <w:tc>
          <w:tcPr>
            <w:tcW w:type="dxa" w:w="1417"/>
            <w:shd w:val="clear" w:fill="DCE3ED"/>
          </w:tcPr>
          <w:p>
            <w:r/>
            <w:r>
              <w:rPr>
                <w:b/>
                <w:sz w:val="20"/>
              </w:rPr>
              <w:t>RM %</w:t>
            </w:r>
          </w:p>
        </w:tc>
      </w:tr>
      <w:tr>
        <w:tc>
          <w:tcPr>
            <w:tcW w:type="dxa" w:w="1417"/>
          </w:tcPr>
          <w:p>
            <w:r/>
            <w:r>
              <w:rPr>
                <w:sz w:val="19"/>
              </w:rPr>
              <w:t>Agile</w:t>
            </w:r>
          </w:p>
        </w:tc>
        <w:tc>
          <w:tcPr>
            <w:tcW w:type="dxa" w:w="1417"/>
          </w:tcPr>
          <w:p>
            <w:r/>
            <w:r>
              <w:rPr>
                <w:sz w:val="19"/>
              </w:rPr>
              <w:t>40</w:t>
            </w:r>
          </w:p>
        </w:tc>
        <w:tc>
          <w:tcPr>
            <w:tcW w:type="dxa" w:w="1417"/>
          </w:tcPr>
          <w:p>
            <w:r/>
            <w:r>
              <w:rPr>
                <w:sz w:val="19"/>
              </w:rPr>
              <w:t>20</w:t>
            </w:r>
          </w:p>
        </w:tc>
        <w:tc>
          <w:tcPr>
            <w:tcW w:type="dxa" w:w="1417"/>
          </w:tcPr>
          <w:p>
            <w:r/>
            <w:r>
              <w:rPr>
                <w:sz w:val="19"/>
              </w:rPr>
              <w:t>10</w:t>
            </w:r>
          </w:p>
        </w:tc>
        <w:tc>
          <w:tcPr>
            <w:tcW w:type="dxa" w:w="1417"/>
          </w:tcPr>
          <w:p>
            <w:r/>
            <w:r>
              <w:rPr>
                <w:sz w:val="19"/>
              </w:rPr>
              <w:t>30</w:t>
            </w:r>
          </w:p>
        </w:tc>
      </w:tr>
      <w:tr>
        <w:tc>
          <w:tcPr>
            <w:tcW w:type="dxa" w:w="1417"/>
          </w:tcPr>
          <w:p>
            <w:r/>
            <w:r>
              <w:rPr>
                <w:sz w:val="19"/>
              </w:rPr>
              <w:t>Medium</w:t>
            </w:r>
          </w:p>
        </w:tc>
        <w:tc>
          <w:tcPr>
            <w:tcW w:type="dxa" w:w="1417"/>
          </w:tcPr>
          <w:p>
            <w:r/>
            <w:r>
              <w:rPr>
                <w:sz w:val="19"/>
              </w:rPr>
              <w:t>70</w:t>
            </w:r>
          </w:p>
        </w:tc>
        <w:tc>
          <w:tcPr>
            <w:tcW w:type="dxa" w:w="1417"/>
          </w:tcPr>
          <w:p>
            <w:r/>
            <w:r>
              <w:rPr>
                <w:sz w:val="19"/>
              </w:rPr>
              <w:t>20</w:t>
            </w:r>
          </w:p>
        </w:tc>
        <w:tc>
          <w:tcPr>
            <w:tcW w:type="dxa" w:w="1417"/>
          </w:tcPr>
          <w:p>
            <w:r/>
            <w:r>
              <w:rPr>
                <w:sz w:val="19"/>
              </w:rPr>
              <w:t>10</w:t>
            </w:r>
          </w:p>
        </w:tc>
        <w:tc>
          <w:tcPr>
            <w:tcW w:type="dxa" w:w="1417"/>
          </w:tcPr>
          <w:p>
            <w:r/>
            <w:r>
              <w:rPr>
                <w:sz w:val="19"/>
              </w:rPr>
              <w:t>0</w:t>
            </w:r>
          </w:p>
        </w:tc>
      </w:tr>
      <w:tr>
        <w:tc>
          <w:tcPr>
            <w:tcW w:type="dxa" w:w="1417"/>
          </w:tcPr>
          <w:p>
            <w:r/>
            <w:r>
              <w:rPr>
                <w:sz w:val="19"/>
              </w:rPr>
              <w:t>Push</w:t>
            </w:r>
          </w:p>
        </w:tc>
        <w:tc>
          <w:tcPr>
            <w:tcW w:type="dxa" w:w="1417"/>
          </w:tcPr>
          <w:p>
            <w:r/>
            <w:r>
              <w:rPr>
                <w:sz w:val="19"/>
              </w:rPr>
              <w:t>100</w:t>
            </w:r>
          </w:p>
        </w:tc>
        <w:tc>
          <w:tcPr>
            <w:tcW w:type="dxa" w:w="1417"/>
          </w:tcPr>
          <w:p>
            <w:r/>
            <w:r>
              <w:rPr>
                <w:sz w:val="19"/>
              </w:rPr>
              <w:t>0</w:t>
            </w:r>
          </w:p>
        </w:tc>
        <w:tc>
          <w:tcPr>
            <w:tcW w:type="dxa" w:w="1417"/>
          </w:tcPr>
          <w:p>
            <w:r/>
            <w:r>
              <w:rPr>
                <w:sz w:val="19"/>
              </w:rPr>
              <w:t>0</w:t>
            </w:r>
          </w:p>
        </w:tc>
        <w:tc>
          <w:tcPr>
            <w:tcW w:type="dxa" w:w="1417"/>
          </w:tcPr>
          <w:p>
            <w:r/>
            <w:r>
              <w:rPr>
                <w:sz w:val="19"/>
              </w:rPr>
              <w:t>0</w:t>
            </w:r>
          </w:p>
        </w:tc>
      </w:tr>
    </w:tbl>
    <w:p>
      <w:pPr>
        <w:spacing w:before="200" w:after="80"/>
      </w:pPr>
      <w:r>
        <w:rPr>
          <w:b/>
          <w:color w:val="2C3E56"/>
          <w:sz w:val="28"/>
        </w:rPr>
        <w:t>What this teaches</w:t>
      </w:r>
    </w:p>
    <w:p>
      <w:pPr>
        <w:spacing w:after="80"/>
      </w:pPr>
      <w:r>
        <w:t>On low-demand seasonal (avg 30), both architectures lose money — the pre-investment dwarfs realized revenue. On high-demand seasonal (avg 300), Push captures more absolute margin (it pre-positioned correctly) but Agile delivers higher margin percentage and far better capital efficiency. The real story: Push's high-margin scenario is funded by the catastrophic loss it takes on the low-demand scenario.</w:t>
      </w:r>
    </w:p>
    <w:p>
      <w:r>
        <w:br w:type="page"/>
      </w:r>
    </w:p>
    <w:p>
      <w:pPr>
        <w:spacing w:before="240" w:after="160"/>
      </w:pPr>
      <w:r>
        <w:rPr>
          <w:b/>
          <w:color w:val="1A2A40"/>
          <w:sz w:val="40"/>
        </w:rPr>
        <w:t>7. Initial WIP Gating and CW Push</w:t>
      </w:r>
    </w:p>
    <w:p>
      <w:pPr>
        <w:spacing w:before="200" w:after="80"/>
      </w:pPr>
      <w:r>
        <w:rPr>
          <w:b/>
          <w:color w:val="2C3E56"/>
          <w:sz w:val="28"/>
        </w:rPr>
        <w:t>The gating rule</w:t>
      </w:r>
    </w:p>
    <w:p>
      <w:pPr>
        <w:spacing w:after="80"/>
      </w:pPr>
      <w:r>
        <w:t>Initial Raw Material and Semi-finished stock do NOT flow forward at simulation start. They sit in their buffers until the planner places the first supplier order, which activates the factory. From that week onward, Semi (RM→Semi) and FP (Semi→FP) processing run every week, capacity-limited.</w:t>
      </w:r>
    </w:p>
    <w:p>
      <w:pPr>
        <w:spacing w:after="80"/>
      </w:pPr>
      <w:r>
        <w:t>This rule is essential to the Drop scenario: when demand drops, the planner sees that existing stock is sufficient and never orders. The factory therefore never activates, the initial RM/Semi stays put, and the firm avoids producing useless inventory. If RM/Semi were processed automatically, the Drop scenario would lose its core teaching value.</w:t>
      </w:r>
    </w:p>
    <w:p>
      <w:pPr>
        <w:spacing w:before="200" w:after="80"/>
      </w:pPr>
      <w:r>
        <w:rPr>
          <w:b/>
          <w:color w:val="2C3E56"/>
          <w:sz w:val="28"/>
        </w:rPr>
        <w:t>Kickstart toggle (default OFF)</w:t>
      </w:r>
    </w:p>
    <w:p>
      <w:pPr>
        <w:spacing w:after="80"/>
      </w:pPr>
      <w:r>
        <w:t>The sidebar exposes a Kickstart toggle. With Kickstart ON, the factory does one round of Semi+FP processing at W1 even before the first order. This is a workaround for very-low-demand seasonal scenarios where the planner would otherwise never order — but it is OFF by default in all 18 presets, because the cleaner teaching message is: ‘over-positioned upstream stock that never gets used is wasted pre-investment.'</w:t>
      </w:r>
    </w:p>
    <w:p>
      <w:pPr>
        <w:spacing w:before="200" w:after="80"/>
      </w:pPr>
      <w:r>
        <w:rPr>
          <w:b/>
          <w:color w:val="2C3E56"/>
          <w:sz w:val="28"/>
        </w:rPr>
        <w:t>CW → Store push (always ON)</w:t>
      </w:r>
    </w:p>
    <w:p>
      <w:pPr>
        <w:spacing w:after="80"/>
      </w:pPr>
      <w:r>
        <w:t>CW (the central warehouse) holds finished goods and pushes them downstream every week regardless of order activity. The reasoning: CW-to-store is internal logistics, not procurement — once goods are finished, the firm allocates them to wherever they sell. The first CW shipment always splits 50/50 between stores; from the first review onward, smart distribution prioritizes the worst-covered store.</w:t>
      </w:r>
    </w:p>
    <w:p>
      <w:pPr>
        <w:spacing w:before="200" w:after="80"/>
      </w:pPr>
      <w:r>
        <w:rPr>
          <w:b/>
          <w:color w:val="2C3E56"/>
          <w:sz w:val="28"/>
        </w:rPr>
        <w:t>What you will observe in the diagram</w:t>
      </w:r>
    </w:p>
    <w:p>
      <w:pPr>
        <w:pStyle w:val="ListBullet"/>
        <w:spacing w:after="40"/>
      </w:pPr>
      <w:r>
        <w:t>Drop scenarios: si=0 and fi=0 (no Semi or FP processing) all the way through. RM and Semi buffers do not move.</w:t>
      </w:r>
    </w:p>
    <w:p>
      <w:pPr>
        <w:pStyle w:val="ListBullet"/>
        <w:spacing w:after="40"/>
      </w:pPr>
      <w:r>
        <w:t>Flat / Growth / Seasonal at peak: factory activates at the first review, then you see the supplier shipping, capacity ramping each week, and the pipes filling.</w:t>
      </w:r>
    </w:p>
    <w:p>
      <w:pPr>
        <w:pStyle w:val="ListBullet"/>
        <w:spacing w:after="40"/>
      </w:pPr>
      <w:r>
        <w:t>Seasonal at low average (e.g., avg=30): if the planner never orders, the upstream buffers stay frozen for all 26 weeks. Final P&amp;L shows a large leftover-stock asset and a deeply negative net margin — the teaching point.</w:t>
      </w:r>
    </w:p>
    <w:p>
      <w:r>
        <w:br w:type="page"/>
      </w:r>
    </w:p>
    <w:p>
      <w:pPr>
        <w:spacing w:before="240" w:after="160"/>
      </w:pPr>
      <w:r>
        <w:rPr>
          <w:b/>
          <w:color w:val="1A2A40"/>
          <w:sz w:val="40"/>
        </w:rPr>
        <w:t>8. Reading the Flow Diagram</w:t>
      </w:r>
    </w:p>
    <w:p>
      <w:pPr>
        <w:spacing w:before="200" w:after="80"/>
      </w:pPr>
      <w:r>
        <w:rPr>
          <w:b/>
          <w:color w:val="2C3E56"/>
          <w:sz w:val="28"/>
        </w:rPr>
        <w:t>Layout</w:t>
      </w:r>
    </w:p>
    <w:p>
      <w:pPr>
        <w:spacing w:after="80"/>
      </w:pPr>
      <w:r>
        <w:t>The diagram reads left-to-right as physical flow: Supplier → Material → Semi → Finishing+CW → Distribution → Stores. Each stage band is a row of week-boxes; the leftmost box is the upstream end (just entered) and the rightmost box is the downstream end (about to exit / arrive at the next stage). Inside each stage the rightmost box also sums in the buffer stock waiting at that stage.</w:t>
      </w:r>
    </w:p>
    <w:p>
      <w:pPr>
        <w:spacing w:before="200" w:after="80"/>
      </w:pPr>
      <w:r>
        <w:rPr>
          <w:b/>
          <w:color w:val="2C3E56"/>
          <w:sz w:val="28"/>
        </w:rPr>
        <w:t>Week boxes</w:t>
      </w:r>
    </w:p>
    <w:p>
      <w:pPr>
        <w:pStyle w:val="ListBullet"/>
        <w:spacing w:after="40"/>
      </w:pPr>
      <w:r>
        <w:t>Filled grey-blue (#4a6280) box with a number: that many units in transit at this week of the stage.</w:t>
      </w:r>
    </w:p>
    <w:p>
      <w:pPr>
        <w:pStyle w:val="ListBullet"/>
        <w:spacing w:after="40"/>
      </w:pPr>
      <w:r>
        <w:t>Empty light-grey box: no units at that pipe position.</w:t>
      </w:r>
    </w:p>
    <w:p>
      <w:pPr>
        <w:pStyle w:val="ListBullet"/>
        <w:spacing w:after="40"/>
      </w:pPr>
      <w:r>
        <w:t>Subtle left inset shadow on the rightmost box of each stage: that is the ‘exit slot' — units there will arrive at the next stage on the following week.</w:t>
      </w:r>
    </w:p>
    <w:p>
      <w:pPr>
        <w:spacing w:before="200" w:after="80"/>
      </w:pPr>
      <w:r>
        <w:rPr>
          <w:b/>
          <w:color w:val="2C3E56"/>
          <w:sz w:val="28"/>
        </w:rPr>
        <w:t>Cards</w:t>
      </w:r>
    </w:p>
    <w:p>
      <w:pPr>
        <w:pStyle w:val="ListBullet"/>
        <w:spacing w:after="40"/>
      </w:pPr>
      <w:r>
        <w:t>Supplier card (left, dark navy): shows Backlog (orders placed but not yet shipped) and Cap (current weekly shipping capacity).</w:t>
      </w:r>
    </w:p>
    <w:p>
      <w:pPr>
        <w:pStyle w:val="ListBullet"/>
        <w:spacing w:after="40"/>
      </w:pPr>
      <w:r>
        <w:t>Store cards (right, stacked A on top of B): Stock (current units), Dem (this week's demand share), Sold (this week's sales), and a red LOST badge if any units were missed.</w:t>
      </w:r>
    </w:p>
    <w:p>
      <w:pPr>
        <w:pStyle w:val="ListBullet"/>
        <w:spacing w:after="40"/>
      </w:pPr>
      <w:r>
        <w:t>Order chip on the supplier band: the order quantity placed THIS week, if any.</w:t>
      </w:r>
    </w:p>
    <w:p>
      <w:pPr>
        <w:spacing w:before="200" w:after="80"/>
      </w:pPr>
      <w:r>
        <w:rPr>
          <w:b/>
          <w:color w:val="2C3E56"/>
          <w:sz w:val="28"/>
        </w:rPr>
        <w:t>Info bar (top of diagram)</w:t>
      </w:r>
    </w:p>
    <w:p>
      <w:pPr>
        <w:spacing w:after="80"/>
      </w:pPr>
      <w:r>
        <w:t>Compact strip showing Backlog, Pending (orders placed minus units arrived at stores), WIP (total in-system units), the active Order this week, current Forecast value, and the configured A/B demand split.</w:t>
      </w:r>
    </w:p>
    <w:p>
      <w:pPr>
        <w:spacing w:before="200" w:after="80"/>
      </w:pPr>
      <w:r>
        <w:rPr>
          <w:b/>
          <w:color w:val="2C3E56"/>
          <w:sz w:val="28"/>
        </w:rPr>
        <w:t>WIP labels</w:t>
      </w:r>
    </w:p>
    <w:p>
      <w:pPr>
        <w:spacing w:after="80"/>
      </w:pPr>
      <w:r>
        <w:t>Below each stage band, a WIP label sums all units currently in that stage's pipe + its buffer. Distribution shows two lines — WIP A and WIP B — because each store has its own dedicated pipe.</w:t>
      </w:r>
    </w:p>
    <w:p>
      <w:r>
        <w:br w:type="page"/>
      </w:r>
    </w:p>
    <w:p>
      <w:pPr>
        <w:spacing w:before="240" w:after="160"/>
      </w:pPr>
      <w:r>
        <w:rPr>
          <w:b/>
          <w:color w:val="1A2A40"/>
          <w:sz w:val="40"/>
        </w:rPr>
        <w:t>9. KPIs and the P&amp;L</w:t>
      </w:r>
    </w:p>
    <w:p>
      <w:pPr>
        <w:spacing w:before="200" w:after="80"/>
      </w:pPr>
      <w:r>
        <w:rPr>
          <w:b/>
          <w:color w:val="2C3E56"/>
          <w:sz w:val="28"/>
        </w:rPr>
        <w:t>The seven KPI cards</w:t>
      </w:r>
    </w:p>
    <w:p>
      <w:pPr>
        <w:spacing w:after="80"/>
      </w:pPr>
      <w:r>
        <w:t>Above the diagram, seven cards summarize cumulative results from W1 to the current week. They update as you navigate the timeline.</w:t>
      </w:r>
    </w:p>
    <w:tbl>
      <w:tblPr>
        <w:tblStyle w:val="LightGrid-Accent1"/>
        <w:tblW w:type="auto" w:w="0"/>
        <w:tblLook w:firstColumn="1" w:firstRow="1" w:lastColumn="0" w:lastRow="0" w:noHBand="0" w:noVBand="1" w:val="04A0"/>
      </w:tblPr>
      <w:tblGrid>
        <w:gridCol w:w="3249"/>
        <w:gridCol w:w="3249"/>
        <w:gridCol w:w="3249"/>
      </w:tblGrid>
      <w:tr>
        <w:tc>
          <w:tcPr>
            <w:tcW w:type="dxa" w:w="1701"/>
            <w:shd w:val="clear" w:fill="DCE3ED"/>
          </w:tcPr>
          <w:p>
            <w:r/>
            <w:r>
              <w:rPr>
                <w:b/>
                <w:sz w:val="20"/>
              </w:rPr>
              <w:t>KPI</w:t>
            </w:r>
          </w:p>
        </w:tc>
        <w:tc>
          <w:tcPr>
            <w:tcW w:type="dxa" w:w="4252"/>
            <w:shd w:val="clear" w:fill="DCE3ED"/>
          </w:tcPr>
          <w:p>
            <w:r/>
            <w:r>
              <w:rPr>
                <w:b/>
                <w:sz w:val="20"/>
              </w:rPr>
              <w:t>Meaning</w:t>
            </w:r>
          </w:p>
        </w:tc>
        <w:tc>
          <w:tcPr>
            <w:tcW w:type="dxa" w:w="2551"/>
            <w:shd w:val="clear" w:fill="DCE3ED"/>
          </w:tcPr>
          <w:p>
            <w:r/>
            <w:r>
              <w:rPr>
                <w:b/>
                <w:sz w:val="20"/>
              </w:rPr>
              <w:t>Color logic</w:t>
            </w:r>
          </w:p>
        </w:tc>
      </w:tr>
      <w:tr>
        <w:tc>
          <w:tcPr>
            <w:tcW w:type="dxa" w:w="1701"/>
          </w:tcPr>
          <w:p>
            <w:r/>
            <w:r>
              <w:rPr>
                <w:sz w:val="19"/>
              </w:rPr>
              <w:t>Service Level</w:t>
            </w:r>
          </w:p>
        </w:tc>
        <w:tc>
          <w:tcPr>
            <w:tcW w:type="dxa" w:w="4252"/>
          </w:tcPr>
          <w:p>
            <w:r/>
            <w:r>
              <w:rPr>
                <w:sz w:val="19"/>
              </w:rPr>
              <w:t>Sales ÷ demand</w:t>
            </w:r>
          </w:p>
        </w:tc>
        <w:tc>
          <w:tcPr>
            <w:tcW w:type="dxa" w:w="2551"/>
          </w:tcPr>
          <w:p>
            <w:r/>
            <w:r>
              <w:rPr>
                <w:sz w:val="19"/>
              </w:rPr>
              <w:t>Red &lt;60%, Amber &lt;85%, Green ≥85%</w:t>
            </w:r>
          </w:p>
        </w:tc>
      </w:tr>
      <w:tr>
        <w:tc>
          <w:tcPr>
            <w:tcW w:type="dxa" w:w="1701"/>
          </w:tcPr>
          <w:p>
            <w:r/>
            <w:r>
              <w:rPr>
                <w:sz w:val="19"/>
              </w:rPr>
              <w:t>Cumul. Sales</w:t>
            </w:r>
          </w:p>
        </w:tc>
        <w:tc>
          <w:tcPr>
            <w:tcW w:type="dxa" w:w="4252"/>
          </w:tcPr>
          <w:p>
            <w:r/>
            <w:r>
              <w:rPr>
                <w:sz w:val="19"/>
              </w:rPr>
              <w:t>Total units sold so far</w:t>
            </w:r>
          </w:p>
        </w:tc>
        <w:tc>
          <w:tcPr>
            <w:tcW w:type="dxa" w:w="2551"/>
          </w:tcPr>
          <w:p>
            <w:r/>
            <w:r>
              <w:rPr>
                <w:sz w:val="19"/>
              </w:rPr>
              <w:t>Blue</w:t>
            </w:r>
          </w:p>
        </w:tc>
      </w:tr>
      <w:tr>
        <w:tc>
          <w:tcPr>
            <w:tcW w:type="dxa" w:w="1701"/>
          </w:tcPr>
          <w:p>
            <w:r/>
            <w:r>
              <w:rPr>
                <w:sz w:val="19"/>
              </w:rPr>
              <w:t>Missed Total</w:t>
            </w:r>
          </w:p>
        </w:tc>
        <w:tc>
          <w:tcPr>
            <w:tcW w:type="dxa" w:w="4252"/>
          </w:tcPr>
          <w:p>
            <w:r/>
            <w:r>
              <w:rPr>
                <w:sz w:val="19"/>
              </w:rPr>
              <w:t>Units of demand not fulfilled</w:t>
            </w:r>
          </w:p>
        </w:tc>
        <w:tc>
          <w:tcPr>
            <w:tcW w:type="dxa" w:w="2551"/>
          </w:tcPr>
          <w:p>
            <w:r/>
            <w:r>
              <w:rPr>
                <w:sz w:val="19"/>
              </w:rPr>
              <w:t>Red</w:t>
            </w:r>
          </w:p>
        </w:tc>
      </w:tr>
      <w:tr>
        <w:tc>
          <w:tcPr>
            <w:tcW w:type="dxa" w:w="1701"/>
          </w:tcPr>
          <w:p>
            <w:r/>
            <w:r>
              <w:rPr>
                <w:sz w:val="19"/>
              </w:rPr>
              <w:t>Missed A</w:t>
            </w:r>
          </w:p>
        </w:tc>
        <w:tc>
          <w:tcPr>
            <w:tcW w:type="dxa" w:w="4252"/>
          </w:tcPr>
          <w:p>
            <w:r/>
            <w:r>
              <w:rPr>
                <w:sz w:val="19"/>
              </w:rPr>
              <w:t>Per-store missed sales (Store A)</w:t>
            </w:r>
          </w:p>
        </w:tc>
        <w:tc>
          <w:tcPr>
            <w:tcW w:type="dxa" w:w="2551"/>
          </w:tcPr>
          <w:p>
            <w:r/>
            <w:r>
              <w:rPr>
                <w:sz w:val="19"/>
              </w:rPr>
              <w:t>Red</w:t>
            </w:r>
          </w:p>
        </w:tc>
      </w:tr>
      <w:tr>
        <w:tc>
          <w:tcPr>
            <w:tcW w:type="dxa" w:w="1701"/>
          </w:tcPr>
          <w:p>
            <w:r/>
            <w:r>
              <w:rPr>
                <w:sz w:val="19"/>
              </w:rPr>
              <w:t>Missed B</w:t>
            </w:r>
          </w:p>
        </w:tc>
        <w:tc>
          <w:tcPr>
            <w:tcW w:type="dxa" w:w="4252"/>
          </w:tcPr>
          <w:p>
            <w:r/>
            <w:r>
              <w:rPr>
                <w:sz w:val="19"/>
              </w:rPr>
              <w:t>Per-store missed sales (Store B)</w:t>
            </w:r>
          </w:p>
        </w:tc>
        <w:tc>
          <w:tcPr>
            <w:tcW w:type="dxa" w:w="2551"/>
          </w:tcPr>
          <w:p>
            <w:r/>
            <w:r>
              <w:rPr>
                <w:sz w:val="19"/>
              </w:rPr>
              <w:t>Purple</w:t>
            </w:r>
          </w:p>
        </w:tc>
      </w:tr>
      <w:tr>
        <w:tc>
          <w:tcPr>
            <w:tcW w:type="dxa" w:w="1701"/>
          </w:tcPr>
          <w:p>
            <w:r/>
            <w:r>
              <w:rPr>
                <w:sz w:val="19"/>
              </w:rPr>
              <w:t>Stockout Wks</w:t>
            </w:r>
          </w:p>
        </w:tc>
        <w:tc>
          <w:tcPr>
            <w:tcW w:type="dxa" w:w="4252"/>
          </w:tcPr>
          <w:p>
            <w:r/>
            <w:r>
              <w:rPr>
                <w:sz w:val="19"/>
              </w:rPr>
              <w:t>Weeks with at least one missed unit</w:t>
            </w:r>
          </w:p>
        </w:tc>
        <w:tc>
          <w:tcPr>
            <w:tcW w:type="dxa" w:w="2551"/>
          </w:tcPr>
          <w:p>
            <w:r/>
            <w:r>
              <w:rPr>
                <w:sz w:val="19"/>
              </w:rPr>
              <w:t>Green if 0, else red</w:t>
            </w:r>
          </w:p>
        </w:tc>
      </w:tr>
      <w:tr>
        <w:tc>
          <w:tcPr>
            <w:tcW w:type="dxa" w:w="1701"/>
          </w:tcPr>
          <w:p>
            <w:r/>
            <w:r>
              <w:rPr>
                <w:sz w:val="19"/>
              </w:rPr>
              <w:t>Useful Prod.</w:t>
            </w:r>
          </w:p>
        </w:tc>
        <w:tc>
          <w:tcPr>
            <w:tcW w:type="dxa" w:w="4252"/>
          </w:tcPr>
          <w:p>
            <w:r/>
            <w:r>
              <w:rPr>
                <w:sz w:val="19"/>
              </w:rPr>
              <w:t>Sold ÷ (sold + remaining stock+pipe)</w:t>
            </w:r>
          </w:p>
        </w:tc>
        <w:tc>
          <w:tcPr>
            <w:tcW w:type="dxa" w:w="2551"/>
          </w:tcPr>
          <w:p>
            <w:r/>
            <w:r>
              <w:rPr>
                <w:sz w:val="19"/>
              </w:rPr>
              <w:t>Red &lt;50%, Amber &lt;80%, Green ≥80%</w:t>
            </w:r>
          </w:p>
        </w:tc>
      </w:tr>
    </w:tbl>
    <w:p>
      <w:pPr>
        <w:spacing w:before="200" w:after="80"/>
      </w:pPr>
      <w:r>
        <w:rPr>
          <w:b/>
          <w:color w:val="2C3E56"/>
          <w:sz w:val="28"/>
        </w:rPr>
        <w:t>P&amp;L summary expander</w:t>
      </w:r>
    </w:p>
    <w:p>
      <w:pPr>
        <w:spacing w:after="80"/>
      </w:pPr>
      <w:r>
        <w:t>At the bottom of the page, the P&amp;L expander shows the full income statement computed from the entering-stage cost convention. Key rows:</w:t>
      </w:r>
    </w:p>
    <w:p>
      <w:pPr>
        <w:pStyle w:val="ListBullet"/>
        <w:spacing w:after="40"/>
      </w:pPr>
      <w:r>
        <w:t>Revenue = total sales × selling price.</w:t>
      </w:r>
    </w:p>
    <w:p>
      <w:pPr>
        <w:pStyle w:val="ListBullet"/>
        <w:spacing w:after="40"/>
      </w:pPr>
      <w:r>
        <w:t>Initial stock (pre-investment): valued at stage cost.</w:t>
      </w:r>
    </w:p>
    <w:p>
      <w:pPr>
        <w:pStyle w:val="ListBullet"/>
        <w:spacing w:after="40"/>
      </w:pPr>
      <w:r>
        <w:t>Purchasing / Semi / Finishing: cumulative production costs at each stage.</w:t>
      </w:r>
    </w:p>
    <w:p>
      <w:pPr>
        <w:pStyle w:val="ListBullet"/>
        <w:spacing w:after="40"/>
      </w:pPr>
      <w:r>
        <w:t>Total Variable Cost: initial stock + all production costs.</w:t>
      </w:r>
    </w:p>
    <w:p>
      <w:pPr>
        <w:pStyle w:val="ListBullet"/>
        <w:spacing w:after="40"/>
      </w:pPr>
      <w:r>
        <w:t>Fixed cost: % of forecast revenue, simulation-period total.</w:t>
      </w:r>
    </w:p>
    <w:p>
      <w:pPr>
        <w:pStyle w:val="ListBullet"/>
        <w:spacing w:after="40"/>
      </w:pPr>
      <w:r>
        <w:t>Net Margin: revenue − VC − fixed.</w:t>
      </w:r>
    </w:p>
    <w:p>
      <w:pPr>
        <w:pStyle w:val="ListBullet"/>
        <w:spacing w:after="40"/>
      </w:pPr>
      <w:r>
        <w:t>Leftover Stock + WIP (asset, shown below margin): valorized leftover units.</w:t>
      </w:r>
    </w:p>
    <w:p>
      <w:pPr>
        <w:spacing w:before="200" w:after="80"/>
      </w:pPr>
      <w:r>
        <w:rPr>
          <w:b/>
          <w:color w:val="2C3E56"/>
          <w:sz w:val="28"/>
        </w:rPr>
        <w:t>Production efficiency</w:t>
      </w:r>
    </w:p>
    <w:p>
      <w:pPr>
        <w:spacing w:after="80"/>
      </w:pPr>
      <w:r>
        <w:t>Below the P&amp;L table, three metrics show how productively the firm used its resources: Service Level, Sold (Useful) — units sold as a share of all units the system processed — and Remaining WIP+stock — units that ended up stranded as inventory.</w:t>
      </w:r>
    </w:p>
    <w:p>
      <w:pPr>
        <w:spacing w:before="200" w:after="80"/>
      </w:pPr>
      <w:r>
        <w:rPr>
          <w:b/>
          <w:color w:val="2C3E56"/>
          <w:sz w:val="28"/>
        </w:rPr>
        <w:t>Reconciliation guarantee</w:t>
      </w:r>
    </w:p>
    <w:p>
      <w:pPr>
        <w:spacing w:after="80"/>
      </w:pPr>
      <w:r>
        <w:t>The simulator enforces Revenue = VC + Fixed + Margin to within €0.01. If the Debug toggle is on, the Debug expander surfaces five conservation checks that must all pass.</w:t>
      </w:r>
    </w:p>
    <w:p>
      <w:r>
        <w:br w:type="page"/>
      </w:r>
    </w:p>
    <w:p>
      <w:pPr>
        <w:spacing w:before="240" w:after="160"/>
      </w:pPr>
      <w:r>
        <w:rPr>
          <w:b/>
          <w:color w:val="1A2A40"/>
          <w:sz w:val="40"/>
        </w:rPr>
        <w:t>10. Saving Scenarios and Working Tips</w:t>
      </w:r>
    </w:p>
    <w:p>
      <w:pPr>
        <w:spacing w:before="200" w:after="80"/>
      </w:pPr>
      <w:r>
        <w:rPr>
          <w:b/>
          <w:color w:val="2C3E56"/>
          <w:sz w:val="28"/>
        </w:rPr>
        <w:t>Save and compare</w:t>
      </w:r>
    </w:p>
    <w:p>
      <w:pPr>
        <w:spacing w:after="80"/>
      </w:pPr>
      <w:r>
        <w:t>The Save Scenario expander lets you persist the current configuration with a name (auto-generated by default). The first save is the baseline; subsequent saves show a Δ vs base column on margin, so you can quickly read the marginal impact of each change.</w:t>
      </w:r>
    </w:p>
    <w:p>
      <w:pPr>
        <w:pStyle w:val="ListBullet"/>
        <w:spacing w:after="40"/>
      </w:pPr>
      <w:r>
        <w:t>Click a preset, save it as ‘baseline'.</w:t>
      </w:r>
    </w:p>
    <w:p>
      <w:pPr>
        <w:pStyle w:val="ListBullet"/>
        <w:spacing w:after="40"/>
      </w:pPr>
      <w:r>
        <w:t>Change one parameter (e.g. doubling the order frequency).</w:t>
      </w:r>
    </w:p>
    <w:p>
      <w:pPr>
        <w:pStyle w:val="ListBullet"/>
        <w:spacing w:after="40"/>
      </w:pPr>
      <w:r>
        <w:t>Re-save with a name reflecting the change.</w:t>
      </w:r>
    </w:p>
    <w:p>
      <w:pPr>
        <w:pStyle w:val="ListBullet"/>
        <w:spacing w:after="40"/>
      </w:pPr>
      <w:r>
        <w:t>Read the Δ column to attribute the margin difference to that one variable.</w:t>
      </w:r>
    </w:p>
    <w:p>
      <w:pPr>
        <w:spacing w:before="200" w:after="80"/>
      </w:pPr>
      <w:r>
        <w:rPr>
          <w:b/>
          <w:color w:val="2C3E56"/>
          <w:sz w:val="28"/>
        </w:rPr>
        <w:t>Working tips</w:t>
      </w:r>
    </w:p>
    <w:p>
      <w:pPr>
        <w:pStyle w:val="ListBullet"/>
        <w:spacing w:after="40"/>
      </w:pPr>
      <w:r>
        <w:t>Always start from a preset. The 18 quick-scenario buttons set every parameter consistently — easier than configuring from scratch.</w:t>
      </w:r>
    </w:p>
    <w:p>
      <w:pPr>
        <w:pStyle w:val="ListBullet"/>
        <w:spacing w:after="40"/>
      </w:pPr>
      <w:r>
        <w:t>Use the Debug toggle when something looks off. The reconciliation report tells you whether it is a bug or a misread.</w:t>
      </w:r>
    </w:p>
    <w:p>
      <w:pPr>
        <w:pStyle w:val="ListBullet"/>
        <w:spacing w:after="40"/>
      </w:pPr>
      <w:r>
        <w:t>Hard-refresh (Ctrl+Shift+R) after a deploy to clear cached widget state.</w:t>
      </w:r>
    </w:p>
    <w:p>
      <w:pPr>
        <w:pStyle w:val="ListBullet"/>
        <w:spacing w:after="40"/>
      </w:pPr>
      <w:r>
        <w:t>The cumulative KPIs at the top track where you are on the timeline. The P&amp;L expander always shows end-of-simulation totals, not cumulative-to-current-week.</w:t>
      </w:r>
    </w:p>
    <w:p>
      <w:pPr>
        <w:spacing w:before="200" w:after="80"/>
      </w:pPr>
      <w:r>
        <w:rPr>
          <w:b/>
          <w:color w:val="2C3E56"/>
          <w:sz w:val="28"/>
        </w:rPr>
        <w:t>Common pitfalls in interpretation</w:t>
      </w:r>
    </w:p>
    <w:p>
      <w:pPr>
        <w:pStyle w:val="ListBullet"/>
        <w:spacing w:after="40"/>
      </w:pPr>
      <w:r>
        <w:t>100% service level is not a win in itself. Look at the margin and the leftover asset — sometimes 100% svc is achieved by carrying enormous stranded inventory.</w:t>
      </w:r>
    </w:p>
    <w:p>
      <w:pPr>
        <w:pStyle w:val="ListBullet"/>
        <w:spacing w:after="40"/>
      </w:pPr>
      <w:r>
        <w:t>A negative margin on a low-demand scenario is the model working correctly. The pre-investment was disproportionate to realized demand — that is the lesson, not a glitch.</w:t>
      </w:r>
    </w:p>
    <w:p>
      <w:pPr>
        <w:pStyle w:val="ListBullet"/>
        <w:spacing w:after="40"/>
      </w:pPr>
      <w:r>
        <w:t>Push at 100% service on Drop is misleading. The firm sold what it had on hand (initial store stock), but cumulative variable cost includes that initial stock value — net margin is therefore deeply negative.</w:t>
      </w:r>
    </w:p>
    <w:p>
      <w:pPr>
        <w:spacing w:before="200" w:after="80"/>
      </w:pPr>
      <w:r>
        <w:rPr>
          <w:b/>
          <w:color w:val="2C3E56"/>
          <w:sz w:val="28"/>
        </w:rPr>
        <w:t>Where to find the file</w:t>
      </w:r>
    </w:p>
    <w:p>
      <w:pPr>
        <w:spacing w:after="80"/>
      </w:pPr>
      <w:r>
        <w:rPr>
          <w:sz w:val="19"/>
        </w:rPr>
        <w:t>The simulator is a single Python file (app.py) in the GitHub repository. The developer guide explains how to back it up, modify it, and re-deploy.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