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b/>
          <w:color w:val="1A2A40"/>
          <w:sz w:val="40"/>
        </w:rPr>
        <w:t>Supply Chain Agility Simulator — User Guide</w:t>
      </w:r>
    </w:p>
    <w:p>
      <w:pPr>
        <w:spacing w:after="80"/>
      </w:pPr>
      <w:r>
        <w:rPr>
          <w:i/>
        </w:rPr>
        <w:t>Version 2 · April 2026 · single-file Streamlit app</w:t>
      </w:r>
    </w:p>
    <w:p>
      <w:pPr>
        <w:spacing w:before="200" w:after="80"/>
      </w:pPr>
      <w:r>
        <w:rPr>
          <w:b/>
          <w:color w:val="2C3E56"/>
          <w:sz w:val="28"/>
        </w:rPr>
        <w:t>Executive Summary</w:t>
      </w:r>
    </w:p>
    <w:p>
      <w:pPr>
        <w:spacing w:after="80"/>
      </w:pPr>
      <w:r>
        <w:t>This tool simulates a 26-week, two-store supply chain across four physical stages (Material → Semi → Finishing+CW → Distribution). It compares Push and Agile architectures across three demand regimes (Flat, Growth, Drop) plus Seasonal patterns, and quantifies the financial impact of lead time, order frequency, stock distribution, and reactive distribution.</w:t>
      </w:r>
    </w:p>
    <w:p>
      <w:pPr>
        <w:spacing w:before="120" w:after="40"/>
      </w:pPr>
      <w:r>
        <w:rPr>
          <w:b/>
          <w:color w:val="4A6280"/>
          <w:sz w:val="23"/>
        </w:rPr>
        <w:t>What the simulator demonstrates</w:t>
      </w:r>
    </w:p>
    <w:p>
      <w:pPr>
        <w:pStyle w:val="ListBullet"/>
        <w:spacing w:after="40"/>
      </w:pPr>
      <w:r>
        <w:t>Agility wins across regimes — short lead times + frequent reviews beat long lead times + heavy pre-positioning on margin and capital efficiency.</w:t>
      </w:r>
    </w:p>
    <w:p>
      <w:pPr>
        <w:pStyle w:val="ListBullet"/>
        <w:spacing w:after="40"/>
      </w:pPr>
      <w:r>
        <w:t>Medium lead time is the dangerous middle — neither Push's brute-force stock nor Agile's short pipeline.</w:t>
      </w:r>
    </w:p>
    <w:p>
      <w:pPr>
        <w:pStyle w:val="ListBullet"/>
        <w:spacing w:after="40"/>
      </w:pPr>
      <w:r>
        <w:t>Pre-positioned store stock sells immediately; pre-positioned upstream stock (RM/Semi) only flows once the planner places an order.</w:t>
      </w:r>
    </w:p>
    <w:p>
      <w:pPr>
        <w:pStyle w:val="ListBullet"/>
        <w:spacing w:after="40"/>
      </w:pPr>
      <w:r>
        <w:t>Initial inventory is real pre-investment — valued at stage cost (RM 50%, Semi 75%, Finished 100%) and reflected in the P&amp;L. Nothing is free.</w:t>
      </w:r>
    </w:p>
    <w:p>
      <w:pPr>
        <w:spacing w:before="120" w:after="40"/>
      </w:pPr>
      <w:r>
        <w:rPr>
          <w:b/>
          <w:color w:val="4A6280"/>
          <w:sz w:val="23"/>
        </w:rPr>
        <w:t>The four levers</w:t>
      </w:r>
    </w:p>
    <w:p>
      <w:pPr>
        <w:pStyle w:val="ListBullet"/>
        <w:spacing w:after="40"/>
      </w:pPr>
      <w:r>
        <w:t>Lead time per stage — drives reactivity.</w:t>
      </w:r>
    </w:p>
    <w:p>
      <w:pPr>
        <w:pStyle w:val="ListBullet"/>
        <w:spacing w:after="40"/>
      </w:pPr>
      <w:r>
        <w:t>Order frequency — periodic-review blindness between reviews.</w:t>
      </w:r>
    </w:p>
    <w:p>
      <w:pPr>
        <w:pStyle w:val="ListBullet"/>
        <w:spacing w:after="40"/>
      </w:pPr>
      <w:r>
        <w:t>Initial stock total + distribution across the four buffers.</w:t>
      </w:r>
    </w:p>
    <w:p>
      <w:pPr>
        <w:pStyle w:val="ListBullet"/>
        <w:spacing w:after="40"/>
      </w:pPr>
      <w:r>
        <w:t>Smart vs blind store allocation when CW pushes finished goods downstream.</w:t>
      </w:r>
    </w:p>
    <w:p>
      <w:pPr>
        <w:spacing w:before="120" w:after="40"/>
      </w:pPr>
      <w:r>
        <w:rPr>
          <w:b/>
          <w:color w:val="4A6280"/>
          <w:sz w:val="23"/>
        </w:rPr>
        <w:t>Quick start</w:t>
      </w:r>
    </w:p>
    <w:p>
      <w:pPr>
        <w:pStyle w:val="ListNumber"/>
        <w:spacing w:after="40"/>
      </w:pPr>
      <w:r>
        <w:t>Open the app in your browser.</w:t>
      </w:r>
    </w:p>
    <w:p>
      <w:pPr>
        <w:pStyle w:val="ListNumber"/>
        <w:spacing w:after="40"/>
      </w:pPr>
      <w:r>
        <w:t>Click any of the 18 quick-scenario buttons in the left sidebar to load a preset.</w:t>
      </w:r>
    </w:p>
    <w:p>
      <w:pPr>
        <w:pStyle w:val="ListNumber"/>
        <w:spacing w:after="40"/>
      </w:pPr>
      <w:r>
        <w:t>Use the week navigation buttons (W0 / −1 / +1 / W26) to step through time.</w:t>
      </w:r>
    </w:p>
    <w:p>
      <w:pPr>
        <w:pStyle w:val="ListNumber"/>
        <w:spacing w:after="40"/>
      </w:pPr>
      <w:r>
        <w:t>Read the cumulative KPIs at the top, expand the P&amp;L for the financial summary, and the Charts expander for trend views.</w:t>
      </w:r>
    </w:p>
    <w:p>
      <w:pPr>
        <w:pStyle w:val="ListNumber"/>
        <w:spacing w:after="40"/>
      </w:pPr>
      <w:r>
        <w:t>Compare scenarios with the Save Scenario expander — first save is the baseline, subsequent saves show Δ vs base.</w:t>
      </w:r>
    </w:p>
    <w:p>
      <w:r>
        <w:br w:type="page"/>
      </w:r>
    </w:p>
    <w:p>
      <w:pPr>
        <w:spacing w:before="240" w:after="160"/>
      </w:pPr>
      <w:r>
        <w:rPr>
          <w:b/>
          <w:color w:val="1A2A40"/>
          <w:sz w:val="40"/>
        </w:rPr>
        <w:t>1. Introduction</w:t>
      </w:r>
    </w:p>
    <w:p>
      <w:pPr>
        <w:spacing w:before="200" w:after="80"/>
      </w:pPr>
      <w:r>
        <w:rPr>
          <w:b/>
          <w:color w:val="2C3E56"/>
          <w:sz w:val="28"/>
        </w:rPr>
        <w:t>Purpose</w:t>
      </w:r>
    </w:p>
    <w:p>
      <w:pPr>
        <w:spacing w:after="80"/>
      </w:pPr>
      <w:r>
        <w:t>Supply chain debates often reduce to dogma: "agility is always better" vs "economies of scale need long campaigns." Both positions ignore that the right answer depends on demand profile, lead times, and pre-investment. This simulator lets the numbers settle the argument under explicit, editable hypotheses.</w:t>
      </w:r>
    </w:p>
    <w:p>
      <w:pPr>
        <w:spacing w:before="200" w:after="80"/>
      </w:pPr>
      <w:r>
        <w:rPr>
          <w:b/>
          <w:color w:val="2C3E56"/>
          <w:sz w:val="28"/>
        </w:rPr>
        <w:t>The physical model</w:t>
      </w:r>
    </w:p>
    <w:p>
      <w:pPr>
        <w:spacing w:after="80"/>
      </w:pPr>
      <w:r>
        <w:t>A single product flows through four sequential stages, each with its own lead time and capacity. Two retail stores draw from a shared central warehouse (CW). Demand is split between the stores by a configurable percentage. The supplier ships raw material into the Material pipe; capacity ramps linearly once the factory is activated by the first order.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531"/>
            <w:shd w:val="clear" w:fill="DCE3ED"/>
          </w:tcPr>
          <w:p>
            <w:r/>
            <w:r>
              <w:rPr>
                <w:b/>
                <w:sz w:val="20"/>
              </w:rPr>
              <w:t>Stage</w:t>
            </w:r>
          </w:p>
        </w:tc>
        <w:tc>
          <w:tcPr>
            <w:tcW w:type="dxa" w:w="2948"/>
            <w:shd w:val="clear" w:fill="DCE3ED"/>
          </w:tcPr>
          <w:p>
            <w:r/>
            <w:r>
              <w:rPr>
                <w:b/>
                <w:sz w:val="20"/>
              </w:rPr>
              <w:t>Holds</w:t>
            </w:r>
          </w:p>
        </w:tc>
        <w:tc>
          <w:tcPr>
            <w:tcW w:type="dxa" w:w="1474"/>
            <w:shd w:val="clear" w:fill="DCE3ED"/>
          </w:tcPr>
          <w:p>
            <w:r/>
            <w:r>
              <w:rPr>
                <w:b/>
                <w:sz w:val="20"/>
              </w:rPr>
              <w:t>Cost valuation</w:t>
            </w:r>
          </w:p>
        </w:tc>
        <w:tc>
          <w:tcPr>
            <w:tcW w:type="dxa" w:w="1417"/>
            <w:shd w:val="clear" w:fill="DCE3ED"/>
          </w:tcPr>
          <w:p>
            <w:r/>
            <w:r>
              <w:rPr>
                <w:b/>
                <w:sz w:val="20"/>
              </w:rPr>
              <w:t>Default Agile LT</w:t>
            </w:r>
          </w:p>
        </w:tc>
        <w:tc>
          <w:tcPr>
            <w:tcW w:type="dxa" w:w="1417"/>
            <w:shd w:val="clear" w:fill="DCE3ED"/>
          </w:tcPr>
          <w:p>
            <w:r/>
            <w:r>
              <w:rPr>
                <w:b/>
                <w:sz w:val="20"/>
              </w:rPr>
              <w:t>Default Push LT</w:t>
            </w:r>
          </w:p>
        </w:tc>
      </w:tr>
      <w:tr>
        <w:tc>
          <w:tcPr>
            <w:tcW w:type="dxa" w:w="1531"/>
          </w:tcPr>
          <w:p>
            <w:r/>
            <w:r>
              <w:rPr>
                <w:sz w:val="19"/>
              </w:rPr>
              <w:t>Material</w:t>
            </w:r>
          </w:p>
        </w:tc>
        <w:tc>
          <w:tcPr>
            <w:tcW w:type="dxa" w:w="2948"/>
          </w:tcPr>
          <w:p>
            <w:r/>
            <w:r>
              <w:rPr>
                <w:sz w:val="19"/>
              </w:rPr>
              <w:t>Raw material in transit + RM buffer</w:t>
            </w:r>
          </w:p>
        </w:tc>
        <w:tc>
          <w:tcPr>
            <w:tcW w:type="dxa" w:w="1474"/>
          </w:tcPr>
          <w:p>
            <w:r/>
            <w:r>
              <w:rPr>
                <w:sz w:val="19"/>
              </w:rPr>
              <w:t>50% of VC</w:t>
            </w:r>
          </w:p>
        </w:tc>
        <w:tc>
          <w:tcPr>
            <w:tcW w:type="dxa" w:w="1417"/>
          </w:tcPr>
          <w:p>
            <w:r/>
            <w:r>
              <w:rPr>
                <w:sz w:val="19"/>
              </w:rPr>
              <w:t>4 wk</w:t>
            </w:r>
          </w:p>
        </w:tc>
        <w:tc>
          <w:tcPr>
            <w:tcW w:type="dxa" w:w="1417"/>
          </w:tcPr>
          <w:p>
            <w:r/>
            <w:r>
              <w:rPr>
                <w:sz w:val="19"/>
              </w:rPr>
              <w:t>12 wk</w:t>
            </w:r>
          </w:p>
        </w:tc>
      </w:tr>
      <w:tr>
        <w:tc>
          <w:tcPr>
            <w:tcW w:type="dxa" w:w="1531"/>
          </w:tcPr>
          <w:p>
            <w:r/>
            <w:r>
              <w:rPr>
                <w:sz w:val="19"/>
              </w:rPr>
              <w:t>Semi</w:t>
            </w:r>
          </w:p>
        </w:tc>
        <w:tc>
          <w:tcPr>
            <w:tcW w:type="dxa" w:w="2948"/>
          </w:tcPr>
          <w:p>
            <w:r/>
            <w:r>
              <w:rPr>
                <w:sz w:val="19"/>
              </w:rPr>
              <w:t>Semi-finished in transit + Semi buffer</w:t>
            </w:r>
          </w:p>
        </w:tc>
        <w:tc>
          <w:tcPr>
            <w:tcW w:type="dxa" w:w="1474"/>
          </w:tcPr>
          <w:p>
            <w:r/>
            <w:r>
              <w:rPr>
                <w:sz w:val="19"/>
              </w:rPr>
              <w:t>75% of VC</w:t>
            </w:r>
          </w:p>
        </w:tc>
        <w:tc>
          <w:tcPr>
            <w:tcW w:type="dxa" w:w="1417"/>
          </w:tcPr>
          <w:p>
            <w:r/>
            <w:r>
              <w:rPr>
                <w:sz w:val="19"/>
              </w:rPr>
              <w:t>2 wk</w:t>
            </w:r>
          </w:p>
        </w:tc>
        <w:tc>
          <w:tcPr>
            <w:tcW w:type="dxa" w:w="1417"/>
          </w:tcPr>
          <w:p>
            <w:r/>
            <w:r>
              <w:rPr>
                <w:sz w:val="19"/>
              </w:rPr>
              <w:t>6 wk</w:t>
            </w:r>
          </w:p>
        </w:tc>
      </w:tr>
      <w:tr>
        <w:tc>
          <w:tcPr>
            <w:tcW w:type="dxa" w:w="1531"/>
          </w:tcPr>
          <w:p>
            <w:r/>
            <w:r>
              <w:rPr>
                <w:sz w:val="19"/>
              </w:rPr>
              <w:t>Finishing</w:t>
            </w:r>
          </w:p>
        </w:tc>
        <w:tc>
          <w:tcPr>
            <w:tcW w:type="dxa" w:w="2948"/>
          </w:tcPr>
          <w:p>
            <w:r/>
            <w:r>
              <w:rPr>
                <w:sz w:val="19"/>
              </w:rPr>
              <w:t>Finished goods in transit + CW buffer</w:t>
            </w:r>
          </w:p>
        </w:tc>
        <w:tc>
          <w:tcPr>
            <w:tcW w:type="dxa" w:w="1474"/>
          </w:tcPr>
          <w:p>
            <w:r/>
            <w:r>
              <w:rPr>
                <w:sz w:val="19"/>
              </w:rPr>
              <w:t>100% of VC</w:t>
            </w:r>
          </w:p>
        </w:tc>
        <w:tc>
          <w:tcPr>
            <w:tcW w:type="dxa" w:w="1417"/>
          </w:tcPr>
          <w:p>
            <w:r/>
            <w:r>
              <w:rPr>
                <w:sz w:val="19"/>
              </w:rPr>
              <w:t>1 wk</w:t>
            </w:r>
          </w:p>
        </w:tc>
        <w:tc>
          <w:tcPr>
            <w:tcW w:type="dxa" w:w="1417"/>
          </w:tcPr>
          <w:p>
            <w:r/>
            <w:r>
              <w:rPr>
                <w:sz w:val="19"/>
              </w:rPr>
              <w:t>3 wk</w:t>
            </w:r>
          </w:p>
        </w:tc>
      </w:tr>
      <w:tr>
        <w:tc>
          <w:tcPr>
            <w:tcW w:type="dxa" w:w="1531"/>
          </w:tcPr>
          <w:p>
            <w:r/>
            <w:r>
              <w:rPr>
                <w:sz w:val="19"/>
              </w:rPr>
              <w:t>Distribution</w:t>
            </w:r>
          </w:p>
        </w:tc>
        <w:tc>
          <w:tcPr>
            <w:tcW w:type="dxa" w:w="2948"/>
          </w:tcPr>
          <w:p>
            <w:r/>
            <w:r>
              <w:rPr>
                <w:sz w:val="19"/>
              </w:rPr>
              <w:t>Goods en route to a specific store</w:t>
            </w:r>
          </w:p>
        </w:tc>
        <w:tc>
          <w:tcPr>
            <w:tcW w:type="dxa" w:w="1474"/>
          </w:tcPr>
          <w:p>
            <w:r/>
            <w:r>
              <w:rPr>
                <w:sz w:val="19"/>
              </w:rPr>
              <w:t>100% of VC</w:t>
            </w:r>
          </w:p>
        </w:tc>
        <w:tc>
          <w:tcPr>
            <w:tcW w:type="dxa" w:w="1417"/>
          </w:tcPr>
          <w:p>
            <w:r/>
            <w:r>
              <w:rPr>
                <w:sz w:val="19"/>
              </w:rPr>
              <w:t>1 wk</w:t>
            </w:r>
          </w:p>
        </w:tc>
        <w:tc>
          <w:tcPr>
            <w:tcW w:type="dxa" w:w="1417"/>
          </w:tcPr>
          <w:p>
            <w:r/>
            <w:r>
              <w:rPr>
                <w:sz w:val="19"/>
              </w:rPr>
              <w:t>3 wk</w:t>
            </w:r>
          </w:p>
        </w:tc>
      </w:tr>
    </w:tbl>
    <w:p>
      <w:pPr>
        <w:spacing w:before="200" w:after="80"/>
      </w:pPr>
      <w:r>
        <w:rPr>
          <w:b/>
          <w:color w:val="2C3E56"/>
          <w:sz w:val="28"/>
        </w:rPr>
        <w:t>Two stores, smart distribution</w:t>
      </w:r>
    </w:p>
    <w:p>
      <w:pPr>
        <w:spacing w:after="80"/>
      </w:pPr>
      <w:r>
        <w:t>Store A receives the demand share configured in the sidebar (default 60%); Store B receives the remainder (default 40%). Initial store stock is always split 50/50 — the planner has not yet reviewed when the simulation begins. From the first planning review onward, smart distribution rebalances CW pushes to equalize weeks-of-cover between stores before splitting by demand rate.</w:t>
      </w:r>
    </w:p>
    <w:p>
      <w:r>
        <w:br w:type="page"/>
      </w:r>
    </w:p>
    <w:p>
      <w:pPr>
        <w:spacing w:before="240" w:after="160"/>
      </w:pPr>
      <w:r>
        <w:rPr>
          <w:b/>
          <w:color w:val="1A2A40"/>
          <w:sz w:val="40"/>
        </w:rPr>
        <w:t>2. Lead Times, Coverage, and Frequency</w:t>
      </w:r>
    </w:p>
    <w:p>
      <w:pPr>
        <w:spacing w:before="200" w:after="80"/>
      </w:pPr>
      <w:r>
        <w:rPr>
          <w:b/>
          <w:color w:val="2C3E56"/>
          <w:sz w:val="28"/>
        </w:rPr>
        <w:t>Physical lead time</w:t>
      </w:r>
    </w:p>
    <w:p>
      <w:pPr>
        <w:spacing w:after="80"/>
      </w:pPr>
      <w:r>
        <w:t>Physical lead time = sum of stage lead times. With Agile defaults (4+2+1+1) it is 8 weeks; with Push defaults (12+6+3+3) it is 24 weeks. This is the time between placing a supplier order and the resulting unit being available at a store.</w:t>
      </w:r>
    </w:p>
    <w:p>
      <w:pPr>
        <w:spacing w:before="200" w:after="80"/>
      </w:pPr>
      <w:r>
        <w:rPr>
          <w:b/>
          <w:color w:val="2C3E56"/>
          <w:sz w:val="28"/>
        </w:rPr>
        <w:t>Order frequency and coverage</w:t>
      </w:r>
    </w:p>
    <w:p>
      <w:pPr>
        <w:spacing w:after="80"/>
      </w:pPr>
      <w:r>
        <w:t>The order frequency is the cadence at which the planner reviews stock and places replenishment orders. Between reviews, the planner is blind to demand changes — the forecast value is only updated on review weeks.</w:t>
      </w:r>
    </w:p>
    <w:p>
      <w:pPr>
        <w:spacing w:after="80"/>
      </w:pPr>
      <w:r>
        <w:t>Coverage = physical lead time + order frequency. This is the number of weeks of demand the system must hold to avoid stockouts between reviews. It drives both the recommended initial stock and the in-loop ordering rule.</w:t>
      </w:r>
    </w:p>
    <w:p>
      <w:pPr>
        <w:spacing w:before="200" w:after="80"/>
      </w:pPr>
      <w:r>
        <w:rPr>
          <w:b/>
          <w:color w:val="2C3E56"/>
          <w:sz w:val="28"/>
        </w:rPr>
        <w:t>Per-stage coverage (each push point has its own horizon)</w:t>
      </w:r>
    </w:p>
    <w:p>
      <w:pPr>
        <w:spacing w:after="80"/>
      </w:pPr>
      <w:r>
        <w:t>The planner does not place a single order to the supplier. Each of the four push points reviews its own position and places its own order, against a coverage window that spans only the lead time DOWNSTREAM of that point plus the order frequency. A unit released at a downstream stage needs less lead time to reach a store, so it carries a shorter coverage target:</w:t>
      </w:r>
    </w:p>
    <w:tbl>
      <w:tblPr>
        <w:tblStyle w:val="LightGrid-Accent1"/>
        <w:tblW w:type="auto" w:w="0"/>
        <w:tblLook w:firstColumn="1" w:firstRow="1" w:lastColumn="0" w:lastRow="0" w:noHBand="0" w:noVBand="1" w:val="04A0"/>
      </w:tblPr>
      <w:tblGrid>
        <w:gridCol w:w="3249"/>
        <w:gridCol w:w="3249"/>
        <w:gridCol w:w="3249"/>
      </w:tblGrid>
      <w:tr>
        <w:tc>
          <w:tcPr>
            <w:tcW w:type="dxa" w:w="2154"/>
            <w:shd w:val="clear" w:fill="DCE3ED"/>
          </w:tcPr>
          <w:p>
            <w:r/>
            <w:r>
              <w:rPr>
                <w:b/>
                <w:sz w:val="20"/>
              </w:rPr>
              <w:t>Push point</w:t>
            </w:r>
          </w:p>
        </w:tc>
        <w:tc>
          <w:tcPr>
            <w:tcW w:type="dxa" w:w="1474"/>
            <w:shd w:val="clear" w:fill="DCE3ED"/>
          </w:tcPr>
          <w:p>
            <w:r/>
            <w:r>
              <w:rPr>
                <w:b/>
                <w:sz w:val="20"/>
              </w:rPr>
              <w:t>Order target</w:t>
            </w:r>
          </w:p>
        </w:tc>
        <w:tc>
          <w:tcPr>
            <w:tcW w:type="dxa" w:w="4082"/>
            <w:shd w:val="clear" w:fill="DCE3ED"/>
          </w:tcPr>
          <w:p>
            <w:r/>
            <w:r>
              <w:rPr>
                <w:b/>
                <w:sz w:val="20"/>
              </w:rPr>
              <w:t>Coverage window (weeks)</w:t>
            </w:r>
          </w:p>
        </w:tc>
      </w:tr>
      <w:tr>
        <w:tc>
          <w:tcPr>
            <w:tcW w:type="dxa" w:w="2154"/>
          </w:tcPr>
          <w:p>
            <w:r/>
            <w:r>
              <w:rPr>
                <w:sz w:val="19"/>
              </w:rPr>
              <w:t>Supplier (RM in)</w:t>
            </w:r>
          </w:p>
        </w:tc>
        <w:tc>
          <w:tcPr>
            <w:tcW w:type="dxa" w:w="1474"/>
          </w:tcPr>
          <w:p>
            <w:r/>
            <w:r>
              <w:rPr>
                <w:sz w:val="19"/>
              </w:rPr>
              <w:t>od_sup</w:t>
            </w:r>
          </w:p>
        </w:tc>
        <w:tc>
          <w:tcPr>
            <w:tcW w:type="dxa" w:w="4082"/>
          </w:tcPr>
          <w:p>
            <w:r/>
            <w:r>
              <w:rPr>
                <w:sz w:val="19"/>
              </w:rPr>
              <w:t>mat_lt + semi_lt + fp_lt + dist_lt + freq</w:t>
            </w:r>
          </w:p>
        </w:tc>
      </w:tr>
      <w:tr>
        <w:tc>
          <w:tcPr>
            <w:tcW w:type="dxa" w:w="2154"/>
          </w:tcPr>
          <w:p>
            <w:r/>
            <w:r>
              <w:rPr>
                <w:sz w:val="19"/>
              </w:rPr>
              <w:t>Semi (RM → Semi)</w:t>
            </w:r>
          </w:p>
        </w:tc>
        <w:tc>
          <w:tcPr>
            <w:tcW w:type="dxa" w:w="1474"/>
          </w:tcPr>
          <w:p>
            <w:r/>
            <w:r>
              <w:rPr>
                <w:sz w:val="19"/>
              </w:rPr>
              <w:t>od_semi</w:t>
            </w:r>
          </w:p>
        </w:tc>
        <w:tc>
          <w:tcPr>
            <w:tcW w:type="dxa" w:w="4082"/>
          </w:tcPr>
          <w:p>
            <w:r/>
            <w:r>
              <w:rPr>
                <w:sz w:val="19"/>
              </w:rPr>
              <w:t>semi_lt + fp_lt + dist_lt + freq</w:t>
            </w:r>
          </w:p>
        </w:tc>
      </w:tr>
      <w:tr>
        <w:tc>
          <w:tcPr>
            <w:tcW w:type="dxa" w:w="2154"/>
          </w:tcPr>
          <w:p>
            <w:r/>
            <w:r>
              <w:rPr>
                <w:sz w:val="19"/>
              </w:rPr>
              <w:t>Finishing (Semi → FP)</w:t>
            </w:r>
          </w:p>
        </w:tc>
        <w:tc>
          <w:tcPr>
            <w:tcW w:type="dxa" w:w="1474"/>
          </w:tcPr>
          <w:p>
            <w:r/>
            <w:r>
              <w:rPr>
                <w:sz w:val="19"/>
              </w:rPr>
              <w:t>od_fp</w:t>
            </w:r>
          </w:p>
        </w:tc>
        <w:tc>
          <w:tcPr>
            <w:tcW w:type="dxa" w:w="4082"/>
          </w:tcPr>
          <w:p>
            <w:r/>
            <w:r>
              <w:rPr>
                <w:sz w:val="19"/>
              </w:rPr>
              <w:t>fp_lt + dist_lt + freq</w:t>
            </w:r>
          </w:p>
        </w:tc>
      </w:tr>
      <w:tr>
        <w:tc>
          <w:tcPr>
            <w:tcW w:type="dxa" w:w="2154"/>
          </w:tcPr>
          <w:p>
            <w:r/>
            <w:r>
              <w:rPr>
                <w:sz w:val="19"/>
              </w:rPr>
              <w:t>CW push (FP → store)</w:t>
            </w:r>
          </w:p>
        </w:tc>
        <w:tc>
          <w:tcPr>
            <w:tcW w:type="dxa" w:w="1474"/>
          </w:tcPr>
          <w:p>
            <w:r/>
            <w:r>
              <w:rPr>
                <w:sz w:val="19"/>
              </w:rPr>
              <w:t>od_ship</w:t>
            </w:r>
          </w:p>
        </w:tc>
        <w:tc>
          <w:tcPr>
            <w:tcW w:type="dxa" w:w="4082"/>
          </w:tcPr>
          <w:p>
            <w:r/>
            <w:r>
              <w:rPr>
                <w:sz w:val="19"/>
              </w:rPr>
              <w:t>dist_lt + freq</w:t>
            </w:r>
          </w:p>
        </w:tc>
      </w:tr>
    </w:tbl>
    <w:p>
      <w:pPr>
        <w:spacing w:before="200" w:after="80"/>
      </w:pPr>
      <w:r>
        <w:rPr>
          <w:b/>
          <w:color w:val="2C3E56"/>
          <w:sz w:val="28"/>
        </w:rPr>
        <w:t>The ordering rule (periodic review, multi-echelon targets)</w:t>
      </w:r>
    </w:p>
    <w:p>
      <w:pPr>
        <w:spacing w:before="40" w:after="120"/>
        <w:ind w:left="283"/>
      </w:pPr>
      <w:r>
        <w:rPr>
          <w:rFonts w:ascii="Consolas" w:hAnsi="Consolas"/>
          <w:color w:val="1A2A40"/>
          <w:sz w:val="19"/>
        </w:rPr>
        <w:t>if w in review_weeks:</w:t>
        <w:br/>
        <w:t xml:space="preserve">    for stage in [sup, semi, fp, ship]:</w:t>
        <w:br/>
        <w:t xml:space="preserve">        target_x   = forecast × coverage_x        # demand to cover</w:t>
        <w:br/>
        <w:t xml:space="preserve">        existing_x = (stores + every unit already AT or DOWNSTREAM</w:t>
        <w:br/>
        <w:t xml:space="preserve">                      of this stage's push point) + this stage's backlog</w:t>
        <w:br/>
        <w:t xml:space="preserve">        order_x    = max(0, target_x − existing_x)</w:t>
        <w:br/>
        <w:t xml:space="preserve">        backlog_x += order_x                       # accrues to the stage</w:t>
      </w:r>
    </w:p>
    <w:p>
      <w:pPr>
        <w:spacing w:after="80"/>
      </w:pPr>
      <w:r>
        <w:t>Each stage's existing-count includes only inventory from that stage's push point downstream, plus that stage's own outstanding backlog — so consecutive reviews never double-count, and an upstream order does not suppress a downstream one. The four orders accrue to four independent backlogs (supplier pre-buffer, semi, fp, ship). Each processing or shipping step later in the week consumes against its OWN backlog: RM→Semi draws down the semi backlog, Semi→FP the fp backlog, and the CW→store push the ship backlog. This is what ‘advanced stage ordering' means — every stage pulls work forward on its own shorter horizon instead of waiting for one chain-level order to propagate.</w:t>
      </w:r>
    </w:p>
    <w:p>
      <w:pPr>
        <w:spacing w:after="80"/>
      </w:pPr>
      <w:r>
        <w:t>On non-review weeks, all orders are zero. The forecast updates only on review weeks (the planner re-bases on the latest observed demand). This intentionally models the periodic-review information lag that hurts Push more than Agile.</w:t>
      </w:r>
    </w:p>
    <w:p>
      <w:pPr>
        <w:spacing w:before="200" w:after="80"/>
      </w:pPr>
      <w:r>
        <w:rPr>
          <w:b/>
          <w:color w:val="2C3E56"/>
          <w:sz w:val="28"/>
        </w:rPr>
        <w:t>Per-store gap adjustment (smart distribution only)</w:t>
      </w:r>
    </w:p>
    <w:p>
      <w:pPr>
        <w:spacing w:after="80"/>
      </w:pPr>
      <w:r>
        <w:t>Pooled stage targets answer ‘does the chain hold enough in aggregate?' but can miss the case where one store is starving while another sits on surplus. When smart distribution is on, each stage also computes a per-store gap: it works out the cover-equalizing share of the common upstream pool that the CW push will actually deliver, then sums each store's remaining shortfall. The final stage order is the MAX of the pooled order and this per-store gap, so ordering and execution use the same allocation logic.</w:t>
      </w:r>
    </w:p>
    <w:p>
      <w:pPr>
        <w:spacing w:before="200" w:after="80"/>
      </w:pPr>
      <w:r>
        <w:rPr>
          <w:b/>
          <w:color w:val="2C3E56"/>
          <w:sz w:val="28"/>
        </w:rPr>
        <w:t>Capacity ramp</w:t>
      </w:r>
    </w:p>
    <w:p>
      <w:pPr>
        <w:spacing w:after="80"/>
      </w:pPr>
      <w:r>
        <w:t>Each stage has a starting weekly capacity (default 100 pcs/wk) and a linear ramp-up percentage (default +20%/wk). Ramp counters only advance after the first supplier order is placed — the factory does not warm up on the calendar but on commercial signal.</w:t>
      </w:r>
    </w:p>
    <w:p>
      <w:r>
        <w:br w:type="page"/>
      </w:r>
    </w:p>
    <w:p>
      <w:pPr>
        <w:spacing w:before="240" w:after="160"/>
      </w:pPr>
      <w:r>
        <w:rPr>
          <w:b/>
          <w:color w:val="1A2A40"/>
          <w:sz w:val="40"/>
        </w:rPr>
        <w:t>3. Forecasting and Replenishment Logic</w:t>
      </w:r>
    </w:p>
    <w:p>
      <w:pPr>
        <w:spacing w:before="200" w:after="80"/>
      </w:pPr>
      <w:r>
        <w:rPr>
          <w:b/>
          <w:color w:val="2C3E56"/>
          <w:sz w:val="28"/>
        </w:rPr>
        <w:t>What the planner sees (two forecast regimes)</w:t>
      </w:r>
    </w:p>
    <w:p>
      <w:pPr>
        <w:spacing w:after="80"/>
      </w:pPr>
      <w:r>
        <w:t>The simulator runs one of two forecast regimes depending on the demand profile:</w:t>
      </w:r>
    </w:p>
    <w:p>
      <w:pPr>
        <w:pStyle w:val="ListBullet"/>
        <w:spacing w:after="40"/>
      </w:pPr>
      <w:r>
        <w:t>Flat / Ramp / Drop (no seasonal curve): on each review week the planner observes the current week's actual demand and treats it as the flat forward-looking rate. Each stage target is simply forecast × coverage_x. No smoothing layer — the simplest possible signal, so the comparison isolates the structural effects of lead time and review frequency.</w:t>
      </w:r>
    </w:p>
    <w:p>
      <w:pPr>
        <w:pStyle w:val="ListBullet"/>
        <w:spacing w:after="40"/>
      </w:pPr>
      <w:r>
        <w:t>Seasonal: the planner holds a believed demand SHAPE (the planner curve) but does not know its MAGNITUDE until the season starts. Targets are a forward look-ahead over that curve, scaled by a factor discovered at the first review (next subsection).</w:t>
      </w:r>
    </w:p>
    <w:p>
      <w:pPr>
        <w:spacing w:before="200" w:after="80"/>
      </w:pPr>
      <w:r>
        <w:rPr>
          <w:b/>
          <w:color w:val="2C3E56"/>
          <w:sz w:val="28"/>
        </w:rPr>
        <w:t>Seasonal: actual sales guessed in the first review period</w:t>
      </w:r>
    </w:p>
    <w:p>
      <w:pPr>
        <w:spacing w:after="80"/>
      </w:pPr>
      <w:r>
        <w:t>A seasonal planner knows the season is, say, ‘steep, peaking around week 6,' but cannot know in advance whether this year sells at an average of 30, 100 or 300 a week. The simulator models exactly this. The planner curve encodes the believed shape, normalized to an average of 100/wk. On the FIRST review week the planner compares cumulative actual demand so far against the cumulative curve over the same weeks and locks a single scaling factor:</w:t>
      </w:r>
    </w:p>
    <w:p>
      <w:pPr>
        <w:spacing w:before="40" w:after="120"/>
        <w:ind w:left="283"/>
      </w:pPr>
      <w:r>
        <w:rPr>
          <w:rFonts w:ascii="Consolas" w:hAnsi="Consolas"/>
          <w:color w:val="1A2A40"/>
          <w:sz w:val="19"/>
        </w:rPr>
        <w:t># locked once, at the first review week only</w:t>
        <w:br/>
        <w:t>f = Σ actual_demand[1..w]  /  Σ planner_curve[1..w]</w:t>
      </w:r>
    </w:p>
    <w:p>
      <w:pPr>
        <w:spacing w:after="80"/>
      </w:pPr>
      <w:r>
        <w:t>From then on, every stage target is a forward sum over the believed curve, scaled by that discovered factor:</w:t>
      </w:r>
    </w:p>
    <w:p>
      <w:pPr>
        <w:spacing w:before="40" w:after="120"/>
        <w:ind w:left="283"/>
      </w:pPr>
      <w:r>
        <w:rPr>
          <w:rFonts w:ascii="Consolas" w:hAnsi="Consolas"/>
          <w:color w:val="1A2A40"/>
          <w:sz w:val="19"/>
        </w:rPr>
        <w:t>target_x = f × Σ planner_curve[w+1 .. w+coverage_x]   (capped at sim end)</w:t>
      </w:r>
    </w:p>
    <w:p>
      <w:pPr>
        <w:spacing w:after="80"/>
      </w:pPr>
      <w:r>
        <w:t>So if the believed average was 100/wk but the first period sells through at roughly 3×, the planner locks f ≈ 3.0 and scales its entire forward plan up by 3× — it has ‘guessed' the season's magnitude from the opening weeks and commits to it. The factor is snapped to a clean integer (or 0.1 increment) when the observed ratio is within rounding-drift distance, because the integer weekly demand the presets generate produces ratios that are nearly but not exactly clean (e.g. an avg-300 curve against an avg-100 belief reads as ~2.99 rather than 3.00). Snapping keeps the displayed factor readable without changing behaviour. Once locked, the factor never re-bases — a wrong first guess is carried for the rest of the season, which is the whole point: long-cycle planners live with their opening-period read.</w:t>
      </w:r>
    </w:p>
    <w:p>
      <w:pPr>
        <w:spacing w:before="200" w:after="80"/>
      </w:pPr>
      <w:r>
        <w:rPr>
          <w:b/>
          <w:color w:val="2C3E56"/>
          <w:sz w:val="28"/>
        </w:rPr>
        <w:t>What goes into the existing-stock count</w:t>
      </w:r>
    </w:p>
    <w:p>
      <w:pPr>
        <w:spacing w:after="80"/>
      </w:pPr>
      <w:r>
        <w:t>When computing existing inventory for the order calculation, the simulator counts every unit in the system that has already been paid for or committed:</w:t>
      </w:r>
    </w:p>
    <w:p>
      <w:pPr>
        <w:pStyle w:val="ListBullet"/>
        <w:spacing w:after="40"/>
      </w:pPr>
      <w:r>
        <w:t>Stocks at both stores</w:t>
      </w:r>
    </w:p>
    <w:p>
      <w:pPr>
        <w:pStyle w:val="ListBullet"/>
        <w:spacing w:after="40"/>
      </w:pPr>
      <w:r>
        <w:t>All units in transit (Material, Semi, Finishing, and Distribution pipes)</w:t>
      </w:r>
    </w:p>
    <w:p>
      <w:pPr>
        <w:pStyle w:val="ListBullet"/>
        <w:spacing w:after="40"/>
      </w:pPr>
      <w:r>
        <w:t>Buffers between stages (RM, Semi, CW)</w:t>
      </w:r>
    </w:p>
    <w:p>
      <w:pPr>
        <w:pStyle w:val="ListBullet"/>
        <w:spacing w:after="40"/>
      </w:pPr>
      <w:r>
        <w:t>Supplier backlog (orders placed but not yet shipped)</w:t>
      </w:r>
    </w:p>
    <w:p>
      <w:pPr>
        <w:spacing w:after="80"/>
      </w:pPr>
      <w:r>
        <w:t>This means that as the supplier accumulates a backlog, the planner does NOT re-order the same units — they are already on the books.</w:t>
      </w:r>
    </w:p>
    <w:p>
      <w:pPr>
        <w:spacing w:after="80"/>
      </w:pPr>
      <w:r>
        <w:t>The list above is the SUPPLIER stage's existing-count. Each downstream stage uses a narrower slice: the Semi order ignores raw material and the Material pipe (those cannot reach a store within its shorter coverage), the Finishing order ignores everything upstream of the FP pipe, and the CW push counts only store stock plus distribution pipes. Each stage also adds its own backlog, never another stage's, so the four orders stay independent.</w:t>
      </w:r>
    </w:p>
    <w:p>
      <w:pPr>
        <w:spacing w:before="200" w:after="80"/>
      </w:pPr>
      <w:r>
        <w:rPr>
          <w:b/>
          <w:color w:val="2C3E56"/>
          <w:sz w:val="28"/>
        </w:rPr>
        <w:t>Initial stock recommendation</w:t>
      </w:r>
    </w:p>
    <w:p>
      <w:pPr>
        <w:spacing w:after="80"/>
      </w:pPr>
      <w:r>
        <w:t>The sidebar shows a smart recommendation that adapts to the demand shape: it sums the actual demand over the first ‘coverage' weeks of the curve. This matters most for ramps and seasonal profiles where the early weeks differ from the average.</w:t>
      </w:r>
    </w:p>
    <w:p>
      <w:pPr>
        <w:spacing w:before="200" w:after="80"/>
      </w:pPr>
      <w:r>
        <w:rPr>
          <w:b/>
          <w:color w:val="2C3E56"/>
          <w:sz w:val="28"/>
        </w:rPr>
        <w:t>Smart vs Push distribution</w:t>
      </w:r>
    </w:p>
    <w:p>
      <w:pPr>
        <w:spacing w:after="80"/>
      </w:pPr>
      <w:r>
        <w:t>Push 50/50 always allocates CW shipments equally between stores, ignoring the demand split. Smart distribution, after the first review, computes weeks-of-cover per store and prioritizes the worst-covered store before splitting the remainder by demand rate. The first CW shipment is still 50/50 because the planner has not yet reviewed.</w:t>
      </w:r>
    </w:p>
    <w:p>
      <w:r>
        <w:br w:type="page"/>
      </w:r>
    </w:p>
    <w:p>
      <w:pPr>
        <w:spacing w:before="240" w:after="160"/>
      </w:pPr>
      <w:r>
        <w:rPr>
          <w:b/>
          <w:color w:val="1A2A40"/>
          <w:sz w:val="40"/>
        </w:rPr>
        <w:t>4. Cost Accounting (Entering-Stage)</w:t>
      </w:r>
    </w:p>
    <w:p>
      <w:pPr>
        <w:spacing w:before="200" w:after="80"/>
      </w:pPr>
      <w:r>
        <w:rPr>
          <w:b/>
          <w:color w:val="2C3E56"/>
          <w:sz w:val="28"/>
        </w:rPr>
        <w:t>Three valorization rates</w:t>
      </w:r>
    </w:p>
    <w:p>
      <w:pPr>
        <w:spacing w:after="80"/>
      </w:pPr>
      <w:r>
        <w:t>A finished unit costs €200 in variable cost (default). Costs accumulate as the unit moves through the chain:</w:t>
      </w:r>
    </w:p>
    <w:tbl>
      <w:tblPr>
        <w:tblStyle w:val="LightGrid-Accent1"/>
        <w:tblW w:type="auto" w:w="0"/>
        <w:tblLook w:firstColumn="1" w:firstRow="1" w:lastColumn="0" w:lastRow="0" w:noHBand="0" w:noVBand="1" w:val="04A0"/>
      </w:tblPr>
      <w:tblGrid>
        <w:gridCol w:w="3249"/>
        <w:gridCol w:w="3249"/>
        <w:gridCol w:w="3249"/>
      </w:tblGrid>
      <w:tr>
        <w:tc>
          <w:tcPr>
            <w:tcW w:type="dxa" w:w="3118"/>
            <w:shd w:val="clear" w:fill="DCE3ED"/>
          </w:tcPr>
          <w:p>
            <w:r/>
            <w:r>
              <w:rPr>
                <w:b/>
                <w:sz w:val="20"/>
              </w:rPr>
              <w:t>Stage entered</w:t>
            </w:r>
          </w:p>
        </w:tc>
        <w:tc>
          <w:tcPr>
            <w:tcW w:type="dxa" w:w="2721"/>
            <w:shd w:val="clear" w:fill="DCE3ED"/>
          </w:tcPr>
          <w:p>
            <w:r/>
            <w:r>
              <w:rPr>
                <w:b/>
                <w:sz w:val="20"/>
              </w:rPr>
              <w:t>Cumulative valorization</w:t>
            </w:r>
          </w:p>
        </w:tc>
        <w:tc>
          <w:tcPr>
            <w:tcW w:type="dxa" w:w="2551"/>
            <w:shd w:val="clear" w:fill="DCE3ED"/>
          </w:tcPr>
          <w:p>
            <w:r/>
            <w:r>
              <w:rPr>
                <w:b/>
                <w:sz w:val="20"/>
              </w:rPr>
              <w:t>Incremental cost</w:t>
            </w:r>
          </w:p>
        </w:tc>
      </w:tr>
      <w:tr>
        <w:tc>
          <w:tcPr>
            <w:tcW w:type="dxa" w:w="3118"/>
          </w:tcPr>
          <w:p>
            <w:r/>
            <w:r>
              <w:rPr>
                <w:sz w:val="19"/>
              </w:rPr>
              <w:t>Raw Material (entry into Material pipe)</w:t>
            </w:r>
          </w:p>
        </w:tc>
        <w:tc>
          <w:tcPr>
            <w:tcW w:type="dxa" w:w="2721"/>
          </w:tcPr>
          <w:p>
            <w:r/>
            <w:r>
              <w:rPr>
                <w:sz w:val="19"/>
              </w:rPr>
              <w:t>50% of VC = €100</w:t>
            </w:r>
          </w:p>
        </w:tc>
        <w:tc>
          <w:tcPr>
            <w:tcW w:type="dxa" w:w="2551"/>
          </w:tcPr>
          <w:p>
            <w:r/>
            <w:r>
              <w:rPr>
                <w:sz w:val="19"/>
              </w:rPr>
              <w:t>€100 booked</w:t>
            </w:r>
          </w:p>
        </w:tc>
      </w:tr>
      <w:tr>
        <w:tc>
          <w:tcPr>
            <w:tcW w:type="dxa" w:w="3118"/>
          </w:tcPr>
          <w:p>
            <w:r/>
            <w:r>
              <w:rPr>
                <w:sz w:val="19"/>
              </w:rPr>
              <w:t>Semi (entry into Semi pipe)</w:t>
            </w:r>
          </w:p>
        </w:tc>
        <w:tc>
          <w:tcPr>
            <w:tcW w:type="dxa" w:w="2721"/>
          </w:tcPr>
          <w:p>
            <w:r/>
            <w:r>
              <w:rPr>
                <w:sz w:val="19"/>
              </w:rPr>
              <w:t>75% of VC = €150</w:t>
            </w:r>
          </w:p>
        </w:tc>
        <w:tc>
          <w:tcPr>
            <w:tcW w:type="dxa" w:w="2551"/>
          </w:tcPr>
          <w:p>
            <w:r/>
            <w:r>
              <w:rPr>
                <w:sz w:val="19"/>
              </w:rPr>
              <w:t>+€50 booked</w:t>
            </w:r>
          </w:p>
        </w:tc>
      </w:tr>
      <w:tr>
        <w:tc>
          <w:tcPr>
            <w:tcW w:type="dxa" w:w="3118"/>
          </w:tcPr>
          <w:p>
            <w:r/>
            <w:r>
              <w:rPr>
                <w:sz w:val="19"/>
              </w:rPr>
              <w:t>Finished (entry into FP pipe)</w:t>
            </w:r>
          </w:p>
        </w:tc>
        <w:tc>
          <w:tcPr>
            <w:tcW w:type="dxa" w:w="2721"/>
          </w:tcPr>
          <w:p>
            <w:r/>
            <w:r>
              <w:rPr>
                <w:sz w:val="19"/>
              </w:rPr>
              <w:t>100% of VC = €200</w:t>
            </w:r>
          </w:p>
        </w:tc>
        <w:tc>
          <w:tcPr>
            <w:tcW w:type="dxa" w:w="2551"/>
          </w:tcPr>
          <w:p>
            <w:r/>
            <w:r>
              <w:rPr>
                <w:sz w:val="19"/>
              </w:rPr>
              <w:t>+€50 booked</w:t>
            </w:r>
          </w:p>
        </w:tc>
      </w:tr>
    </w:tbl>
    <w:p>
      <w:pPr>
        <w:spacing w:before="200" w:after="80"/>
      </w:pPr>
      <w:r>
        <w:rPr>
          <w:b/>
          <w:color w:val="2C3E56"/>
          <w:sz w:val="28"/>
        </w:rPr>
        <w:t>When costs are booked</w:t>
      </w:r>
    </w:p>
    <w:p>
      <w:pPr>
        <w:spacing w:after="80"/>
      </w:pPr>
      <w:r>
        <w:t>Costs are booked at the moment a unit ENTERS each stage — i.e., when the supplier ships it into the Material pipe, when RM-to-Semi processing happens, and when Semi-to-FP processing happens. There is no anticipation and no double counting. The Debug expander asserts unit and value conservation at end of run.</w:t>
      </w:r>
    </w:p>
    <w:p>
      <w:pPr>
        <w:spacing w:before="40" w:after="120"/>
        <w:ind w:left="283"/>
      </w:pPr>
      <w:r>
        <w:rPr>
          <w:rFonts w:ascii="Consolas" w:hAnsi="Consolas"/>
          <w:color w:val="1A2A40"/>
          <w:sz w:val="19"/>
        </w:rPr>
        <w:t>cost_mat  = shipped × VC × 0.50   # supplier ship → mat_pipe</w:t>
        <w:br/>
        <w:t>cost_semi = si      × VC × 0.25   # RM → Semi processing</w:t>
        <w:br/>
        <w:t>cost_fp   = fi      × VC × 0.25   # Semi → FP processing</w:t>
      </w:r>
    </w:p>
    <w:p>
      <w:pPr>
        <w:spacing w:before="200" w:after="80"/>
      </w:pPr>
      <w:r>
        <w:rPr>
          <w:b/>
          <w:color w:val="2C3E56"/>
          <w:sz w:val="28"/>
        </w:rPr>
        <w:t>Initial stock value (the pre-investment)</w:t>
      </w:r>
    </w:p>
    <w:p>
      <w:pPr>
        <w:spacing w:after="80"/>
      </w:pPr>
      <w:r>
        <w:t>Initial stock is treated as a real, sunk pre-investment. It is valued at the stage where it sits at sim start and added to total variable cost in the P&amp;L:</w:t>
      </w:r>
    </w:p>
    <w:p>
      <w:pPr>
        <w:spacing w:before="40" w:after="120"/>
        <w:ind w:left="283"/>
      </w:pPr>
      <w:r>
        <w:rPr>
          <w:rFonts w:ascii="Consolas" w:hAnsi="Consolas"/>
          <w:color w:val="1A2A40"/>
          <w:sz w:val="19"/>
        </w:rPr>
        <w:t>init_stock_value = init_store    × VC × 1.00</w:t>
        <w:br/>
        <w:t xml:space="preserve">                 + init_cw       × VC × 1.00</w:t>
        <w:br/>
        <w:t xml:space="preserve">                 + init_semi     × VC × 0.75</w:t>
        <w:br/>
        <w:t xml:space="preserve">                 + init_rawmat   × VC × 0.50</w:t>
      </w:r>
    </w:p>
    <w:p>
      <w:pPr>
        <w:spacing w:after="80"/>
      </w:pPr>
      <w:r>
        <w:t>At W0 there are zero production costs. This avoids double-counting the initial stock both via init_stock_value and via the production-cost columns.</w:t>
      </w:r>
    </w:p>
    <w:p>
      <w:pPr>
        <w:spacing w:before="200" w:after="80"/>
      </w:pPr>
      <w:r>
        <w:rPr>
          <w:b/>
          <w:color w:val="2C3E56"/>
          <w:sz w:val="28"/>
        </w:rPr>
        <w:t>Fixed cost</w:t>
      </w:r>
    </w:p>
    <w:p>
      <w:pPr>
        <w:spacing w:after="80"/>
      </w:pPr>
      <w:r>
        <w:t>Fixed cost is computed as a percentage (default 45%) of the simulation-period FORECAST revenue, not the actual revenue. This represents factory overhead, salaries, depreciation — costs that are committed regardless of how many units actually sell.</w:t>
      </w:r>
    </w:p>
    <w:p>
      <w:pPr>
        <w:spacing w:before="200" w:after="80"/>
      </w:pPr>
      <w:r>
        <w:rPr>
          <w:b/>
          <w:color w:val="2C3E56"/>
          <w:sz w:val="28"/>
        </w:rPr>
        <w:t>P&amp;L identity</w:t>
      </w:r>
    </w:p>
    <w:p>
      <w:pPr>
        <w:spacing w:before="40" w:after="120"/>
        <w:ind w:left="283"/>
      </w:pPr>
      <w:r>
        <w:rPr>
          <w:rFonts w:ascii="Consolas" w:hAnsi="Consolas"/>
          <w:color w:val="1A2A40"/>
          <w:sz w:val="19"/>
        </w:rPr>
        <w:t>Revenue = total_sales × price</w:t>
        <w:br/>
        <w:t>Total VC = init_stock_value + Σ cost_mat + Σ cost_semi + Σ cost_fp</w:t>
        <w:br/>
        <w:t>Gross margin = Revenue − Total VC</w:t>
        <w:br/>
        <w:t>Net margin   = Gross margin − Fixed cost</w:t>
        <w:br/>
        <w:br/>
        <w:t>Identity (must hold exactly):</w:t>
        <w:br/>
        <w:t xml:space="preserve">    Revenue == Total VC + Fixed + Margin</w:t>
      </w:r>
    </w:p>
    <w:p>
      <w:pPr>
        <w:spacing w:after="80"/>
      </w:pPr>
      <w:r>
        <w:t>Below the net margin, the P&amp;L shows a separate "Leftover Stock + WIP" line as an asset — units that were paid for but not sold. Not subtracted from margin (the variable cost was already booked); shown as a measure of stranded capital.</w:t>
      </w:r>
    </w:p>
    <w:p>
      <w:r>
        <w:br w:type="page"/>
      </w:r>
    </w:p>
    <w:p>
      <w:pPr>
        <w:spacing w:before="240" w:after="160"/>
      </w:pPr>
      <w:r>
        <w:rPr>
          <w:b/>
          <w:color w:val="1A2A40"/>
          <w:sz w:val="40"/>
        </w:rPr>
        <w:t>5. Permanent Presets (Flat / Growth / Drop)</w:t>
      </w:r>
    </w:p>
    <w:p>
      <w:pPr>
        <w:spacing w:before="200" w:after="80"/>
      </w:pPr>
      <w:r>
        <w:rPr>
          <w:b/>
          <w:color w:val="2C3E56"/>
          <w:sz w:val="28"/>
        </w:rPr>
        <w:t>What ‘Permanent' means</w:t>
      </w:r>
    </w:p>
    <w:p>
      <w:pPr>
        <w:spacing w:after="80"/>
      </w:pPr>
      <w:r>
        <w:t>These nine presets — three lead-time profiles × three demand shapes — represent the steady-state operating modes of a real supply chain. Demand is either permanently flat at 100/wk, ramping up to 300/wk, or dropping to 30/wk.</w:t>
      </w:r>
    </w:p>
    <w:p>
      <w:pPr>
        <w:spacing w:before="200" w:after="80"/>
      </w:pPr>
      <w:r>
        <w:rPr>
          <w:b/>
          <w:color w:val="2C3E56"/>
          <w:sz w:val="28"/>
        </w:rPr>
        <w:t>Stock sizing rule</w:t>
      </w:r>
    </w:p>
    <w:p>
      <w:pPr>
        <w:spacing w:after="80"/>
      </w:pPr>
      <w:r>
        <w:t>Initial stock is auto-sized to coverage × base forecast (= 100). For Agile (coverage 9) this gives 900 pcs; for Medium (coverage 18) 1 800; for Push (coverage 28) 2 800.</w:t>
      </w:r>
    </w:p>
    <w:p>
      <w:pPr>
        <w:spacing w:before="200" w:after="80"/>
      </w:pPr>
      <w:r>
        <w:rPr>
          <w:b/>
          <w:color w:val="2C3E56"/>
          <w:sz w:val="28"/>
        </w:rPr>
        <w:t>Distributions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417"/>
            <w:shd w:val="clear" w:fill="DCE3ED"/>
          </w:tcPr>
          <w:p>
            <w:r/>
            <w:r>
              <w:rPr>
                <w:b/>
                <w:sz w:val="20"/>
              </w:rPr>
              <w:t>Profile</w:t>
            </w:r>
          </w:p>
        </w:tc>
        <w:tc>
          <w:tcPr>
            <w:tcW w:type="dxa" w:w="1134"/>
            <w:shd w:val="clear" w:fill="DCE3ED"/>
          </w:tcPr>
          <w:p>
            <w:r/>
            <w:r>
              <w:rPr>
                <w:b/>
                <w:sz w:val="20"/>
              </w:rPr>
              <w:t>Store %</w:t>
            </w:r>
          </w:p>
        </w:tc>
        <w:tc>
          <w:tcPr>
            <w:tcW w:type="dxa" w:w="1134"/>
            <w:shd w:val="clear" w:fill="DCE3ED"/>
          </w:tcPr>
          <w:p>
            <w:r/>
            <w:r>
              <w:rPr>
                <w:b/>
                <w:sz w:val="20"/>
              </w:rPr>
              <w:t>WH %</w:t>
            </w:r>
          </w:p>
        </w:tc>
        <w:tc>
          <w:tcPr>
            <w:tcW w:type="dxa" w:w="1134"/>
            <w:shd w:val="clear" w:fill="DCE3ED"/>
          </w:tcPr>
          <w:p>
            <w:r/>
            <w:r>
              <w:rPr>
                <w:b/>
                <w:sz w:val="20"/>
              </w:rPr>
              <w:t>Semi %</w:t>
            </w:r>
          </w:p>
        </w:tc>
        <w:tc>
          <w:tcPr>
            <w:tcW w:type="dxa" w:w="1134"/>
            <w:shd w:val="clear" w:fill="DCE3ED"/>
          </w:tcPr>
          <w:p>
            <w:r/>
            <w:r>
              <w:rPr>
                <w:b/>
                <w:sz w:val="20"/>
              </w:rPr>
              <w:t>RM %</w:t>
            </w:r>
          </w:p>
        </w:tc>
        <w:tc>
          <w:tcPr>
            <w:tcW w:type="dxa" w:w="1417"/>
            <w:shd w:val="clear" w:fill="DCE3ED"/>
          </w:tcPr>
          <w:p>
            <w:r/>
            <w:r>
              <w:rPr>
                <w:b/>
                <w:sz w:val="20"/>
              </w:rPr>
              <w:t>Order freq</w:t>
            </w:r>
          </w:p>
        </w:tc>
      </w:tr>
      <w:tr>
        <w:tc>
          <w:tcPr>
            <w:tcW w:type="dxa" w:w="1417"/>
          </w:tcPr>
          <w:p>
            <w:r/>
            <w:r>
              <w:rPr>
                <w:sz w:val="19"/>
              </w:rPr>
              <w:t>Agile</w:t>
            </w:r>
          </w:p>
        </w:tc>
        <w:tc>
          <w:tcPr>
            <w:tcW w:type="dxa" w:w="1134"/>
          </w:tcPr>
          <w:p>
            <w:r/>
            <w:r>
              <w:rPr>
                <w:sz w:val="19"/>
              </w:rPr>
              <w:t>60</w:t>
            </w:r>
          </w:p>
        </w:tc>
        <w:tc>
          <w:tcPr>
            <w:tcW w:type="dxa" w:w="1134"/>
          </w:tcPr>
          <w:p>
            <w:r/>
            <w:r>
              <w:rPr>
                <w:sz w:val="19"/>
              </w:rPr>
              <w:t>20</w:t>
            </w:r>
          </w:p>
        </w:tc>
        <w:tc>
          <w:tcPr>
            <w:tcW w:type="dxa" w:w="1134"/>
          </w:tcPr>
          <w:p>
            <w:r/>
            <w:r>
              <w:rPr>
                <w:sz w:val="19"/>
              </w:rPr>
              <w:t>10</w:t>
            </w:r>
          </w:p>
        </w:tc>
        <w:tc>
          <w:tcPr>
            <w:tcW w:type="dxa" w:w="1134"/>
          </w:tcPr>
          <w:p>
            <w:r/>
            <w:r>
              <w:rPr>
                <w:sz w:val="19"/>
              </w:rPr>
              <w:t>10</w:t>
            </w:r>
          </w:p>
        </w:tc>
        <w:tc>
          <w:tcPr>
            <w:tcW w:type="dxa" w:w="1417"/>
          </w:tcPr>
          <w:p>
            <w:r/>
            <w:r>
              <w:rPr>
                <w:sz w:val="19"/>
              </w:rPr>
              <w:t>1 wk</w:t>
            </w:r>
          </w:p>
        </w:tc>
      </w:tr>
      <w:tr>
        <w:tc>
          <w:tcPr>
            <w:tcW w:type="dxa" w:w="1417"/>
          </w:tcPr>
          <w:p>
            <w:r/>
            <w:r>
              <w:rPr>
                <w:sz w:val="19"/>
              </w:rPr>
              <w:t>Medium</w:t>
            </w:r>
          </w:p>
        </w:tc>
        <w:tc>
          <w:tcPr>
            <w:tcW w:type="dxa" w:w="1134"/>
          </w:tcPr>
          <w:p>
            <w:r/>
            <w:r>
              <w:rPr>
                <w:sz w:val="19"/>
              </w:rPr>
              <w:t>80</w:t>
            </w:r>
          </w:p>
        </w:tc>
        <w:tc>
          <w:tcPr>
            <w:tcW w:type="dxa" w:w="1134"/>
          </w:tcPr>
          <w:p>
            <w:r/>
            <w:r>
              <w:rPr>
                <w:sz w:val="19"/>
              </w:rPr>
              <w:t>20</w:t>
            </w:r>
          </w:p>
        </w:tc>
        <w:tc>
          <w:tcPr>
            <w:tcW w:type="dxa" w:w="1134"/>
          </w:tcPr>
          <w:p>
            <w:r/>
            <w:r>
              <w:rPr>
                <w:sz w:val="19"/>
              </w:rPr>
              <w:t>0</w:t>
            </w:r>
          </w:p>
        </w:tc>
        <w:tc>
          <w:tcPr>
            <w:tcW w:type="dxa" w:w="1134"/>
          </w:tcPr>
          <w:p>
            <w:r/>
            <w:r>
              <w:rPr>
                <w:sz w:val="19"/>
              </w:rPr>
              <w:t>0</w:t>
            </w:r>
          </w:p>
        </w:tc>
        <w:tc>
          <w:tcPr>
            <w:tcW w:type="dxa" w:w="1417"/>
          </w:tcPr>
          <w:p>
            <w:r/>
            <w:r>
              <w:rPr>
                <w:sz w:val="19"/>
              </w:rPr>
              <w:t>2 wk</w:t>
            </w:r>
          </w:p>
        </w:tc>
      </w:tr>
      <w:tr>
        <w:tc>
          <w:tcPr>
            <w:tcW w:type="dxa" w:w="1417"/>
          </w:tcPr>
          <w:p>
            <w:r/>
            <w:r>
              <w:rPr>
                <w:sz w:val="19"/>
              </w:rPr>
              <w:t>Push</w:t>
            </w:r>
          </w:p>
        </w:tc>
        <w:tc>
          <w:tcPr>
            <w:tcW w:type="dxa" w:w="1134"/>
          </w:tcPr>
          <w:p>
            <w:r/>
            <w:r>
              <w:rPr>
                <w:sz w:val="19"/>
              </w:rPr>
              <w:t>100</w:t>
            </w:r>
          </w:p>
        </w:tc>
        <w:tc>
          <w:tcPr>
            <w:tcW w:type="dxa" w:w="1134"/>
          </w:tcPr>
          <w:p>
            <w:r/>
            <w:r>
              <w:rPr>
                <w:sz w:val="19"/>
              </w:rPr>
              <w:t>0</w:t>
            </w:r>
          </w:p>
        </w:tc>
        <w:tc>
          <w:tcPr>
            <w:tcW w:type="dxa" w:w="1134"/>
          </w:tcPr>
          <w:p>
            <w:r/>
            <w:r>
              <w:rPr>
                <w:sz w:val="19"/>
              </w:rPr>
              <w:t>0</w:t>
            </w:r>
          </w:p>
        </w:tc>
        <w:tc>
          <w:tcPr>
            <w:tcW w:type="dxa" w:w="1134"/>
          </w:tcPr>
          <w:p>
            <w:r/>
            <w:r>
              <w:rPr>
                <w:sz w:val="19"/>
              </w:rPr>
              <w:t>0</w:t>
            </w:r>
          </w:p>
        </w:tc>
        <w:tc>
          <w:tcPr>
            <w:tcW w:type="dxa" w:w="1417"/>
          </w:tcPr>
          <w:p>
            <w:r/>
            <w:r>
              <w:rPr>
                <w:sz w:val="19"/>
              </w:rPr>
              <w:t>4 wk</w:t>
            </w:r>
          </w:p>
        </w:tc>
      </w:tr>
    </w:tbl>
    <w:p>
      <w:pPr>
        <w:spacing w:before="200" w:after="80"/>
      </w:pPr>
      <w:r>
        <w:rPr>
          <w:b/>
          <w:color w:val="2C3E56"/>
          <w:sz w:val="28"/>
        </w:rPr>
        <w:t>What this teaches</w:t>
      </w:r>
    </w:p>
    <w:p>
      <w:pPr>
        <w:pStyle w:val="ListBullet"/>
        <w:spacing w:after="40"/>
      </w:pPr>
      <w:r>
        <w:t>Flat demand: Push survives because there is no surprise. Margin gap to Agile is mostly the order-frequency overhead of carrying coverage stock for 4 weeks instead of 1.</w:t>
      </w:r>
    </w:p>
    <w:p>
      <w:pPr>
        <w:pStyle w:val="ListBullet"/>
        <w:spacing w:after="40"/>
      </w:pPr>
      <w:r>
        <w:t>Growth: Agile wins decisively. Push cannot ramp inside its 24-week pipeline; much of the demand becomes lost sales.</w:t>
      </w:r>
    </w:p>
    <w:p>
      <w:pPr>
        <w:pStyle w:val="ListBullet"/>
        <w:spacing w:after="40"/>
      </w:pPr>
      <w:r>
        <w:t>Drop: Agile wins by NOT producing. With initial RM/Semi gated behind the first order, the factory stays idle and the firm avoids producing inventory it cannot sell. Push, with all stock at store, sells what it has but writes off the rest.</w:t>
      </w:r>
    </w:p>
    <w:p>
      <w:r>
        <w:br w:type="page"/>
      </w:r>
    </w:p>
    <w:p>
      <w:pPr>
        <w:spacing w:before="240" w:after="160"/>
      </w:pPr>
      <w:r>
        <w:rPr>
          <w:b/>
          <w:color w:val="1A2A40"/>
          <w:sz w:val="40"/>
        </w:rPr>
        <w:t>6. Seasonal Presets (Steep curve, three averages)</w:t>
      </w:r>
    </w:p>
    <w:p>
      <w:pPr>
        <w:spacing w:before="200" w:after="80"/>
      </w:pPr>
      <w:r>
        <w:rPr>
          <w:b/>
          <w:color w:val="2C3E56"/>
          <w:sz w:val="28"/>
        </w:rPr>
        <w:t>What ‘Seasonal' means here</w:t>
      </w:r>
    </w:p>
    <w:p>
      <w:pPr>
        <w:spacing w:after="80"/>
      </w:pPr>
      <w:r>
        <w:t>These nine presets share a Steep gamma demand curve — peaking at week 6, with a magnitude roughly 2.4× the weekly average. The three averages 30 / 100 / 300 stress different parts of the agility argument: a low-demand seasonal (total 780 pcs) tests over-investment cost; the high-demand seasonal (total 7 800 pcs) tests pipeline reactivity at peak.</w:t>
      </w:r>
    </w:p>
    <w:p>
      <w:pPr>
        <w:spacing w:before="200" w:after="80"/>
      </w:pPr>
      <w:r>
        <w:rPr>
          <w:b/>
          <w:color w:val="2C3E56"/>
          <w:sz w:val="28"/>
        </w:rPr>
        <w:t>Stock sizing rule (sell-through hypothesis)</w:t>
      </w:r>
    </w:p>
    <w:p>
      <w:pPr>
        <w:spacing w:after="80"/>
      </w:pPr>
      <w:r>
        <w:t>Longer lead times must over-order to hedge demand uncertainty. The simulator encodes this via a sell-through target: initial stock = base seasonal stock (2 600 pcs) divided by the LT profile's sell-through target.</w:t>
      </w:r>
    </w:p>
    <w:tbl>
      <w:tblPr>
        <w:tblStyle w:val="LightGrid-Accent1"/>
        <w:tblW w:type="auto" w:w="0"/>
        <w:tblLook w:firstColumn="1" w:firstRow="1" w:lastColumn="0" w:lastRow="0" w:noHBand="0" w:noVBand="1" w:val="04A0"/>
      </w:tblPr>
      <w:tblGrid>
        <w:gridCol w:w="3249"/>
        <w:gridCol w:w="3249"/>
        <w:gridCol w:w="3249"/>
      </w:tblGrid>
      <w:tr>
        <w:tc>
          <w:tcPr>
            <w:tcW w:type="dxa" w:w="1417"/>
            <w:shd w:val="clear" w:fill="DCE3ED"/>
          </w:tcPr>
          <w:p>
            <w:r/>
            <w:r>
              <w:rPr>
                <w:b/>
                <w:sz w:val="20"/>
              </w:rPr>
              <w:t>Profile</w:t>
            </w:r>
          </w:p>
        </w:tc>
        <w:tc>
          <w:tcPr>
            <w:tcW w:type="dxa" w:w="4252"/>
            <w:shd w:val="clear" w:fill="DCE3ED"/>
          </w:tcPr>
          <w:p>
            <w:r/>
            <w:r>
              <w:rPr>
                <w:b/>
                <w:sz w:val="20"/>
              </w:rPr>
              <w:t>Sell-through target</w:t>
            </w:r>
          </w:p>
        </w:tc>
        <w:tc>
          <w:tcPr>
            <w:tcW w:type="dxa" w:w="1417"/>
            <w:shd w:val="clear" w:fill="DCE3ED"/>
          </w:tcPr>
          <w:p>
            <w:r/>
            <w:r>
              <w:rPr>
                <w:b/>
                <w:sz w:val="20"/>
              </w:rPr>
              <w:t>Initial stock</w:t>
            </w:r>
          </w:p>
        </w:tc>
      </w:tr>
      <w:tr>
        <w:tc>
          <w:tcPr>
            <w:tcW w:type="dxa" w:w="1417"/>
          </w:tcPr>
          <w:p>
            <w:r/>
            <w:r>
              <w:rPr>
                <w:sz w:val="19"/>
              </w:rPr>
              <w:t>Agile</w:t>
            </w:r>
          </w:p>
        </w:tc>
        <w:tc>
          <w:tcPr>
            <w:tcW w:type="dxa" w:w="4252"/>
          </w:tcPr>
          <w:p>
            <w:r/>
            <w:r>
              <w:rPr>
                <w:sz w:val="19"/>
              </w:rPr>
              <w:t>100% (no hedge needed — can react)</w:t>
            </w:r>
          </w:p>
        </w:tc>
        <w:tc>
          <w:tcPr>
            <w:tcW w:type="dxa" w:w="1417"/>
          </w:tcPr>
          <w:p>
            <w:r/>
            <w:r>
              <w:rPr>
                <w:sz w:val="19"/>
              </w:rPr>
              <w:t>2 600 pcs</w:t>
            </w:r>
          </w:p>
        </w:tc>
      </w:tr>
      <w:tr>
        <w:tc>
          <w:tcPr>
            <w:tcW w:type="dxa" w:w="1417"/>
          </w:tcPr>
          <w:p>
            <w:r/>
            <w:r>
              <w:rPr>
                <w:sz w:val="19"/>
              </w:rPr>
              <w:t>Medium</w:t>
            </w:r>
          </w:p>
        </w:tc>
        <w:tc>
          <w:tcPr>
            <w:tcW w:type="dxa" w:w="4252"/>
          </w:tcPr>
          <w:p>
            <w:r/>
            <w:r>
              <w:rPr>
                <w:sz w:val="19"/>
              </w:rPr>
              <w:t>85%  (15% buffer)</w:t>
            </w:r>
          </w:p>
        </w:tc>
        <w:tc>
          <w:tcPr>
            <w:tcW w:type="dxa" w:w="1417"/>
          </w:tcPr>
          <w:p>
            <w:r/>
            <w:r>
              <w:rPr>
                <w:sz w:val="19"/>
              </w:rPr>
              <w:t>3 059 pcs</w:t>
            </w:r>
          </w:p>
        </w:tc>
      </w:tr>
      <w:tr>
        <w:tc>
          <w:tcPr>
            <w:tcW w:type="dxa" w:w="1417"/>
          </w:tcPr>
          <w:p>
            <w:r/>
            <w:r>
              <w:rPr>
                <w:sz w:val="19"/>
              </w:rPr>
              <w:t>Push</w:t>
            </w:r>
          </w:p>
        </w:tc>
        <w:tc>
          <w:tcPr>
            <w:tcW w:type="dxa" w:w="4252"/>
          </w:tcPr>
          <w:p>
            <w:r/>
            <w:r>
              <w:rPr>
                <w:sz w:val="19"/>
              </w:rPr>
              <w:t>60%  (40% buffer)</w:t>
            </w:r>
          </w:p>
        </w:tc>
        <w:tc>
          <w:tcPr>
            <w:tcW w:type="dxa" w:w="1417"/>
          </w:tcPr>
          <w:p>
            <w:r/>
            <w:r>
              <w:rPr>
                <w:sz w:val="19"/>
              </w:rPr>
              <w:t>4 333 pcs</w:t>
            </w:r>
          </w:p>
        </w:tc>
      </w:tr>
    </w:tbl>
    <w:p>
      <w:pPr>
        <w:spacing w:after="80"/>
      </w:pPr>
      <w:r>
        <w:t>The hypothesis is observable: ask any actor in a long-cycle business and they will quote a planned shortfall — "we know 30-40% of pre-positioned stock will end up in clearance." The simulator turns this into a quantifiable P&amp;L line.</w:t>
      </w:r>
    </w:p>
    <w:p>
      <w:pPr>
        <w:spacing w:before="200" w:after="80"/>
      </w:pPr>
      <w:r>
        <w:rPr>
          <w:b/>
          <w:color w:val="2C3E56"/>
          <w:sz w:val="28"/>
        </w:rPr>
        <w:t>Distributions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417"/>
            <w:shd w:val="clear" w:fill="DCE3ED"/>
          </w:tcPr>
          <w:p>
            <w:r/>
            <w:r>
              <w:rPr>
                <w:b/>
                <w:sz w:val="20"/>
              </w:rPr>
              <w:t>Profile</w:t>
            </w:r>
          </w:p>
        </w:tc>
        <w:tc>
          <w:tcPr>
            <w:tcW w:type="dxa" w:w="1417"/>
            <w:shd w:val="clear" w:fill="DCE3ED"/>
          </w:tcPr>
          <w:p>
            <w:r/>
            <w:r>
              <w:rPr>
                <w:b/>
                <w:sz w:val="20"/>
              </w:rPr>
              <w:t>Store %</w:t>
            </w:r>
          </w:p>
        </w:tc>
        <w:tc>
          <w:tcPr>
            <w:tcW w:type="dxa" w:w="1417"/>
            <w:shd w:val="clear" w:fill="DCE3ED"/>
          </w:tcPr>
          <w:p>
            <w:r/>
            <w:r>
              <w:rPr>
                <w:b/>
                <w:sz w:val="20"/>
              </w:rPr>
              <w:t>WH %</w:t>
            </w:r>
          </w:p>
        </w:tc>
        <w:tc>
          <w:tcPr>
            <w:tcW w:type="dxa" w:w="1417"/>
            <w:shd w:val="clear" w:fill="DCE3ED"/>
          </w:tcPr>
          <w:p>
            <w:r/>
            <w:r>
              <w:rPr>
                <w:b/>
                <w:sz w:val="20"/>
              </w:rPr>
              <w:t>Semi %</w:t>
            </w:r>
          </w:p>
        </w:tc>
        <w:tc>
          <w:tcPr>
            <w:tcW w:type="dxa" w:w="1417"/>
            <w:shd w:val="clear" w:fill="DCE3ED"/>
          </w:tcPr>
          <w:p>
            <w:r/>
            <w:r>
              <w:rPr>
                <w:b/>
                <w:sz w:val="20"/>
              </w:rPr>
              <w:t>RM %</w:t>
            </w:r>
          </w:p>
        </w:tc>
      </w:tr>
      <w:tr>
        <w:tc>
          <w:tcPr>
            <w:tcW w:type="dxa" w:w="1417"/>
          </w:tcPr>
          <w:p>
            <w:r/>
            <w:r>
              <w:rPr>
                <w:sz w:val="19"/>
              </w:rPr>
              <w:t>Agile</w:t>
            </w:r>
          </w:p>
        </w:tc>
        <w:tc>
          <w:tcPr>
            <w:tcW w:type="dxa" w:w="1417"/>
          </w:tcPr>
          <w:p>
            <w:r/>
            <w:r>
              <w:rPr>
                <w:sz w:val="19"/>
              </w:rPr>
              <w:t>40</w:t>
            </w:r>
          </w:p>
        </w:tc>
        <w:tc>
          <w:tcPr>
            <w:tcW w:type="dxa" w:w="1417"/>
          </w:tcPr>
          <w:p>
            <w:r/>
            <w:r>
              <w:rPr>
                <w:sz w:val="19"/>
              </w:rPr>
              <w:t>20</w:t>
            </w:r>
          </w:p>
        </w:tc>
        <w:tc>
          <w:tcPr>
            <w:tcW w:type="dxa" w:w="1417"/>
          </w:tcPr>
          <w:p>
            <w:r/>
            <w:r>
              <w:rPr>
                <w:sz w:val="19"/>
              </w:rPr>
              <w:t>10</w:t>
            </w:r>
          </w:p>
        </w:tc>
        <w:tc>
          <w:tcPr>
            <w:tcW w:type="dxa" w:w="1417"/>
          </w:tcPr>
          <w:p>
            <w:r/>
            <w:r>
              <w:rPr>
                <w:sz w:val="19"/>
              </w:rPr>
              <w:t>30</w:t>
            </w:r>
          </w:p>
        </w:tc>
      </w:tr>
      <w:tr>
        <w:tc>
          <w:tcPr>
            <w:tcW w:type="dxa" w:w="1417"/>
          </w:tcPr>
          <w:p>
            <w:r/>
            <w:r>
              <w:rPr>
                <w:sz w:val="19"/>
              </w:rPr>
              <w:t>Medium</w:t>
            </w:r>
          </w:p>
        </w:tc>
        <w:tc>
          <w:tcPr>
            <w:tcW w:type="dxa" w:w="1417"/>
          </w:tcPr>
          <w:p>
            <w:r/>
            <w:r>
              <w:rPr>
                <w:sz w:val="19"/>
              </w:rPr>
              <w:t>70</w:t>
            </w:r>
          </w:p>
        </w:tc>
        <w:tc>
          <w:tcPr>
            <w:tcW w:type="dxa" w:w="1417"/>
          </w:tcPr>
          <w:p>
            <w:r/>
            <w:r>
              <w:rPr>
                <w:sz w:val="19"/>
              </w:rPr>
              <w:t>20</w:t>
            </w:r>
          </w:p>
        </w:tc>
        <w:tc>
          <w:tcPr>
            <w:tcW w:type="dxa" w:w="1417"/>
          </w:tcPr>
          <w:p>
            <w:r/>
            <w:r>
              <w:rPr>
                <w:sz w:val="19"/>
              </w:rPr>
              <w:t>10</w:t>
            </w:r>
          </w:p>
        </w:tc>
        <w:tc>
          <w:tcPr>
            <w:tcW w:type="dxa" w:w="1417"/>
          </w:tcPr>
          <w:p>
            <w:r/>
            <w:r>
              <w:rPr>
                <w:sz w:val="19"/>
              </w:rPr>
              <w:t>0</w:t>
            </w:r>
          </w:p>
        </w:tc>
      </w:tr>
      <w:tr>
        <w:tc>
          <w:tcPr>
            <w:tcW w:type="dxa" w:w="1417"/>
          </w:tcPr>
          <w:p>
            <w:r/>
            <w:r>
              <w:rPr>
                <w:sz w:val="19"/>
              </w:rPr>
              <w:t>Push</w:t>
            </w:r>
          </w:p>
        </w:tc>
        <w:tc>
          <w:tcPr>
            <w:tcW w:type="dxa" w:w="1417"/>
          </w:tcPr>
          <w:p>
            <w:r/>
            <w:r>
              <w:rPr>
                <w:sz w:val="19"/>
              </w:rPr>
              <w:t>100</w:t>
            </w:r>
          </w:p>
        </w:tc>
        <w:tc>
          <w:tcPr>
            <w:tcW w:type="dxa" w:w="1417"/>
          </w:tcPr>
          <w:p>
            <w:r/>
            <w:r>
              <w:rPr>
                <w:sz w:val="19"/>
              </w:rPr>
              <w:t>0</w:t>
            </w:r>
          </w:p>
        </w:tc>
        <w:tc>
          <w:tcPr>
            <w:tcW w:type="dxa" w:w="1417"/>
          </w:tcPr>
          <w:p>
            <w:r/>
            <w:r>
              <w:rPr>
                <w:sz w:val="19"/>
              </w:rPr>
              <w:t>0</w:t>
            </w:r>
          </w:p>
        </w:tc>
        <w:tc>
          <w:tcPr>
            <w:tcW w:type="dxa" w:w="1417"/>
          </w:tcPr>
          <w:p>
            <w:r/>
            <w:r>
              <w:rPr>
                <w:sz w:val="19"/>
              </w:rPr>
              <w:t>0</w:t>
            </w:r>
          </w:p>
        </w:tc>
      </w:tr>
    </w:tbl>
    <w:p>
      <w:pPr>
        <w:spacing w:before="200" w:after="80"/>
      </w:pPr>
      <w:r>
        <w:rPr>
          <w:b/>
          <w:color w:val="2C3E56"/>
          <w:sz w:val="28"/>
        </w:rPr>
        <w:t>What this teaches</w:t>
      </w:r>
    </w:p>
    <w:p>
      <w:pPr>
        <w:spacing w:after="80"/>
      </w:pPr>
      <w:r>
        <w:t>On low-demand seasonal (avg 30), both architectures lose money — the pre-investment dwarfs realized revenue. On high-demand seasonal (avg 300), Push captures more absolute margin (it pre-positioned correctly) but Agile delivers higher margin percentage and far better capital efficiency. The real story: Push's high-margin scenario is funded by the catastrophic loss it takes on the low-demand scenario.</w:t>
      </w:r>
    </w:p>
    <w:p>
      <w:r>
        <w:br w:type="page"/>
      </w:r>
    </w:p>
    <w:p>
      <w:pPr>
        <w:spacing w:before="240" w:after="160"/>
      </w:pPr>
      <w:r>
        <w:rPr>
          <w:b/>
          <w:color w:val="1A2A40"/>
          <w:sz w:val="40"/>
        </w:rPr>
        <w:t>7. Initial WIP Gating and CW Push</w:t>
      </w:r>
    </w:p>
    <w:p>
      <w:pPr>
        <w:spacing w:before="200" w:after="80"/>
      </w:pPr>
      <w:r>
        <w:rPr>
          <w:b/>
          <w:color w:val="2C3E56"/>
          <w:sz w:val="28"/>
        </w:rPr>
        <w:t>The gating rule</w:t>
      </w:r>
    </w:p>
    <w:p>
      <w:pPr>
        <w:spacing w:after="80"/>
      </w:pPr>
      <w:r>
        <w:t>Initial Raw Material and Semi-finished stock do NOT flow forward at simulation start. They sit in their buffers until the planner places the first supplier order, which activates the factory. From that week onward, Semi (RM→Semi) and FP (Semi→FP) processing run every week, capacity-limited.</w:t>
      </w:r>
    </w:p>
    <w:p>
      <w:pPr>
        <w:spacing w:after="80"/>
      </w:pPr>
      <w:r>
        <w:t>This rule is essential to the Drop scenario: when demand drops, the planner sees that existing stock is sufficient and never orders. The factory therefore never activates, the initial RM/Semi stays put, and the firm avoids producing useless inventory. If RM/Semi were processed automatically, the Drop scenario would lose its core teaching value.</w:t>
      </w:r>
    </w:p>
    <w:p>
      <w:pPr>
        <w:spacing w:before="200" w:after="80"/>
      </w:pPr>
      <w:r>
        <w:rPr>
          <w:b/>
          <w:color w:val="2C3E56"/>
          <w:sz w:val="28"/>
        </w:rPr>
        <w:t>Kickstart toggle (default OFF)</w:t>
      </w:r>
    </w:p>
    <w:p>
      <w:pPr>
        <w:spacing w:after="80"/>
      </w:pPr>
      <w:r>
        <w:t>The sidebar exposes a Kickstart toggle. With Kickstart ON, the factory does one round of Semi+FP processing at W1 even before the first order. This is a workaround for very-low-demand seasonal scenarios where the planner would otherwise never order — but it is OFF by default in all 18 presets, because the cleaner teaching message is: ‘over-positioned upstream stock that never gets used is wasted pre-investment.'</w:t>
      </w:r>
    </w:p>
    <w:p>
      <w:pPr>
        <w:spacing w:before="200" w:after="80"/>
      </w:pPr>
      <w:r>
        <w:rPr>
          <w:b/>
          <w:color w:val="2C3E56"/>
          <w:sz w:val="28"/>
        </w:rPr>
        <w:t>CW → Store push (always ON)</w:t>
      </w:r>
    </w:p>
    <w:p>
      <w:pPr>
        <w:spacing w:after="80"/>
      </w:pPr>
      <w:r>
        <w:t>CW (the central warehouse) holds finished goods and pushes them downstream every week regardless of order activity. The reasoning: CW-to-store is internal logistics, not procurement — once goods are finished, the firm allocates them to wherever they sell. The first CW shipment always splits 50/50 between stores; from the first review onward, smart distribution prioritizes the worst-covered store.</w:t>
      </w:r>
    </w:p>
    <w:p>
      <w:pPr>
        <w:spacing w:before="200" w:after="80"/>
      </w:pPr>
      <w:r>
        <w:rPr>
          <w:b/>
          <w:color w:val="2C3E56"/>
          <w:sz w:val="28"/>
        </w:rPr>
        <w:t>What you will observe in the diagram</w:t>
      </w:r>
    </w:p>
    <w:p>
      <w:pPr>
        <w:pStyle w:val="ListBullet"/>
        <w:spacing w:after="40"/>
      </w:pPr>
      <w:r>
        <w:t>Drop scenarios: si=0 and fi=0 (no Semi or FP processing) all the way through. RM and Semi buffers do not move.</w:t>
      </w:r>
    </w:p>
    <w:p>
      <w:pPr>
        <w:pStyle w:val="ListBullet"/>
        <w:spacing w:after="40"/>
      </w:pPr>
      <w:r>
        <w:t>Flat / Growth / Seasonal at peak: factory activates at the first review, then you see the supplier shipping, capacity ramping each week, and the pipes filling.</w:t>
      </w:r>
    </w:p>
    <w:p>
      <w:pPr>
        <w:pStyle w:val="ListBullet"/>
        <w:spacing w:after="40"/>
      </w:pPr>
      <w:r>
        <w:t>Seasonal at low average (e.g., avg=30): if the planner never orders, the upstream buffers stay frozen for all 26 weeks. Final P&amp;L shows a large leftover-stock asset and a deeply negative net margin — the teaching point.</w:t>
      </w:r>
    </w:p>
    <w:p>
      <w:r>
        <w:br w:type="page"/>
      </w:r>
    </w:p>
    <w:p>
      <w:pPr>
        <w:spacing w:before="240" w:after="160"/>
      </w:pPr>
      <w:r>
        <w:rPr>
          <w:b/>
          <w:color w:val="1A2A40"/>
          <w:sz w:val="40"/>
        </w:rPr>
        <w:t>8. Reading the Flow Diagram</w:t>
      </w:r>
    </w:p>
    <w:p>
      <w:pPr>
        <w:spacing w:before="200" w:after="80"/>
      </w:pPr>
      <w:r>
        <w:rPr>
          <w:b/>
          <w:color w:val="2C3E56"/>
          <w:sz w:val="28"/>
        </w:rPr>
        <w:t>Layout</w:t>
      </w:r>
    </w:p>
    <w:p>
      <w:pPr>
        <w:spacing w:after="80"/>
      </w:pPr>
      <w:r>
        <w:t>The diagram reads left-to-right as physical flow: Supplier → Material → Semi → Finishing+CW → Distribution → Stores. Each stage band is a row of week-boxes; the leftmost box is the upstream end (just entered) and the rightmost box is the downstream end (about to exit / arrive at the next stage). Inside each stage the rightmost box also sums in the buffer stock waiting at that stage.</w:t>
      </w:r>
    </w:p>
    <w:p>
      <w:pPr>
        <w:spacing w:before="200" w:after="80"/>
      </w:pPr>
      <w:r>
        <w:rPr>
          <w:b/>
          <w:color w:val="2C3E56"/>
          <w:sz w:val="28"/>
        </w:rPr>
        <w:t>Week boxes</w:t>
      </w:r>
    </w:p>
    <w:p>
      <w:pPr>
        <w:pStyle w:val="ListBullet"/>
        <w:spacing w:after="40"/>
      </w:pPr>
      <w:r>
        <w:t>Filled grey-blue (#4a6280) box with a number: that many units in transit at this week of the stage.</w:t>
      </w:r>
    </w:p>
    <w:p>
      <w:pPr>
        <w:pStyle w:val="ListBullet"/>
        <w:spacing w:after="40"/>
      </w:pPr>
      <w:r>
        <w:t>Empty light-grey box: no units at that pipe position.</w:t>
      </w:r>
    </w:p>
    <w:p>
      <w:pPr>
        <w:pStyle w:val="ListBullet"/>
        <w:spacing w:after="40"/>
      </w:pPr>
      <w:r>
        <w:t>Subtle left inset shadow on the rightmost box of each stage: that is the ‘exit slot' — units there will arrive at the next stage on the following week.</w:t>
      </w:r>
    </w:p>
    <w:p>
      <w:pPr>
        <w:spacing w:before="200" w:after="80"/>
      </w:pPr>
      <w:r>
        <w:rPr>
          <w:b/>
          <w:color w:val="2C3E56"/>
          <w:sz w:val="28"/>
        </w:rPr>
        <w:t>Cards</w:t>
      </w:r>
    </w:p>
    <w:p>
      <w:pPr>
        <w:pStyle w:val="ListBullet"/>
        <w:spacing w:after="40"/>
      </w:pPr>
      <w:r>
        <w:t>Supplier card (left, dark navy): shows Backlog (orders placed but not yet shipped) and Cap (current weekly shipping capacity).</w:t>
      </w:r>
    </w:p>
    <w:p>
      <w:pPr>
        <w:pStyle w:val="ListBullet"/>
        <w:spacing w:after="40"/>
      </w:pPr>
      <w:r>
        <w:t>Store cards (right, stacked A on top of B): Stock (current units), Dem (this week's demand share), Sold (this week's sales), and a red LOST badge if any units were missed.</w:t>
      </w:r>
    </w:p>
    <w:p>
      <w:pPr>
        <w:pStyle w:val="ListBullet"/>
        <w:spacing w:after="40"/>
      </w:pPr>
      <w:r>
        <w:t>Order chip on the supplier band: the order quantity placed THIS week, if any.</w:t>
      </w:r>
    </w:p>
    <w:p>
      <w:pPr>
        <w:spacing w:before="200" w:after="80"/>
      </w:pPr>
      <w:r>
        <w:rPr>
          <w:b/>
          <w:color w:val="2C3E56"/>
          <w:sz w:val="28"/>
        </w:rPr>
        <w:t>Info bar (top of diagram)</w:t>
      </w:r>
    </w:p>
    <w:p>
      <w:pPr>
        <w:spacing w:after="80"/>
      </w:pPr>
      <w:r>
        <w:t>Compact strip showing Backlog, Pending (orders placed minus units arrived at stores), WIP (total in-system units), the active Order this week, current Forecast value, and the configured A/B demand split.</w:t>
      </w:r>
    </w:p>
    <w:p>
      <w:pPr>
        <w:spacing w:before="200" w:after="80"/>
      </w:pPr>
      <w:r>
        <w:rPr>
          <w:b/>
          <w:color w:val="2C3E56"/>
          <w:sz w:val="28"/>
        </w:rPr>
        <w:t>WIP labels</w:t>
      </w:r>
    </w:p>
    <w:p>
      <w:pPr>
        <w:spacing w:after="80"/>
      </w:pPr>
      <w:r>
        <w:t>Below each stage band, a WIP label sums all units currently in that stage's pipe + its buffer. Distribution shows two lines — WIP A and WIP B — because each store has its own dedicated pipe.</w:t>
      </w:r>
    </w:p>
    <w:p>
      <w:r>
        <w:br w:type="page"/>
      </w:r>
    </w:p>
    <w:p>
      <w:pPr>
        <w:spacing w:before="240" w:after="160"/>
      </w:pPr>
      <w:r>
        <w:rPr>
          <w:b/>
          <w:color w:val="1A2A40"/>
          <w:sz w:val="40"/>
        </w:rPr>
        <w:t>9. KPIs and the P&amp;L</w:t>
      </w:r>
    </w:p>
    <w:p>
      <w:pPr>
        <w:spacing w:before="200" w:after="80"/>
      </w:pPr>
      <w:r>
        <w:rPr>
          <w:b/>
          <w:color w:val="2C3E56"/>
          <w:sz w:val="28"/>
        </w:rPr>
        <w:t>The seven KPI cards</w:t>
      </w:r>
    </w:p>
    <w:p>
      <w:pPr>
        <w:spacing w:after="80"/>
      </w:pPr>
      <w:r>
        <w:t>Above the diagram, seven cards summarize cumulative results from W1 to the current week. They update as you navigate the timeline.</w:t>
      </w:r>
    </w:p>
    <w:tbl>
      <w:tblPr>
        <w:tblStyle w:val="LightGrid-Accent1"/>
        <w:tblW w:type="auto" w:w="0"/>
        <w:tblLook w:firstColumn="1" w:firstRow="1" w:lastColumn="0" w:lastRow="0" w:noHBand="0" w:noVBand="1" w:val="04A0"/>
      </w:tblPr>
      <w:tblGrid>
        <w:gridCol w:w="3249"/>
        <w:gridCol w:w="3249"/>
        <w:gridCol w:w="3249"/>
      </w:tblGrid>
      <w:tr>
        <w:tc>
          <w:tcPr>
            <w:tcW w:type="dxa" w:w="1701"/>
            <w:shd w:val="clear" w:fill="DCE3ED"/>
          </w:tcPr>
          <w:p>
            <w:r/>
            <w:r>
              <w:rPr>
                <w:b/>
                <w:sz w:val="20"/>
              </w:rPr>
              <w:t>KPI</w:t>
            </w:r>
          </w:p>
        </w:tc>
        <w:tc>
          <w:tcPr>
            <w:tcW w:type="dxa" w:w="4252"/>
            <w:shd w:val="clear" w:fill="DCE3ED"/>
          </w:tcPr>
          <w:p>
            <w:r/>
            <w:r>
              <w:rPr>
                <w:b/>
                <w:sz w:val="20"/>
              </w:rPr>
              <w:t>Meaning</w:t>
            </w:r>
          </w:p>
        </w:tc>
        <w:tc>
          <w:tcPr>
            <w:tcW w:type="dxa" w:w="2551"/>
            <w:shd w:val="clear" w:fill="DCE3ED"/>
          </w:tcPr>
          <w:p>
            <w:r/>
            <w:r>
              <w:rPr>
                <w:b/>
                <w:sz w:val="20"/>
              </w:rPr>
              <w:t>Color logic</w:t>
            </w:r>
          </w:p>
        </w:tc>
      </w:tr>
      <w:tr>
        <w:tc>
          <w:tcPr>
            <w:tcW w:type="dxa" w:w="1701"/>
          </w:tcPr>
          <w:p>
            <w:r/>
            <w:r>
              <w:rPr>
                <w:sz w:val="19"/>
              </w:rPr>
              <w:t>Service Level</w:t>
            </w:r>
          </w:p>
        </w:tc>
        <w:tc>
          <w:tcPr>
            <w:tcW w:type="dxa" w:w="4252"/>
          </w:tcPr>
          <w:p>
            <w:r/>
            <w:r>
              <w:rPr>
                <w:sz w:val="19"/>
              </w:rPr>
              <w:t>Sales ÷ demand</w:t>
            </w:r>
          </w:p>
        </w:tc>
        <w:tc>
          <w:tcPr>
            <w:tcW w:type="dxa" w:w="2551"/>
          </w:tcPr>
          <w:p>
            <w:r/>
            <w:r>
              <w:rPr>
                <w:sz w:val="19"/>
              </w:rPr>
              <w:t>Red &lt;60%, Amber &lt;85%, Green ≥85%</w:t>
            </w:r>
          </w:p>
        </w:tc>
      </w:tr>
      <w:tr>
        <w:tc>
          <w:tcPr>
            <w:tcW w:type="dxa" w:w="1701"/>
          </w:tcPr>
          <w:p>
            <w:r/>
            <w:r>
              <w:rPr>
                <w:sz w:val="19"/>
              </w:rPr>
              <w:t>Cumul. Sales</w:t>
            </w:r>
          </w:p>
        </w:tc>
        <w:tc>
          <w:tcPr>
            <w:tcW w:type="dxa" w:w="4252"/>
          </w:tcPr>
          <w:p>
            <w:r/>
            <w:r>
              <w:rPr>
                <w:sz w:val="19"/>
              </w:rPr>
              <w:t>Total units sold so far</w:t>
            </w:r>
          </w:p>
        </w:tc>
        <w:tc>
          <w:tcPr>
            <w:tcW w:type="dxa" w:w="2551"/>
          </w:tcPr>
          <w:p>
            <w:r/>
            <w:r>
              <w:rPr>
                <w:sz w:val="19"/>
              </w:rPr>
              <w:t>Blue</w:t>
            </w:r>
          </w:p>
        </w:tc>
      </w:tr>
      <w:tr>
        <w:tc>
          <w:tcPr>
            <w:tcW w:type="dxa" w:w="1701"/>
          </w:tcPr>
          <w:p>
            <w:r/>
            <w:r>
              <w:rPr>
                <w:sz w:val="19"/>
              </w:rPr>
              <w:t>Missed Total</w:t>
            </w:r>
          </w:p>
        </w:tc>
        <w:tc>
          <w:tcPr>
            <w:tcW w:type="dxa" w:w="4252"/>
          </w:tcPr>
          <w:p>
            <w:r/>
            <w:r>
              <w:rPr>
                <w:sz w:val="19"/>
              </w:rPr>
              <w:t>Units of demand not fulfilled</w:t>
            </w:r>
          </w:p>
        </w:tc>
        <w:tc>
          <w:tcPr>
            <w:tcW w:type="dxa" w:w="2551"/>
          </w:tcPr>
          <w:p>
            <w:r/>
            <w:r>
              <w:rPr>
                <w:sz w:val="19"/>
              </w:rPr>
              <w:t>Red</w:t>
            </w:r>
          </w:p>
        </w:tc>
      </w:tr>
      <w:tr>
        <w:tc>
          <w:tcPr>
            <w:tcW w:type="dxa" w:w="1701"/>
          </w:tcPr>
          <w:p>
            <w:r/>
            <w:r>
              <w:rPr>
                <w:sz w:val="19"/>
              </w:rPr>
              <w:t>Missed A</w:t>
            </w:r>
          </w:p>
        </w:tc>
        <w:tc>
          <w:tcPr>
            <w:tcW w:type="dxa" w:w="4252"/>
          </w:tcPr>
          <w:p>
            <w:r/>
            <w:r>
              <w:rPr>
                <w:sz w:val="19"/>
              </w:rPr>
              <w:t>Per-store missed sales (Store A)</w:t>
            </w:r>
          </w:p>
        </w:tc>
        <w:tc>
          <w:tcPr>
            <w:tcW w:type="dxa" w:w="2551"/>
          </w:tcPr>
          <w:p>
            <w:r/>
            <w:r>
              <w:rPr>
                <w:sz w:val="19"/>
              </w:rPr>
              <w:t>Red</w:t>
            </w:r>
          </w:p>
        </w:tc>
      </w:tr>
      <w:tr>
        <w:tc>
          <w:tcPr>
            <w:tcW w:type="dxa" w:w="1701"/>
          </w:tcPr>
          <w:p>
            <w:r/>
            <w:r>
              <w:rPr>
                <w:sz w:val="19"/>
              </w:rPr>
              <w:t>Missed B</w:t>
            </w:r>
          </w:p>
        </w:tc>
        <w:tc>
          <w:tcPr>
            <w:tcW w:type="dxa" w:w="4252"/>
          </w:tcPr>
          <w:p>
            <w:r/>
            <w:r>
              <w:rPr>
                <w:sz w:val="19"/>
              </w:rPr>
              <w:t>Per-store missed sales (Store B)</w:t>
            </w:r>
          </w:p>
        </w:tc>
        <w:tc>
          <w:tcPr>
            <w:tcW w:type="dxa" w:w="2551"/>
          </w:tcPr>
          <w:p>
            <w:r/>
            <w:r>
              <w:rPr>
                <w:sz w:val="19"/>
              </w:rPr>
              <w:t>Purple</w:t>
            </w:r>
          </w:p>
        </w:tc>
      </w:tr>
      <w:tr>
        <w:tc>
          <w:tcPr>
            <w:tcW w:type="dxa" w:w="1701"/>
          </w:tcPr>
          <w:p>
            <w:r/>
            <w:r>
              <w:rPr>
                <w:sz w:val="19"/>
              </w:rPr>
              <w:t>Stockout Wks</w:t>
            </w:r>
          </w:p>
        </w:tc>
        <w:tc>
          <w:tcPr>
            <w:tcW w:type="dxa" w:w="4252"/>
          </w:tcPr>
          <w:p>
            <w:r/>
            <w:r>
              <w:rPr>
                <w:sz w:val="19"/>
              </w:rPr>
              <w:t>Weeks with at least one missed unit</w:t>
            </w:r>
          </w:p>
        </w:tc>
        <w:tc>
          <w:tcPr>
            <w:tcW w:type="dxa" w:w="2551"/>
          </w:tcPr>
          <w:p>
            <w:r/>
            <w:r>
              <w:rPr>
                <w:sz w:val="19"/>
              </w:rPr>
              <w:t>Green if 0, else red</w:t>
            </w:r>
          </w:p>
        </w:tc>
      </w:tr>
      <w:tr>
        <w:tc>
          <w:tcPr>
            <w:tcW w:type="dxa" w:w="1701"/>
          </w:tcPr>
          <w:p>
            <w:r/>
            <w:r>
              <w:rPr>
                <w:sz w:val="19"/>
              </w:rPr>
              <w:t>Useful Prod.</w:t>
            </w:r>
          </w:p>
        </w:tc>
        <w:tc>
          <w:tcPr>
            <w:tcW w:type="dxa" w:w="4252"/>
          </w:tcPr>
          <w:p>
            <w:r/>
            <w:r>
              <w:rPr>
                <w:sz w:val="19"/>
              </w:rPr>
              <w:t>Sold ÷ (sold + remaining stock+pipe)</w:t>
            </w:r>
          </w:p>
        </w:tc>
        <w:tc>
          <w:tcPr>
            <w:tcW w:type="dxa" w:w="2551"/>
          </w:tcPr>
          <w:p>
            <w:r/>
            <w:r>
              <w:rPr>
                <w:sz w:val="19"/>
              </w:rPr>
              <w:t>Red &lt;50%, Amber &lt;80%, Green ≥80%</w:t>
            </w:r>
          </w:p>
        </w:tc>
      </w:tr>
    </w:tbl>
    <w:p>
      <w:pPr>
        <w:spacing w:before="200" w:after="80"/>
      </w:pPr>
      <w:r>
        <w:rPr>
          <w:b/>
          <w:color w:val="2C3E56"/>
          <w:sz w:val="28"/>
        </w:rPr>
        <w:t>P&amp;L summary expander</w:t>
      </w:r>
    </w:p>
    <w:p>
      <w:pPr>
        <w:spacing w:after="80"/>
      </w:pPr>
      <w:r>
        <w:t>At the bottom of the page, the P&amp;L expander shows the full income statement computed from the entering-stage cost convention. Key rows:</w:t>
      </w:r>
    </w:p>
    <w:p>
      <w:pPr>
        <w:pStyle w:val="ListBullet"/>
        <w:spacing w:after="40"/>
      </w:pPr>
      <w:r>
        <w:t>Revenue = total sales × selling price.</w:t>
      </w:r>
    </w:p>
    <w:p>
      <w:pPr>
        <w:pStyle w:val="ListBullet"/>
        <w:spacing w:after="40"/>
      </w:pPr>
      <w:r>
        <w:t>Initial stock (pre-investment): valued at stage cost.</w:t>
      </w:r>
    </w:p>
    <w:p>
      <w:pPr>
        <w:pStyle w:val="ListBullet"/>
        <w:spacing w:after="40"/>
      </w:pPr>
      <w:r>
        <w:t>Purchasing / Semi / Finishing: cumulative production costs at each stage.</w:t>
      </w:r>
    </w:p>
    <w:p>
      <w:pPr>
        <w:pStyle w:val="ListBullet"/>
        <w:spacing w:after="40"/>
      </w:pPr>
      <w:r>
        <w:t>Total Variable Cost: initial stock + all production costs.</w:t>
      </w:r>
    </w:p>
    <w:p>
      <w:pPr>
        <w:pStyle w:val="ListBullet"/>
        <w:spacing w:after="40"/>
      </w:pPr>
      <w:r>
        <w:t>Fixed cost: % of forecast revenue, simulation-period total.</w:t>
      </w:r>
    </w:p>
    <w:p>
      <w:pPr>
        <w:pStyle w:val="ListBullet"/>
        <w:spacing w:after="40"/>
      </w:pPr>
      <w:r>
        <w:t>Net Margin: revenue − VC − fixed.</w:t>
      </w:r>
    </w:p>
    <w:p>
      <w:pPr>
        <w:pStyle w:val="ListBullet"/>
        <w:spacing w:after="40"/>
      </w:pPr>
      <w:r>
        <w:t>Leftover Stock + WIP (asset, shown below margin): valorized leftover units.</w:t>
      </w:r>
    </w:p>
    <w:p>
      <w:pPr>
        <w:spacing w:before="200" w:after="80"/>
      </w:pPr>
      <w:r>
        <w:rPr>
          <w:b/>
          <w:color w:val="2C3E56"/>
          <w:sz w:val="28"/>
        </w:rPr>
        <w:t>Production efficiency</w:t>
      </w:r>
    </w:p>
    <w:p>
      <w:pPr>
        <w:spacing w:after="80"/>
      </w:pPr>
      <w:r>
        <w:t>Below the P&amp;L table, three metrics show how productively the firm used its resources: Service Level, Sold (Useful) — units sold as a share of all units the system processed — and Remaining WIP+stock — units that ended up stranded as inventory.</w:t>
      </w:r>
    </w:p>
    <w:p>
      <w:pPr>
        <w:spacing w:before="200" w:after="80"/>
      </w:pPr>
      <w:r>
        <w:rPr>
          <w:b/>
          <w:color w:val="2C3E56"/>
          <w:sz w:val="28"/>
        </w:rPr>
        <w:t>Reconciliation guarantee</w:t>
      </w:r>
    </w:p>
    <w:p>
      <w:pPr>
        <w:spacing w:after="80"/>
      </w:pPr>
      <w:r>
        <w:t>The simulator enforces Revenue = VC + Fixed + Margin to within €0.01. If the Debug toggle is on, the Debug expander surfaces five conservation checks that must all pass.</w:t>
      </w:r>
    </w:p>
    <w:p>
      <w:r>
        <w:br w:type="page"/>
      </w:r>
    </w:p>
    <w:p>
      <w:pPr>
        <w:spacing w:before="240" w:after="160"/>
      </w:pPr>
      <w:r>
        <w:rPr>
          <w:b/>
          <w:color w:val="1A2A40"/>
          <w:sz w:val="40"/>
        </w:rPr>
        <w:t>10. Saving Scenarios and Working Tips</w:t>
      </w:r>
    </w:p>
    <w:p>
      <w:pPr>
        <w:spacing w:before="200" w:after="80"/>
      </w:pPr>
      <w:r>
        <w:rPr>
          <w:b/>
          <w:color w:val="2C3E56"/>
          <w:sz w:val="28"/>
        </w:rPr>
        <w:t>Save and compare</w:t>
      </w:r>
    </w:p>
    <w:p>
      <w:pPr>
        <w:spacing w:after="80"/>
      </w:pPr>
      <w:r>
        <w:t>The Save Scenario expander lets you persist the current configuration with a name (auto-generated by default). The first save is the baseline; subsequent saves show a Δ vs base column on margin, so you can quickly read the marginal impact of each change.</w:t>
      </w:r>
    </w:p>
    <w:p>
      <w:pPr>
        <w:pStyle w:val="ListBullet"/>
        <w:spacing w:after="40"/>
      </w:pPr>
      <w:r>
        <w:t>Click a preset, save it as ‘baseline'.</w:t>
      </w:r>
    </w:p>
    <w:p>
      <w:pPr>
        <w:pStyle w:val="ListBullet"/>
        <w:spacing w:after="40"/>
      </w:pPr>
      <w:r>
        <w:t>Change one parameter (e.g. doubling the order frequency).</w:t>
      </w:r>
    </w:p>
    <w:p>
      <w:pPr>
        <w:pStyle w:val="ListBullet"/>
        <w:spacing w:after="40"/>
      </w:pPr>
      <w:r>
        <w:t>Re-save with a name reflecting the change.</w:t>
      </w:r>
    </w:p>
    <w:p>
      <w:pPr>
        <w:pStyle w:val="ListBullet"/>
        <w:spacing w:after="40"/>
      </w:pPr>
      <w:r>
        <w:t>Read the Δ column to attribute the margin difference to that one variable.</w:t>
      </w:r>
    </w:p>
    <w:p>
      <w:pPr>
        <w:spacing w:before="200" w:after="80"/>
      </w:pPr>
      <w:r>
        <w:rPr>
          <w:b/>
          <w:color w:val="2C3E56"/>
          <w:sz w:val="28"/>
        </w:rPr>
        <w:t>Working tips</w:t>
      </w:r>
    </w:p>
    <w:p>
      <w:pPr>
        <w:pStyle w:val="ListBullet"/>
        <w:spacing w:after="40"/>
      </w:pPr>
      <w:r>
        <w:t>Always start from a preset. The 18 quick-scenario buttons set every parameter consistently — easier than configuring from scratch.</w:t>
      </w:r>
    </w:p>
    <w:p>
      <w:pPr>
        <w:pStyle w:val="ListBullet"/>
        <w:spacing w:after="40"/>
      </w:pPr>
      <w:r>
        <w:t>Use the Debug toggle when something looks off. The reconciliation report tells you whether it is a bug or a misread.</w:t>
      </w:r>
    </w:p>
    <w:p>
      <w:pPr>
        <w:pStyle w:val="ListBullet"/>
        <w:spacing w:after="40"/>
      </w:pPr>
      <w:r>
        <w:t>Hard-refresh (Ctrl+Shift+R) after a deploy to clear cached widget state.</w:t>
      </w:r>
    </w:p>
    <w:p>
      <w:pPr>
        <w:pStyle w:val="ListBullet"/>
        <w:spacing w:after="40"/>
      </w:pPr>
      <w:r>
        <w:t>The cumulative KPIs at the top track where you are on the timeline. The P&amp;L expander always shows end-of-simulation totals, not cumulative-to-current-week.</w:t>
      </w:r>
    </w:p>
    <w:p>
      <w:pPr>
        <w:spacing w:before="200" w:after="80"/>
      </w:pPr>
      <w:r>
        <w:rPr>
          <w:b/>
          <w:color w:val="2C3E56"/>
          <w:sz w:val="28"/>
        </w:rPr>
        <w:t>Common pitfalls in interpretation</w:t>
      </w:r>
    </w:p>
    <w:p>
      <w:pPr>
        <w:pStyle w:val="ListBullet"/>
        <w:spacing w:after="40"/>
      </w:pPr>
      <w:r>
        <w:t>100% service level is not a win in itself. Look at the margin and the leftover asset — sometimes 100% svc is achieved by carrying enormous stranded inventory.</w:t>
      </w:r>
    </w:p>
    <w:p>
      <w:pPr>
        <w:pStyle w:val="ListBullet"/>
        <w:spacing w:after="40"/>
      </w:pPr>
      <w:r>
        <w:t>A negative margin on a low-demand scenario is the model working correctly. The pre-investment was disproportionate to realized demand — that is the lesson, not a glitch.</w:t>
      </w:r>
    </w:p>
    <w:p>
      <w:pPr>
        <w:pStyle w:val="ListBullet"/>
        <w:spacing w:after="40"/>
      </w:pPr>
      <w:r>
        <w:t>Push at 100% service on Drop is misleading. The firm sold what it had on hand (initial store stock), but cumulative variable cost includes that initial stock value — net margin is therefore deeply negative.</w:t>
      </w:r>
    </w:p>
    <w:p>
      <w:pPr>
        <w:spacing w:before="200" w:after="80"/>
      </w:pPr>
      <w:r>
        <w:rPr>
          <w:b/>
          <w:color w:val="2C3E56"/>
          <w:sz w:val="28"/>
        </w:rPr>
        <w:t>Where to find the file</w:t>
      </w:r>
    </w:p>
    <w:p>
      <w:pPr>
        <w:spacing w:after="80"/>
      </w:pPr>
      <w:r>
        <w:rPr>
          <w:sz w:val="19"/>
        </w:rPr>
        <w:t>The simulator is a single Python file (app.py) in the GitHub repository. The developer guide explains how to back it up, modify it, and re-deploy.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