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76979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697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gridSpan w:val="2"/>
          </w:tcPr>
          <w:p>
            <w:r>
              <w:t>UTILIZAÇÃO DE LACRES NOS RACKS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Código: </w:t>
            </w:r>
            <w:r/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</w:rPr>
              <w:t xml:space="preserve">Título: </w:t>
            </w:r>
            <w:r>
              <w:t>Utilização de Lacres nos Racks de CFTV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 xml:space="preserve">Versão: </w:t>
            </w:r>
            <w:r>
              <w:t>1.0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Emitentes: </w:t>
            </w:r>
            <w:r/>
          </w:p>
        </w:tc>
        <w:tc>
          <w:tcPr>
            <w:tcW w:type="dxa" w:w="2160"/>
          </w:tcPr>
          <w:p>
            <w:r>
              <w:rPr>
                <w:b/>
              </w:rPr>
              <w:t xml:space="preserve">Aprovador: </w:t>
            </w:r>
            <w:r/>
          </w:p>
        </w:tc>
        <w:tc>
          <w:tcPr>
            <w:tcW w:type="dxa" w:w="2160"/>
          </w:tcPr>
          <w:p>
            <w:r>
              <w:rPr>
                <w:b/>
              </w:rPr>
              <w:t xml:space="preserve">Data: </w:t>
            </w:r>
            <w:r>
              <w:t>24/06/2025</w:t>
            </w:r>
          </w:p>
        </w:tc>
      </w:tr>
    </w:tbl>
    <w:p/>
    <w:p>
      <w:pPr>
        <w:pStyle w:val="Heading2"/>
      </w:pPr>
      <w:r>
        <w:rPr>
          <w:color w:val="000000"/>
        </w:rPr>
        <w:t>1. Objetivo</w:t>
      </w:r>
    </w:p>
    <w:p>
      <w:r>
        <w:t>Devido a exigência da CONPORTOS, fica estabelecido que os racks de CFTV de toda a unidade devem possuir um lacre auto-destrutivo e numerado para controle interno de quem mexeu, motivo que foi rompido e o que foi feito de acordo com os números e o de que irá substituir.</w:t>
      </w:r>
    </w:p>
    <w:p>
      <w:pPr>
        <w:pStyle w:val="Heading2"/>
      </w:pPr>
      <w:r>
        <w:rPr>
          <w:color w:val="000000"/>
        </w:rPr>
        <w:t>2. Referências e Definições</w:t>
      </w:r>
    </w:p>
    <w:p/>
    <w:p>
      <w:pPr>
        <w:pStyle w:val="Heading2"/>
      </w:pPr>
      <w:r>
        <w:rPr>
          <w:color w:val="000000"/>
        </w:rPr>
        <w:t>3. Responsabilidades</w:t>
      </w:r>
    </w:p>
    <w:p>
      <w:r>
        <w:t>A atualização da planilha é de responsabilidade do time de Infraestrutura</w:t>
      </w:r>
    </w:p>
    <w:p>
      <w:pPr>
        <w:pStyle w:val="Heading2"/>
      </w:pPr>
      <w:r>
        <w:rPr>
          <w:color w:val="000000"/>
        </w:rPr>
        <w:t>4. Procedimentos</w:t>
      </w:r>
    </w:p>
    <w:p>
      <w:r>
        <w:t>- Sempre informar o status do lacre se está “Ativo” ou “Removido”.</w:t>
        <w:br/>
        <w:t>- Informar sempre a localização e rack em que o novo lacre foi utilizado</w:t>
        <w:br/>
        <w:t>- No que foi removido informar o responsável que rompeu e o motivo de romper o mesmo a fim de controlar os motivos pelos quais teve que ser removido.</w:t>
        <w:br/>
        <w:t>- Os lacres se encontram dentro do DC02 junto as chaves, sempre solicitar a TI um novo número</w:t>
      </w:r>
    </w:p>
    <w:p>
      <w:r>
        <w:br/>
        <w:t>-- Imagens de referência --</w:t>
        <w:br/>
      </w:r>
    </w:p>
    <w:p>
      <w:pPr>
        <w:pStyle w:val="Heading2"/>
      </w:pPr>
      <w:r>
        <w:rPr>
          <w:color w:val="000000"/>
        </w:rPr>
        <w:t>5. Registros</w:t>
      </w:r>
    </w:p>
    <w:p>
      <w:r>
        <w:t>Nenhum registro aplicável.</w:t>
      </w:r>
    </w:p>
    <w:p>
      <w:pPr>
        <w:pStyle w:val="Heading2"/>
      </w:pPr>
      <w:r>
        <w:rPr>
          <w:color w:val="000000"/>
        </w:rPr>
        <w:t>6. Anexos</w:t>
      </w:r>
    </w:p>
    <w:p>
      <w:r>
        <w:t>Não há anexos.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