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6979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979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</w:tcPr>
          <w:p>
            <w:r>
              <w:t>Instruções para a instalação do programa de digitação.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Código: </w:t>
            </w:r>
            <w:r/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</w:rPr>
              <w:t xml:space="preserve">Título: </w:t>
            </w:r>
            <w:r>
              <w:t>Instalação do Programa de Digitação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 xml:space="preserve">Versão: </w:t>
            </w:r>
            <w:r>
              <w:t>1.0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Emitentes: </w:t>
            </w:r>
            <w:r>
              <w:t>Pablo</w:t>
            </w:r>
          </w:p>
        </w:tc>
        <w:tc>
          <w:tcPr>
            <w:tcW w:type="dxa" w:w="2160"/>
          </w:tcPr>
          <w:p>
            <w:r>
              <w:rPr>
                <w:b/>
              </w:rPr>
              <w:t xml:space="preserve">Aprovador: </w:t>
            </w:r>
            <w:r/>
          </w:p>
        </w:tc>
        <w:tc>
          <w:tcPr>
            <w:tcW w:type="dxa" w:w="2160"/>
          </w:tcPr>
          <w:p>
            <w:r>
              <w:rPr>
                <w:b/>
              </w:rPr>
              <w:t xml:space="preserve">Data: </w:t>
            </w:r>
            <w:r>
              <w:t>01/07/2025</w:t>
            </w:r>
          </w:p>
        </w:tc>
      </w:tr>
    </w:tbl>
    <w:p/>
    <w:p>
      <w:pPr>
        <w:pStyle w:val="Heading2"/>
      </w:pPr>
      <w:r>
        <w:rPr>
          <w:color w:val="000000"/>
        </w:rPr>
        <w:t>1. Objetivo</w:t>
      </w:r>
    </w:p>
    <w:p>
      <w:r>
        <w:t>Este procedimento tem como objetivo orientar os usuários sobre como instalar e ativar o programa de digitação.</w:t>
      </w:r>
    </w:p>
    <w:p>
      <w:pPr>
        <w:pStyle w:val="Heading2"/>
      </w:pPr>
      <w:r>
        <w:rPr>
          <w:color w:val="000000"/>
        </w:rPr>
        <w:t>2. Referencias e Definicoes</w:t>
      </w:r>
    </w:p>
    <w:p>
      <w:r>
        <w:t>Nenhuma referência necessária.</w:t>
      </w:r>
    </w:p>
    <w:p>
      <w:pPr>
        <w:pStyle w:val="Heading2"/>
      </w:pPr>
      <w:r>
        <w:rPr>
          <w:color w:val="000000"/>
        </w:rPr>
        <w:t>3. Responsabilidades</w:t>
      </w:r>
    </w:p>
    <w:p>
      <w:r>
        <w:t>Os usuários são responsáveis por seguir as instruções de instalação corretamente.</w:t>
      </w:r>
    </w:p>
    <w:p>
      <w:pPr>
        <w:pStyle w:val="Heading2"/>
      </w:pPr>
      <w:r>
        <w:rPr>
          <w:color w:val="000000"/>
        </w:rPr>
        <w:t>4. Procedimentos</w:t>
      </w:r>
    </w:p>
    <w:p>
      <w:pPr>
        <w:pStyle w:val="ListNumber"/>
      </w:pPr>
      <w:r>
        <w:t>Acesse um navegador de internet.</w:t>
      </w:r>
    </w:p>
    <w:p>
      <w:pPr>
        <w:pStyle w:val="ListNumber"/>
      </w:pPr>
      <w:r>
        <w:t>Busque pelo programa de digitação desejado.</w:t>
      </w:r>
    </w:p>
    <w:p>
      <w:pPr>
        <w:pStyle w:val="ListNumber"/>
      </w:pPr>
      <w:r>
        <w:t>Baixe o arquivo de instalação do programa.</w:t>
      </w:r>
    </w:p>
    <w:p>
      <w:pPr>
        <w:pStyle w:val="ListNumber"/>
      </w:pPr>
      <w:r>
        <w:t>Localize o arquivo baixado em seu computador.</w:t>
      </w:r>
    </w:p>
    <w:p>
      <w:pPr>
        <w:pStyle w:val="ListNumber"/>
      </w:pPr>
      <w:r>
        <w:t>Execute o arquivo para iniciar o processo de instalação.</w:t>
      </w:r>
    </w:p>
    <w:p>
      <w:pPr>
        <w:pStyle w:val="ListNumber"/>
      </w:pPr>
      <w:r>
        <w:t>Siga as instruções na tela para concluir a instalação.</w:t>
      </w:r>
    </w:p>
    <w:p>
      <w:pPr>
        <w:pStyle w:val="ListNumber"/>
      </w:pPr>
      <w:r>
        <w:t>Após a instalação, ative o programa conforme as instruções fornecidas.</w:t>
      </w:r>
    </w:p>
    <w:p>
      <w:pPr>
        <w:pStyle w:val="Heading2"/>
      </w:pPr>
      <w:r>
        <w:rPr>
          <w:color w:val="000000"/>
        </w:rPr>
        <w:t>5. Registros</w:t>
      </w:r>
    </w:p>
    <w:p>
      <w:r>
        <w:t>Nenhum registro necessário.</w:t>
      </w:r>
    </w:p>
    <w:p>
      <w:pPr>
        <w:pStyle w:val="Heading2"/>
      </w:pPr>
      <w:r>
        <w:rPr>
          <w:color w:val="000000"/>
        </w:rPr>
        <w:t>6. Anexos</w:t>
      </w:r>
    </w:p>
    <w:p>
      <w:r>
        <w:t>Não aplicável a este procedimento.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