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Procedimento para reiniciar os servidores Netbackup Master e Media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Reinício dos Servidores Netbackup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01/07/2025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Descrever o procedimento para reiniciar os servidores Netbackup Master e Media.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ou definição aplicável.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Responsável pela execução do procedimento: Administrador de TI.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1. Parar o serviço Netbackup:</w:t>
        <w:br/>
        <w:t xml:space="preserve">   </w:t>
        <w:br/>
        <w:t xml:space="preserve">   service netbackup stop</w:t>
        <w:br/>
        <w:t xml:space="preserve">   </w:t>
        <w:br/>
        <w:t>2. Iniciar o serviço Netbackup:</w:t>
        <w:br/>
        <w:t xml:space="preserve">   </w:t>
        <w:br/>
        <w:t xml:space="preserve">   service netbackup start</w:t>
        <w:br/>
        <w:t xml:space="preserve">   </w:t>
        <w:br/>
        <w:t>3. Após start, logar no netbackup ver se ta encontrando os dois robos, rodar um backup na mão de preferência catalogo manualmente.</w:t>
        <w:br/>
        <w:t xml:space="preserve">   </w:t>
        <w:br/>
        <w:t>4. Se der erro, parar os dois serviços de novo e depois reiniciar o robo.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Nenhum registro aplicável.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há anexos.</w:t>
      </w:r>
    </w:p>
    <w:p>
      <w:pPr>
        <w:pStyle w:val="Heading2"/>
      </w:pPr>
      <w:r>
        <w:rPr>
          <w:color w:val="000000"/>
        </w:rPr>
        <w:t>7. Imagens de Referência</w:t>
      </w:r>
    </w:p>
    <w:p>
      <w:r>
        <w:drawing>
          <wp:inline xmlns:a="http://schemas.openxmlformats.org/drawingml/2006/main" xmlns:pic="http://schemas.openxmlformats.org/drawingml/2006/picture">
            <wp:extent cx="5486400" cy="2753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353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475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75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1280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80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