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Este procedimento descreve o processo de criação de um documento de teste.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Procedimento para Criação de Documento de Teste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>
              <w:t>Pablo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01/07/2025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O objetivo deste procedimento é estabelecer um método claro e eficiente para a criação de documentos de teste que atendam aos requisitos necessários para validação de processos ou sistemas.</w:t>
      </w:r>
    </w:p>
    <w:p>
      <w:pPr>
        <w:pStyle w:val="Heading2"/>
      </w:pPr>
      <w:r>
        <w:rPr>
          <w:color w:val="000000"/>
        </w:rPr>
        <w:t>2. Referencias e Definicoes</w:t>
      </w:r>
    </w:p>
    <w:p>
      <w:r>
        <w:t>Nenhuma referência necessária.</w:t>
      </w:r>
    </w:p>
    <w:p>
      <w:pPr>
        <w:pStyle w:val="Heading2"/>
      </w:pPr>
      <w:r>
        <w:rPr>
          <w:color w:val="000000"/>
        </w:rPr>
        <w:t>3. Responsabilidades</w:t>
      </w:r>
    </w:p>
    <w:p>
      <w:r>
        <w:t>Não aplicável a este procedimento.</w:t>
      </w:r>
    </w:p>
    <w:p>
      <w:pPr>
        <w:pStyle w:val="Heading2"/>
      </w:pPr>
      <w:r>
        <w:rPr>
          <w:color w:val="000000"/>
        </w:rPr>
        <w:t>4. Procedimentos</w:t>
      </w:r>
    </w:p>
    <w:p>
      <w:r>
        <w:t>1. Identificar o propósito do documento de teste. 2. Definir os critérios que o documento deve atender. 3. Estruturar o documento com seções apropriadas, como introdução, escopo, metodologia e resultados esperados. 4. Redigir o conteúdo do documento de forma clara e objetiva. 5. Revisar o documento para garantir que todas as informações estejam corretas e completas. 6. Salvar o documento em um formato adequado e em local acessível.</w:t>
      </w:r>
    </w:p>
    <w:p>
      <w:pPr>
        <w:pStyle w:val="Heading2"/>
      </w:pPr>
      <w:r>
        <w:rPr>
          <w:color w:val="000000"/>
        </w:rPr>
        <w:t>5. Registros</w:t>
      </w:r>
    </w:p>
    <w:p>
      <w:r>
        <w:t>Nenhum registro necessário.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aplicável a este procedimento.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