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300"/>
        <w:jc w:val="center"/>
      </w:pPr>
      <w:r>
        <w:rPr>
          <w:b/>
          <w:bCs/>
          <w:color w:val="1F4E79"/>
          <w:sz w:val="52"/>
          <w:szCs w:val="52"/>
        </w:rPr>
        <w:t xml:space="preserve">PROJECT REPORT</w:t>
      </w:r>
    </w:p>
    <w:p>
      <w:pPr>
        <w:spacing w:after="600"/>
        <w:jc w:val="center"/>
      </w:pPr>
      <w:r>
        <w:rPr>
          <w:b/>
          <w:bCs/>
          <w:sz w:val="36"/>
          <w:szCs w:val="36"/>
        </w:rPr>
        <w:t xml:space="preserve">Government Procurement Spending Analytics with AI</w:t>
      </w:r>
    </w:p>
    <w:p>
      <w:pPr>
        <w:spacing w:after="1000"/>
        <w:jc w:val="center"/>
      </w:pPr>
      <w:r>
        <w:rPr>
          <w:i/>
          <w:iCs/>
          <w:color w:val="555555"/>
          <w:sz w:val="26"/>
          <w:szCs w:val="26"/>
        </w:rPr>
        <w:t xml:space="preserve">Predicting Tender Failure Risk Using Machine Learning (Singapore GeBIZ Data)</w:t>
      </w:r>
    </w:p>
    <w:p>
      <w:pPr>
        <w:spacing w:after="100"/>
        <w:jc w:val="center"/>
      </w:pPr>
      <w:r>
        <w:rPr>
          <w:sz w:val="24"/>
          <w:szCs w:val="24"/>
        </w:rPr>
        <w:t xml:space="preserve">AICTE | IBM SkillsBuild Data Analytics with AI Academic Internship 2026</w:t>
      </w:r>
    </w:p>
    <w:p>
      <w:pPr>
        <w:spacing w:after="800"/>
        <w:jc w:val="center"/>
      </w:pPr>
      <w:r>
        <w:rPr>
          <w:sz w:val="24"/>
          <w:szCs w:val="24"/>
        </w:rPr>
        <w:t xml:space="preserve">Conducted by BharatCares, in association with AICTE</w:t>
      </w:r>
    </w:p>
    <w:p>
      <w:pPr>
        <w:spacing w:after="100"/>
        <w:jc w:val="center"/>
      </w:pPr>
      <w:r>
        <w:rPr>
          <w:b/>
          <w:bCs/>
          <w:sz w:val="26"/>
          <w:szCs w:val="26"/>
        </w:rPr>
        <w:t xml:space="preserve">Submitted by: Rutuja</w:t>
      </w:r>
    </w:p>
    <w:p>
      <w:pPr>
        <w:jc w:val="center"/>
      </w:pPr>
      <w:r>
        <w:rPr>
          <w:sz w:val="24"/>
          <w:szCs w:val="24"/>
        </w:rPr>
        <w:t xml:space="preserve">Date: September 2026</w:t>
      </w:r>
    </w:p>
    <w:p>
      <w:r>
        <w:br w:type="page"/>
      </w:r>
    </w:p>
    <w:p>
      <w:pPr>
        <w:pStyle w:val="Heading1"/>
        <w:spacing w:after="150" w:before="300"/>
      </w:pPr>
      <w:r>
        <w:t xml:space="preserve">Table of Contents</w:t>
      </w:r>
    </w:p>
    <w:p>
      <w:pPr>
        <w:spacing w:after="160"/>
        <w:jc w:val="both"/>
      </w:pPr>
      <w:r>
        <w:t xml:space="preserve">1. Introduction</w:t>
      </w:r>
    </w:p>
    <w:p>
      <w:pPr>
        <w:spacing w:after="160"/>
        <w:jc w:val="both"/>
      </w:pPr>
      <w:r>
        <w:t xml:space="preserve">2. Problem Statement &amp; Objectives</w:t>
      </w:r>
    </w:p>
    <w:p>
      <w:pPr>
        <w:spacing w:after="160"/>
        <w:jc w:val="both"/>
      </w:pPr>
      <w:r>
        <w:t xml:space="preserve">3. Tools &amp; Platforms Used (Masterclass Requirements)</w:t>
      </w:r>
    </w:p>
    <w:p>
      <w:pPr>
        <w:spacing w:after="160"/>
        <w:jc w:val="both"/>
      </w:pPr>
      <w:r>
        <w:t xml:space="preserve">4. Dataset Description</w:t>
      </w:r>
    </w:p>
    <w:p>
      <w:pPr>
        <w:spacing w:after="160"/>
        <w:jc w:val="both"/>
      </w:pPr>
      <w:r>
        <w:t xml:space="preserve">5. Methodology — The 7-Stage Workflow</w:t>
      </w:r>
    </w:p>
    <w:p>
      <w:pPr>
        <w:spacing w:after="160"/>
        <w:jc w:val="both"/>
      </w:pPr>
      <w:r>
        <w:t xml:space="preserve">6. Exploratory Data Analysis — Key Insights</w:t>
      </w:r>
    </w:p>
    <w:p>
      <w:pPr>
        <w:spacing w:after="160"/>
        <w:jc w:val="both"/>
      </w:pPr>
      <w:r>
        <w:t xml:space="preserve">7. Machine Learning Model</w:t>
      </w:r>
    </w:p>
    <w:p>
      <w:pPr>
        <w:spacing w:after="160"/>
        <w:jc w:val="both"/>
      </w:pPr>
      <w:r>
        <w:t xml:space="preserve">8. Results &amp; Evaluation</w:t>
      </w:r>
    </w:p>
    <w:p>
      <w:pPr>
        <w:spacing w:after="160"/>
        <w:jc w:val="both"/>
      </w:pPr>
      <w:r>
        <w:t xml:space="preserve">9. Conclusion &amp; Future Scope</w:t>
      </w:r>
    </w:p>
    <w:p>
      <w:pPr>
        <w:spacing w:after="160"/>
        <w:jc w:val="both"/>
      </w:pPr>
      <w:r>
        <w:t xml:space="preserve">10. References</w:t>
      </w:r>
    </w:p>
    <w:p>
      <w:r>
        <w:br w:type="page"/>
      </w:r>
    </w:p>
    <w:p>
      <w:pPr>
        <w:pStyle w:val="Heading1"/>
        <w:spacing w:after="150" w:before="300"/>
      </w:pPr>
      <w:r>
        <w:t xml:space="preserve">1. Introduction</w:t>
      </w:r>
    </w:p>
    <w:p>
      <w:pPr>
        <w:spacing w:after="160"/>
        <w:jc w:val="both"/>
      </w:pPr>
      <w:r>
        <w:t xml:space="preserve">Public procurement represents one of the largest categories of government expenditure, funding everything from medical equipment and infrastructure to IT systems and educational materials. Because procurement decisions involve large sums of public money awarded through competitive tenders, transparency, efficiency, and accountability in this process are of national importance.</w:t>
      </w:r>
    </w:p>
    <w:p>
      <w:pPr>
        <w:spacing w:after="160"/>
        <w:jc w:val="both"/>
      </w:pPr>
      <w:r>
        <w:t xml:space="preserve">This project applies data analytics and machine learning techniques to a real government procurement dataset — Singapore's GeBIZ tender records — in order to understand spending patterns, evaluate vendor concentration, and build a predictive model that flags tenders at risk of failing to attract any supplier. The insights generated can support procurement officers and policymakers in making more evidence-based decisions.</w:t>
      </w:r>
    </w:p>
    <w:p>
      <w:pPr>
        <w:pStyle w:val="Heading1"/>
        <w:spacing w:after="150" w:before="300"/>
      </w:pPr>
      <w:r>
        <w:t xml:space="preserve">2. Problem Statement &amp; Objectives</w:t>
      </w:r>
    </w:p>
    <w:p>
      <w:pPr>
        <w:spacing w:after="160"/>
        <w:jc w:val="both"/>
      </w:pPr>
      <w:r>
        <w:t xml:space="preserve">Government procurement data is often large, fragmented, and under-analyzed, making it difficult to spot spending trends, vendor concentration risks, or tenders likely to fail to attract a supplier until after the closing date has passed. The objective of this project is to:</w:t>
      </w:r>
    </w:p>
    <w:p>
      <w:pPr>
        <w:pStyle w:val="ListParagraph"/>
        <w:numPr>
          <w:ilvl w:val="0"/>
          <w:numId w:val="2"/>
        </w:numPr>
        <w:spacing w:after="80"/>
      </w:pPr>
      <w:r>
        <w:t xml:space="preserve">Analyze historical procurement data to identify spending trends across years, categories, and agencies.</w:t>
      </w:r>
    </w:p>
    <w:p>
      <w:pPr>
        <w:pStyle w:val="ListParagraph"/>
        <w:numPr>
          <w:ilvl w:val="0"/>
          <w:numId w:val="2"/>
        </w:numPr>
        <w:spacing w:after="80"/>
      </w:pPr>
      <w:r>
        <w:t xml:space="preserve">Examine vendor concentration to understand how competitive the procurement process is.</w:t>
      </w:r>
    </w:p>
    <w:p>
      <w:pPr>
        <w:pStyle w:val="ListParagraph"/>
        <w:numPr>
          <w:ilvl w:val="0"/>
          <w:numId w:val="2"/>
        </w:numPr>
        <w:spacing w:after="80"/>
      </w:pPr>
      <w:r>
        <w:t xml:space="preserve">Build a machine learning model that predicts whether a tender is at risk of failing to attract any supplier, using only information available before the tender is awarded.</w:t>
      </w:r>
    </w:p>
    <w:p>
      <w:pPr>
        <w:pStyle w:val="ListParagraph"/>
        <w:numPr>
          <w:ilvl w:val="0"/>
          <w:numId w:val="2"/>
        </w:numPr>
        <w:spacing w:after="80"/>
      </w:pPr>
      <w:r>
        <w:t xml:space="preserve">Present findings through clear visualizations that support decision-making.</w:t>
      </w:r>
    </w:p>
    <w:p>
      <w:pPr>
        <w:pStyle w:val="ListParagraph"/>
        <w:numPr>
          <w:ilvl w:val="0"/>
          <w:numId w:val="2"/>
        </w:numPr>
        <w:spacing w:after="80"/>
      </w:pPr>
      <w:r>
        <w:t xml:space="preserve">Follow the program's required Raw Data → Clean Data → EDA → Insights → Prediction → Dashboard → Decision workflow, using the specific tools and platforms taught in the masterclasses (Google Colab, Google Gemini, IBM Bob).</w:t>
      </w:r>
    </w:p>
    <w:p>
      <w:pPr>
        <w:pStyle w:val="Heading1"/>
        <w:spacing w:after="150" w:before="300"/>
      </w:pPr>
      <w:r>
        <w:t xml:space="preserve">3. Tools &amp; Platforms Used (Masterclass Requirements)</w:t>
      </w:r>
    </w:p>
    <w:p>
      <w:pPr>
        <w:spacing w:after="160"/>
        <w:jc w:val="both"/>
      </w:pPr>
      <w:r>
        <w:t xml:space="preserve">As required, this project makes explicit use of the tools and platforms introduced in the program's masterclasses, rather than only generic Python libraries: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4E79" w:val="clear"/>
          </w:tcPr>
          <w:p>
            <w:r>
              <w:rPr>
                <w:b/>
                <w:bCs/>
                <w:color w:val="FFFFFF"/>
              </w:rPr>
              <w:t xml:space="preserve">Tool / Platform</w:t>
            </w:r>
          </w:p>
        </w:tc>
        <w:tc>
          <w:tcPr>
            <w:tcW w:type="dxa" w:w="5800"/>
            <w:shd w:fill="1F4E79" w:val="clear"/>
          </w:tcPr>
          <w:p>
            <w:r>
              <w:rPr>
                <w:b/>
                <w:bCs/>
                <w:color w:val="FFFFFF"/>
              </w:rPr>
              <w:t xml:space="preserve">Role in This Project</w:t>
            </w:r>
          </w:p>
        </w:tc>
      </w:tr>
      <w:tr>
        <w:tc>
          <w:tcPr>
            <w:tcW w:type="dxa" w:w="3200"/>
          </w:tcPr>
          <w:p>
            <w:r>
              <w:t xml:space="preserve">Google Colab</w:t>
            </w:r>
          </w:p>
        </w:tc>
        <w:tc>
          <w:tcPr>
            <w:tcW w:type="dxa" w:w="5800"/>
          </w:tcPr>
          <w:p>
            <w:r>
              <w:t xml:space="preserve">The notebook environment this project is built and designed to run in, as taught in Masterclass 2 and Masterclass 3.</w:t>
            </w:r>
          </w:p>
        </w:tc>
      </w:tr>
      <w:tr>
        <w:tc>
          <w:tcPr>
            <w:tcW w:type="dxa" w:w="3200"/>
          </w:tcPr>
          <w:p>
            <w:r>
              <w:t xml:space="preserve">Google Gemini</w:t>
            </w:r>
          </w:p>
        </w:tc>
        <w:tc>
          <w:tcPr>
            <w:tcW w:type="dxa" w:w="5800"/>
          </w:tcPr>
          <w:p>
            <w:r>
              <w:t xml:space="preserve">Used as the AI coding assistant during development, following the Ask AI → Review → Verify → Apply workflow from Masterclass 1 — using specific, detailed prompts rather than vague requests, and verifying every AI-suggested change against the actual data before applying it.</w:t>
            </w:r>
          </w:p>
        </w:tc>
      </w:tr>
      <w:tr>
        <w:tc>
          <w:tcPr>
            <w:tcW w:type="dxa" w:w="3200"/>
          </w:tcPr>
          <w:p>
            <w:r>
              <w:t xml:space="preserve">IBM Bob</w:t>
            </w:r>
          </w:p>
        </w:tc>
        <w:tc>
          <w:tcPr>
            <w:tcW w:type="dxa" w:w="5800"/>
          </w:tcPr>
          <w:p>
            <w:r>
              <w:t xml:space="preserve">IBM's AI-powered development partner (introduced in the program's dedicated IBM Bob onboarding session), used as an AI coding assistant during project setup and structuring.</w:t>
            </w:r>
          </w:p>
        </w:tc>
      </w:tr>
      <w:tr>
        <w:tc>
          <w:tcPr>
            <w:tcW w:type="dxa" w:w="3200"/>
          </w:tcPr>
          <w:p>
            <w:r>
              <w:t xml:space="preserve">pandas, numpy, matplotlib, seaborn, scikit-learn</w:t>
            </w:r>
          </w:p>
        </w:tc>
        <w:tc>
          <w:tcPr>
            <w:tcW w:type="dxa" w:w="5800"/>
          </w:tcPr>
          <w:p>
            <w:r>
              <w:t xml:space="preserve">Core Python libraries for data manipulation, visualization, and machine learning.</w:t>
            </w:r>
          </w:p>
        </w:tc>
      </w:tr>
    </w:tbl>
    <w:p>
      <w:pPr>
        <w:spacing w:after="160"/>
        <w:jc w:val="both"/>
      </w:pPr>
      <w:r>
        <w:t xml:space="preserve">The notebook also follows the exact 7-stage analyst workflow taught across all three masterclasses: Raw Data → Clean Data → EDA → Insights → Prediction → Dashboard → Decision.</w:t>
      </w:r>
    </w:p>
    <w:p>
      <w:pPr>
        <w:pStyle w:val="Heading1"/>
        <w:spacing w:after="150" w:before="300"/>
      </w:pPr>
      <w:r>
        <w:t xml:space="preserve">4. Dataset Description</w:t>
      </w:r>
    </w:p>
    <w:p>
      <w:pPr>
        <w:spacing w:after="160"/>
        <w:jc w:val="both"/>
      </w:pPr>
      <w:r>
        <w:t xml:space="preserve">This project uses the real “Government Procurement via GeBIZ” dataset, published on Kaggle — 32,756 actual tender award records from Singapore’s government e-procurement portal, spanning 2015 to 2021 across 122 government agencies. This is real historical government data, not a synthetic sample.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79" w:val="clear"/>
          </w:tcPr>
          <w:p>
            <w:r>
              <w:rPr>
                <w:b/>
                <w:bCs/>
                <w:color w:val="FFFFFF"/>
              </w:rPr>
              <w:t xml:space="preserve">Column</w:t>
            </w:r>
          </w:p>
        </w:tc>
        <w:tc>
          <w:tcPr>
            <w:tcW w:type="dxa" w:w="6000"/>
            <w:shd w:fill="1F4E79" w:val="clear"/>
          </w:tcPr>
          <w:p>
            <w:r>
              <w:rPr>
                <w:b/>
                <w:bCs/>
                <w:color w:val="FFFFFF"/>
              </w:rPr>
              <w:t xml:space="preserve">Description</w:t>
            </w:r>
          </w:p>
        </w:tc>
      </w:tr>
      <w:tr>
        <w:tc>
          <w:tcPr>
            <w:tcW w:type="dxa" w:w="3000"/>
          </w:tcPr>
          <w:p>
            <w:r>
              <w:t xml:space="preserve">tender_no.</w:t>
            </w:r>
          </w:p>
        </w:tc>
        <w:tc>
          <w:tcPr>
            <w:tcW w:type="dxa" w:w="6000"/>
          </w:tcPr>
          <w:p>
            <w:r>
              <w:t xml:space="preserve">Identifier for the tender (a tender can span multiple rows when awarded item-by-item or to multiple suppliers)</w:t>
            </w:r>
          </w:p>
        </w:tc>
      </w:tr>
      <w:tr>
        <w:tc>
          <w:tcPr>
            <w:tcW w:type="dxa" w:w="3000"/>
          </w:tcPr>
          <w:p>
            <w:r>
              <w:t xml:space="preserve">tender_description</w:t>
            </w:r>
          </w:p>
        </w:tc>
        <w:tc>
          <w:tcPr>
            <w:tcW w:type="dxa" w:w="6000"/>
          </w:tcPr>
          <w:p>
            <w:r>
              <w:t xml:space="preserve">Free-text description of what was procured</w:t>
            </w:r>
          </w:p>
        </w:tc>
      </w:tr>
      <w:tr>
        <w:tc>
          <w:tcPr>
            <w:tcW w:type="dxa" w:w="3000"/>
          </w:tcPr>
          <w:p>
            <w:r>
              <w:t xml:space="preserve">agency</w:t>
            </w:r>
          </w:p>
        </w:tc>
        <w:tc>
          <w:tcPr>
            <w:tcW w:type="dxa" w:w="6000"/>
          </w:tcPr>
          <w:p>
            <w:r>
              <w:t xml:space="preserve">Government agency that issued the tender</w:t>
            </w:r>
          </w:p>
        </w:tc>
      </w:tr>
      <w:tr>
        <w:tc>
          <w:tcPr>
            <w:tcW w:type="dxa" w:w="3000"/>
          </w:tcPr>
          <w:p>
            <w:r>
              <w:t xml:space="preserve">award_date</w:t>
            </w:r>
          </w:p>
        </w:tc>
        <w:tc>
          <w:tcPr>
            <w:tcW w:type="dxa" w:w="6000"/>
          </w:tcPr>
          <w:p>
            <w:r>
              <w:t xml:space="preserve">Date the tender was awarded (raw format DD/MM/YYYY)</w:t>
            </w:r>
          </w:p>
        </w:tc>
      </w:tr>
      <w:tr>
        <w:tc>
          <w:tcPr>
            <w:tcW w:type="dxa" w:w="3000"/>
          </w:tcPr>
          <w:p>
            <w:r>
              <w:t xml:space="preserve">tender_detail_status</w:t>
            </w:r>
          </w:p>
        </w:tc>
        <w:tc>
          <w:tcPr>
            <w:tcW w:type="dxa" w:w="6000"/>
          </w:tcPr>
          <w:p>
            <w:r>
              <w:t xml:space="preserve">Awarded to Suppliers / Awarded by Items / Awarded to No Suppliers</w:t>
            </w:r>
          </w:p>
        </w:tc>
      </w:tr>
      <w:tr>
        <w:tc>
          <w:tcPr>
            <w:tcW w:type="dxa" w:w="3000"/>
          </w:tcPr>
          <w:p>
            <w:r>
              <w:t xml:space="preserve">supplier_name</w:t>
            </w:r>
          </w:p>
        </w:tc>
        <w:tc>
          <w:tcPr>
            <w:tcW w:type="dxa" w:w="6000"/>
          </w:tcPr>
          <w:p>
            <w:r>
              <w:t xml:space="preserve">Name of the awarded supplier (“Unknown” when no supplier was awarded)</w:t>
            </w:r>
          </w:p>
        </w:tc>
      </w:tr>
      <w:tr>
        <w:tc>
          <w:tcPr>
            <w:tcW w:type="dxa" w:w="3000"/>
          </w:tcPr>
          <w:p>
            <w:r>
              <w:t xml:space="preserve">awarded_amt</w:t>
            </w:r>
          </w:p>
        </w:tc>
        <w:tc>
          <w:tcPr>
            <w:tcW w:type="dxa" w:w="6000"/>
          </w:tcPr>
          <w:p>
            <w:r>
              <w:t xml:space="preserve">Awarded value in Singapore Dollars (S$)</w:t>
            </w:r>
          </w:p>
        </w:tc>
      </w:tr>
    </w:tbl>
    <w:p>
      <w:pPr>
        <w:spacing w:after="160"/>
        <w:jc w:val="both"/>
      </w:pPr>
      <w:r>
        <w:t xml:space="preserve">The raw dataset had no missing values and no true duplicate rows. Real cleaning work still required: converting award_date from DD/MM/YYYY text into a proper date type; investigating repeated tender_no. values (confirmed to be a legitimate one-tender-to-many-rows structure from multi-item/multi-supplier awards, not duplicate-record errors); and engineering a Category column from the free-text tender_description, since no category field existed in the raw data.</w:t>
      </w:r>
    </w:p>
    <w:p>
      <w:pPr>
        <w:pStyle w:val="Heading1"/>
        <w:spacing w:after="150" w:before="300"/>
      </w:pPr>
      <w:r>
        <w:t xml:space="preserve">5. Methodology — The 7-Stage Workflow</w:t>
      </w:r>
    </w:p>
    <w:p>
      <w:pPr>
        <w:pStyle w:val="Heading2"/>
        <w:spacing w:after="120" w:before="250"/>
      </w:pPr>
      <w:r>
        <w:t xml:space="preserve">Stage 1: Raw Data → Clean Data</w:t>
      </w:r>
    </w:p>
    <w:p>
      <w:pPr>
        <w:spacing w:after="160"/>
        <w:jc w:val="both"/>
      </w:pPr>
      <w:r>
        <w:t xml:space="preserve">The raw dataset was inspected for the exact issue categories taught in Masterclass 1: missing values, duplicate records, inconsistent formatting, incorrect dates, and outliers. This real dataset turned out to have no missing values and no true duplicate rows, but did require genuine cleaning work: award_date was stored as DD/MM/YYYY text and converted to a proper date type; repeated tender_no. values were investigated (rather than dropped by assumption) and confirmed to reflect legitimate multi-item/multi-supplier awards, not duplicate-record errors; and extreme high-value outliers (up to roughly S$2 billion) were verified against the issuing agency as genuine large infrastructure/defence contracts rather than data-entry errors. Because no category field existed in the raw data, a Category column was engineered from the free-text tender_description using keyword rules, following the “Creating Analytical Columns” approach from Masterclass 1. Five business questions were then defined before any analysis began, following the program's “business questions before analysis” principle.</w:t>
      </w:r>
    </w:p>
    <w:p>
      <w:pPr>
        <w:pStyle w:val="Heading2"/>
        <w:spacing w:after="120" w:before="250"/>
      </w:pPr>
      <w:r>
        <w:t xml:space="preserve">Stage 2: EDA</w:t>
      </w:r>
    </w:p>
    <w:p>
      <w:pPr>
        <w:spacing w:after="160"/>
        <w:jc w:val="both"/>
      </w:pPr>
      <w:r>
        <w:t xml:space="preserve">Visualizations were created to study total spending trends by year, spending by category and agency, vendor concentration (top 10 vendors by contract value), regional spending, delivery status distribution, contract value distribution, and correlations between numeric features — covering the trends, rankings, comparisons, segments, and relationships patterns taught in Masterclass 2.</w:t>
      </w:r>
    </w:p>
    <w:p>
      <w:pPr>
        <w:pStyle w:val="Heading2"/>
        <w:spacing w:after="120" w:before="250"/>
      </w:pPr>
      <w:r>
        <w:t xml:space="preserve">Stage 3: Insights</w:t>
      </w:r>
    </w:p>
    <w:p>
      <w:pPr>
        <w:spacing w:after="160"/>
        <w:jc w:val="both"/>
      </w:pPr>
      <w:r>
        <w:t xml:space="preserve">Observations from the EDA were converted into insights, hypotheses, and recommendations using the Observation → Insight → Hypothesis → Recommendation framework, being careful never to present a hypothesis as a proven fact.</w:t>
      </w:r>
    </w:p>
    <w:p>
      <w:pPr>
        <w:pStyle w:val="Heading2"/>
        <w:spacing w:after="120" w:before="250"/>
      </w:pPr>
      <w:r>
        <w:t xml:space="preserve">Stage 4: Prediction</w:t>
      </w:r>
    </w:p>
    <w:p>
      <w:pPr>
        <w:spacing w:after="160"/>
        <w:jc w:val="both"/>
      </w:pPr>
      <w:r>
        <w:t xml:space="preserve">A binary target variable, Tender_Failed, was created: tenders with a tender_detail_status of “Awarded to No Suppliers” (zero supplier bids) were labeled 1, and all others labeled 0. A leakage check was run before selecting features, following Masterclass 3’s explicit warning against target leakage: it was confirmed that awarded_amt is always exactly 0, and supplier_name is always “Unknown”, whenever Tender_Failed = 1 — both are direct artifacts of the outcome and were excluded from the model. The final prediction features, all known before the tender outcome, were: agency, Category, Award_Year, Award_Month, and Description_Length. Categorical features were label-encoded. A Random Forest Classifier (class-balanced, to account for the target being highly imbalanced at ~4.3% failure) was selected for its ability to handle mixed categorical/numeric features and provide interpretable feature importances. The data was split 80/20 into training and test sets, stratified by the target.</w:t>
      </w:r>
    </w:p>
    <w:p>
      <w:pPr>
        <w:pStyle w:val="Heading2"/>
        <w:spacing w:after="120" w:before="250"/>
      </w:pPr>
      <w:r>
        <w:t xml:space="preserve">Stage 5: Dashboard</w:t>
      </w:r>
    </w:p>
    <w:p>
      <w:pPr>
        <w:spacing w:after="160"/>
        <w:jc w:val="both"/>
      </w:pPr>
      <w:r>
        <w:t xml:space="preserve">A 4-panel summary dashboard was built combining the yearly spending trend, top categories, delivery status split, and contract risk-level distribution into a single at-a-glance view.</w:t>
      </w:r>
    </w:p>
    <w:p>
      <w:pPr>
        <w:pStyle w:val="Heading2"/>
        <w:spacing w:after="120" w:before="250"/>
      </w:pPr>
      <w:r>
        <w:t xml:space="preserve">Stage 6: Decision</w:t>
      </w:r>
    </w:p>
    <w:p>
      <w:pPr>
        <w:spacing w:after="160"/>
        <w:jc w:val="both"/>
      </w:pPr>
      <w:r>
        <w:t xml:space="preserve">Five practical, non-causal business recommendations were derived directly from the model outputs (see Section 9).</w:t>
      </w:r>
    </w:p>
    <w:p>
      <w:pPr>
        <w:pStyle w:val="Heading1"/>
        <w:spacing w:after="150" w:before="300"/>
      </w:pPr>
      <w:r>
        <w:t xml:space="preserve">6. Exploratory Data Analysis — Key Insights</w:t>
      </w:r>
    </w:p>
    <w:p>
      <w:pPr>
        <w:pStyle w:val="ListParagraph"/>
        <w:numPr>
          <w:ilvl w:val="0"/>
          <w:numId w:val="2"/>
        </w:numPr>
        <w:spacing w:after="80"/>
      </w:pPr>
      <w:r>
        <w:t xml:space="preserve">Total awarded procurement value ranged from roughly S$16 billion to S$24 billion per year between 2015 and 2020 (2021 is a partial year in this dataset, covering only January–March).</w:t>
      </w:r>
    </w:p>
    <w:p>
      <w:pPr>
        <w:pStyle w:val="ListParagraph"/>
        <w:numPr>
          <w:ilvl w:val="0"/>
          <w:numId w:val="2"/>
        </w:numPr>
        <w:spacing w:after="80"/>
      </w:pPr>
      <w:r>
        <w:t xml:space="preserve">Construction &amp; Infrastructure was the single largest category by awarded value, accounting for approximately 46.6% of total category spending — far ahead of any other category.</w:t>
      </w:r>
    </w:p>
    <w:p>
      <w:pPr>
        <w:pStyle w:val="ListParagraph"/>
        <w:numPr>
          <w:ilvl w:val="0"/>
          <w:numId w:val="2"/>
        </w:numPr>
        <w:spacing w:after="80"/>
      </w:pPr>
      <w:r>
        <w:t xml:space="preserve">The Land Transport Authority was the top agency by total awarded value among the 122 agencies in the dataset.</w:t>
      </w:r>
    </w:p>
    <w:p>
      <w:pPr>
        <w:pStyle w:val="ListParagraph"/>
        <w:numPr>
          <w:ilvl w:val="0"/>
          <w:numId w:val="2"/>
        </w:numPr>
        <w:spacing w:after="80"/>
      </w:pPr>
      <w:r>
        <w:t xml:space="preserve">The top 10 identified suppliers accounted for approximately 18.8% of total awarded value (excluding rows with no award), indicating moderate but not extreme vendor concentration.</w:t>
      </w:r>
    </w:p>
    <w:p>
      <w:pPr>
        <w:pStyle w:val="ListParagraph"/>
        <w:numPr>
          <w:ilvl w:val="0"/>
          <w:numId w:val="2"/>
        </w:numPr>
        <w:spacing w:after="80"/>
      </w:pPr>
      <w:r>
        <w:t xml:space="preserve">4.3% of all tender records resulted in “Awarded to No Suppliers” — a real, measurable tender-failure rate that motivated the prediction task in Stage 4.</w:t>
      </w:r>
    </w:p>
    <w:p>
      <w:pPr>
        <w:pStyle w:val="ListParagraph"/>
        <w:numPr>
          <w:ilvl w:val="0"/>
          <w:numId w:val="2"/>
        </w:numPr>
        <w:spacing w:after="80"/>
      </w:pPr>
      <w:r>
        <w:t xml:space="preserve">Awarded values are extremely right-skewed, ranging from a few dollars to approximately S$2 billion, requiring a log-scale view to interpret the distribution meaningfully; the largest values were verified as genuine large infrastructure/defence contracts.</w:t>
      </w:r>
    </w:p>
    <w:p>
      <w:pPr>
        <w:pStyle w:val="Heading1"/>
        <w:spacing w:after="150" w:before="300"/>
      </w:pPr>
      <w:r>
        <w:t xml:space="preserve">7. Machine Learning Model</w:t>
      </w:r>
    </w:p>
    <w:p>
      <w:pPr>
        <w:spacing w:after="160"/>
        <w:jc w:val="both"/>
      </w:pPr>
      <w:r>
        <w:t xml:space="preserve">Model: Random Forest Classifier (200 trees, max depth 8, class-balanced)</w:t>
      </w:r>
    </w:p>
    <w:p>
      <w:pPr>
        <w:spacing w:after="160"/>
        <w:jc w:val="both"/>
      </w:pPr>
      <w:r>
        <w:t xml:space="preserve">Input features: agency, Category, Award_Year, Award_Month, Description_Length</w:t>
      </w:r>
    </w:p>
    <w:p>
      <w:pPr>
        <w:spacing w:after="160"/>
        <w:jc w:val="both"/>
      </w:pPr>
      <w:r>
        <w:t xml:space="preserve">Target: Tender_Failed (binary — 1 = Awarded to No Suppliers, 0 = Awarded)</w:t>
      </w:r>
    </w:p>
    <w:p>
      <w:pPr>
        <w:spacing w:after="160"/>
        <w:jc w:val="both"/>
      </w:pPr>
      <w:r>
        <w:t xml:space="preserve">The model was trained on 26,204 records and evaluated on 6,552 held-out test records (80/20 split), stratified on the target to preserve the real ~4.3% failure rate in both sets.</w:t>
      </w:r>
    </w:p>
    <w:p>
      <w:pPr>
        <w:pStyle w:val="Heading1"/>
        <w:spacing w:after="150" w:before="300"/>
      </w:pPr>
      <w:r>
        <w:t xml:space="preserve">8. Results &amp; Evaluation</w:t>
      </w:r>
    </w:p>
    <w:p>
      <w:pPr>
        <w:spacing w:after="160"/>
        <w:jc w:val="both"/>
      </w:pPr>
      <w:r>
        <w:t xml:space="preserve">On the real, held-out test set the model reached 80.97% accuracy, 6.65% precision, and 26.15% recall for the “tender failed” class. Following the program's explicit warning that a high accuracy score alone does not mean a model is useful, this result is reported honestly rather than emphasizing the accuracy figure in isolation: because only about 4.3% of tenders fail, a model that always predicted “will succeed” would already score roughly 96% accuracy while being completely uninformative. The low precision and recall show that, using only agency, category, award timing, and description length, this real and comparatively rare event is genuinely difficult to predict — an honest finding about the limits of the available features, not a failure to report.</w:t>
      </w:r>
    </w:p>
    <w:p>
      <w:pPr>
        <w:spacing w:after="160"/>
        <w:jc w:val="both"/>
      </w:pPr>
      <w:r>
        <w:t xml:space="preserve">Feature importance analysis (see the accompanying notebook) shows which of the available features carry the most weight in the model's predictions. A confusion matrix, a sorted tender risk table (Low/Medium/High risk, following the same risk-banding approach taught for customer churn in Masterclass 3), and the full classification report are included in the notebook (Rutuja_ProcurementAnalytics.ipynb) for detailed reference. All findings are framed as associations, not proven causes, per the association-vs-causation guidance from Masterclass 3 — the model does not know or claim to know why any individual tender failed to attract a supplier.</w:t>
      </w:r>
    </w:p>
    <w:p>
      <w:pPr>
        <w:pStyle w:val="Heading1"/>
        <w:spacing w:after="150" w:before="300"/>
      </w:pPr>
      <w:r>
        <w:t xml:space="preserve">9. Conclusion &amp; Future Scope</w:t>
      </w:r>
    </w:p>
    <w:p>
      <w:pPr>
        <w:spacing w:after="160"/>
        <w:jc w:val="both"/>
      </w:pPr>
      <w:r>
        <w:t xml:space="preserve">This project demonstrates how data analytics and machine learning — built using the Google Colab, Gemini, and IBM Bob workflow taught across the program's masterclasses — can be applied to real government procurement data (Singapore's GeBIZ tender records) to surface spending trends, vendor concentration patterns, and an honest attempt at early-warning signals for tender failure risk. The moderate-to-weak prediction performance is itself a useful, realistic finding: with only the features available in this public dataset, tender failure is hard to predict reliably, which is valuable information for scoping any future operational system.</w:t>
      </w:r>
    </w:p>
    <w:p>
      <w:pPr>
        <w:spacing w:after="160"/>
        <w:jc w:val="both"/>
      </w:pPr>
      <w:r>
        <w:t xml:space="preserve">Future improvements could include:</w:t>
      </w:r>
    </w:p>
    <w:p>
      <w:pPr>
        <w:pStyle w:val="ListParagraph"/>
        <w:numPr>
          <w:ilvl w:val="0"/>
          <w:numId w:val="2"/>
        </w:numPr>
        <w:spacing w:after="80"/>
      </w:pPr>
      <w:r>
        <w:t xml:space="preserve">Adding richer features not present in this public dataset, such as number of bidders invited, estimated tender value before award, or submission deadline length.</w:t>
      </w:r>
    </w:p>
    <w:p>
      <w:pPr>
        <w:pStyle w:val="ListParagraph"/>
        <w:numPr>
          <w:ilvl w:val="0"/>
          <w:numId w:val="2"/>
        </w:numPr>
        <w:spacing w:after="80"/>
      </w:pPr>
      <w:r>
        <w:t xml:space="preserve">Trying additional models such as Gradient Boosting or XGBoost, and tuning hyperparameters via GridSearchCV.</w:t>
      </w:r>
    </w:p>
    <w:p>
      <w:pPr>
        <w:pStyle w:val="ListParagraph"/>
        <w:numPr>
          <w:ilvl w:val="0"/>
          <w:numId w:val="2"/>
        </w:numPr>
        <w:spacing w:after="80"/>
      </w:pPr>
      <w:r>
        <w:t xml:space="preserve">Improving the engineered Category column with a proper NLP/embedding-based text classifier instead of keyword rules.</w:t>
      </w:r>
    </w:p>
    <w:p>
      <w:pPr>
        <w:pStyle w:val="ListParagraph"/>
        <w:numPr>
          <w:ilvl w:val="0"/>
          <w:numId w:val="2"/>
        </w:numPr>
        <w:spacing w:after="80"/>
      </w:pPr>
      <w:r>
        <w:t xml:space="preserve">Retraining on more recent GeBIZ data (post-2021) before any operational use.</w:t>
      </w:r>
    </w:p>
    <w:p>
      <w:pPr>
        <w:pStyle w:val="ListParagraph"/>
        <w:numPr>
          <w:ilvl w:val="0"/>
          <w:numId w:val="2"/>
        </w:numPr>
        <w:spacing w:after="80"/>
      </w:pPr>
      <w:r>
        <w:t xml:space="preserve">Building the Stage 5 dashboard as an interactive Colab widget or lightweight web app for procurement officers.</w:t>
      </w:r>
    </w:p>
    <w:p>
      <w:pPr>
        <w:pStyle w:val="Heading1"/>
        <w:spacing w:after="150" w:before="300"/>
      </w:pPr>
      <w:r>
        <w:t xml:space="preserve">10. References</w:t>
      </w:r>
    </w:p>
    <w:p>
      <w:pPr>
        <w:spacing w:after="160"/>
        <w:jc w:val="both"/>
      </w:pPr>
      <w:r>
        <w:t xml:space="preserve">1. Government Procurement via GeBIZ, Singapore Ministry of Finance / data.gov.sg (original source; also mirrored on Kaggle as “Government Procurement via GeBIZ”).</w:t>
      </w:r>
    </w:p>
    <w:p>
      <w:pPr>
        <w:spacing w:after="160"/>
        <w:jc w:val="both"/>
      </w:pPr>
      <w:r>
        <w:t xml:space="preserve">2. scikit-learn documentation. https://scikit-learn.org/</w:t>
      </w:r>
    </w:p>
    <w:p>
      <w:pPr>
        <w:spacing w:after="160"/>
        <w:jc w:val="both"/>
      </w:pPr>
      <w:r>
        <w:t xml:space="preserve">3. pandas documentation. https://pandas.pydata.org/</w:t>
      </w:r>
    </w:p>
    <w:p>
      <w:pPr>
        <w:spacing w:after="160"/>
        <w:jc w:val="both"/>
      </w:pPr>
      <w:r>
        <w:t xml:space="preserve">4. Google Colab. https://colab.research.google.com/</w:t>
      </w:r>
    </w:p>
    <w:p>
      <w:pPr>
        <w:spacing w:after="160"/>
        <w:jc w:val="both"/>
      </w:pPr>
      <w:r>
        <w:t xml:space="preserve">5. IBM Bob — IBM's AI-powered development partner.</w:t>
      </w:r>
    </w:p>
    <w:p>
      <w:pPr>
        <w:spacing w:after="160"/>
        <w:jc w:val="both"/>
      </w:pPr>
      <w:r>
        <w:t xml:space="preserve">6. AICTE | IBM SkillsBuild Data Analytics with AI Academic Internship Program, BharatCares — Masterclass 1 (AI + Data: Make Data Intelligent), Masterclass 2 (AI Discovers the Story), Masterclass 3 (AI Predicts What Happens Next).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2026-09-24T05:06:11.215Z</dcterms:created>
  <dcterms:modified xsi:type="dcterms:W3CDTF">2026-09-24T05:06:11.223Z</dcterms:modified>
</cp:coreProperties>
</file>

<file path=docProps/custom.xml><?xml version="1.0" encoding="utf-8"?>
<Properties xmlns="http://schemas.openxmlformats.org/officeDocument/2006/custom-properties" xmlns:vt="http://schemas.openxmlformats.org/officeDocument/2006/docPropsVTypes"/>
</file>