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line="240" w:lineRule="auto"/>
      </w:pPr>
      <w:r>
        <w:rPr>
          <w:rFonts w:ascii="Arial Unicode MS" w:hAnsi="Arial Unicode MS" w:eastAsia="Arial Unicode MS"/>
          <w:b/>
          <w:color w:val="1F4D78"/>
          <w:sz w:val="32"/>
        </w:rPr>
        <w:t>FeetForcePlate</w:t>
      </w:r>
    </w:p>
    <w:p>
      <w:pPr>
        <w:spacing w:before="0" w:after="180" w:line="240" w:lineRule="auto"/>
      </w:pPr>
      <w:r>
        <w:rPr>
          <w:rFonts w:ascii="Arial Unicode MS" w:hAnsi="Arial Unicode MS" w:eastAsia="Arial Unicode MS"/>
          <w:b/>
          <w:color w:val="2E74B5"/>
          <w:sz w:val="50"/>
        </w:rPr>
        <w:t>算法层实现与能力现状报告</w:t>
      </w:r>
    </w:p>
    <w:p>
      <w:pPr>
        <w:spacing w:before="0" w:after="440" w:line="300" w:lineRule="auto"/>
        <w:pBdr>
          <w:bottom w:val="single" w:sz="16" w:space="4" w:color="2E74B5"/>
        </w:pBdr>
      </w:pPr>
      <w:r>
        <w:rPr>
          <w:rFonts w:ascii="Arial Unicode MS" w:hAnsi="Arial Unicode MS" w:eastAsia="Arial Unicode MS"/>
          <w:b w:val="0"/>
          <w:color w:val="6B7280"/>
          <w:sz w:val="24"/>
        </w:rPr>
        <w:t>标准物理压力输入、静态平衡特征、风险规则、版本化重算与客户报告</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4939"/>
        <w:gridCol w:w="4939"/>
      </w:tblGrid>
      <w:tr>
        <w:trPr>
          <w:tblHeader w:val="true"/>
        </w:trPr>
        <w:tc>
          <w:tcPr>
            <w:tcW w:type="dxa" w:w="1843"/>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报告项</w:t>
            </w:r>
          </w:p>
        </w:tc>
        <w:tc>
          <w:tcPr>
            <w:tcW w:type="dxa" w:w="7444"/>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内容</w:t>
            </w:r>
          </w:p>
        </w:tc>
      </w:tr>
      <w:tr>
        <w:tc>
          <w:tcPr>
            <w:tcW w:type="dxa" w:w="1843"/>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报告基准</w:t>
            </w:r>
          </w:p>
        </w:tc>
        <w:tc>
          <w:tcPr>
            <w:tcW w:type="dxa" w:w="74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代码审查：Task D 分支提交 84b0277、d88c5ec；接口基线：136a5e1、fc89868</w:t>
            </w:r>
          </w:p>
        </w:tc>
      </w:tr>
      <w:tr>
        <w:tc>
          <w:tcPr>
            <w:tcW w:type="dxa" w:w="1843"/>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覆盖范围</w:t>
            </w:r>
          </w:p>
        </w:tc>
        <w:tc>
          <w:tcPr>
            <w:tcW w:type="dxa" w:w="74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cloud/analysis、cloud/reporting、cloud/observability 及相应数据库迁移、自动化测试</w:t>
            </w:r>
          </w:p>
        </w:tc>
      </w:tr>
      <w:tr>
        <w:tc>
          <w:tcPr>
            <w:tcW w:type="dxa" w:w="1843"/>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产品定位</w:t>
            </w:r>
          </w:p>
        </w:tc>
        <w:tc>
          <w:tcPr>
            <w:tcW w:type="dxa" w:w="74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机构端健康筛查与风险提示；不作疾病诊断或医疗级跌倒预测结论</w:t>
            </w:r>
          </w:p>
        </w:tc>
      </w:tr>
      <w:tr>
        <w:tc>
          <w:tcPr>
            <w:tcW w:type="dxa" w:w="1843"/>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状态口径</w:t>
            </w:r>
          </w:p>
        </w:tc>
        <w:tc>
          <w:tcPr>
            <w:tcW w:type="dxa" w:w="74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区分：已实现并自动验证 / 已实现待集成或人工验证 / 尚未完成</w:t>
            </w:r>
          </w:p>
        </w:tc>
      </w:tr>
      <w:tr>
        <w:tc>
          <w:tcPr>
            <w:tcW w:type="dxa" w:w="1843"/>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生成日期</w:t>
            </w:r>
          </w:p>
        </w:tc>
        <w:tc>
          <w:tcPr>
            <w:tcW w:type="dxa" w:w="74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9"/>
              </w:rPr>
              <w:t>2026-07-23</w:t>
            </w:r>
          </w:p>
        </w:tc>
      </w:tr>
    </w:tbl>
    <w:p>
      <w:pPr>
        <w:spacing w:after="20"/>
      </w:pPr>
    </w:p>
    <w:tbl>
      <w:tblPr>
        <w:tblW w:type="auto" w:w="0"/>
        <w:jc w:val="center"/>
        <w:tblLayout w:type="fixed"/>
        <w:tblLook w:firstColumn="1" w:firstRow="1" w:lastColumn="0" w:lastRow="0" w:noHBand="0" w:noVBand="1" w:val="04A0"/>
        <w:tblBorders>
          <w:top w:val="single" w:sz="8" w:space="0" w:color="B9D6EA"/>
          <w:left w:val="single" w:sz="8" w:space="0" w:color="B9D6EA"/>
          <w:bottom w:val="single" w:sz="8" w:space="0" w:color="B9D6EA"/>
          <w:right w:val="single" w:sz="8" w:space="0" w:color="B9D6EA"/>
          <w:insideH w:val="single" w:sz="8" w:space="0" w:color="B9D6EA"/>
          <w:insideV w:val="single" w:sz="8" w:space="0" w:color="B9D6EA"/>
        </w:tblBorders>
      </w:tblPr>
      <w:tblGrid>
        <w:gridCol w:w="9878"/>
      </w:tblGrid>
      <w:tr>
        <w:tc>
          <w:tcPr>
            <w:tcW w:type="dxa" w:w="9288"/>
            <w:shd w:fill="FFF4E5"/>
          </w:tcPr>
          <w:p>
            <w:pPr>
              <w:spacing w:before="0" w:after="20" w:line="269" w:lineRule="auto"/>
            </w:pPr>
            <w:r/>
            <w:r>
              <w:rPr>
                <w:rFonts w:ascii="Arial Unicode MS" w:hAnsi="Arial Unicode MS" w:eastAsia="Arial Unicode MS"/>
                <w:b/>
                <w:color w:val="1F4D78"/>
                <w:sz w:val="20"/>
              </w:rPr>
              <w:t xml:space="preserve">结论摘要  </w:t>
            </w:r>
            <w:r>
              <w:rPr>
                <w:rFonts w:ascii="Arial Unicode MS" w:hAnsi="Arial Unicode MS" w:eastAsia="Arial Unicode MS"/>
                <w:b w:val="0"/>
                <w:color w:val="1F2937"/>
                <w:sz w:val="20"/>
              </w:rPr>
              <w:t>算法层已经形成从标准物理压力流到客户安全报告的可重算软件闭环。当前版本的核心能力可用于研发和受控筛查流程验证；真机适配、参考工件、云基础设施、性能、PDF/打印人工检查与临床验证尚未完成，因此不得把自动化测试结果解释为临床有效性或正式发布资格。</w:t>
            </w:r>
          </w:p>
        </w:tc>
      </w:tr>
    </w:tbl>
    <w:p>
      <w:pPr>
        <w:spacing w:after="20"/>
      </w:pPr>
    </w:p>
    <w:p>
      <w:pPr>
        <w:spacing w:before="600" w:after="0" w:line="240" w:lineRule="auto"/>
      </w:pPr>
      <w:r>
        <w:rPr>
          <w:rFonts w:ascii="Arial Unicode MS" w:hAnsi="Arial Unicode MS" w:eastAsia="Arial Unicode MS"/>
          <w:b w:val="0"/>
          <w:color w:val="6B7280"/>
          <w:sz w:val="18"/>
        </w:rPr>
        <w:t>编制对象：产品、算法、硬件、云端与验收团队</w:t>
      </w:r>
    </w:p>
    <w:p>
      <w:r>
        <w:br w:type="page"/>
      </w: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1. 范围、状态与总体结论</w:t>
      </w:r>
    </w:p>
    <w:p>
      <w:pPr>
        <w:spacing w:before="0" w:after="120" w:line="276" w:lineRule="auto"/>
      </w:pPr>
      <w:r>
        <w:rPr>
          <w:rFonts w:ascii="Arial Unicode MS" w:hAnsi="Arial Unicode MS" w:eastAsia="Arial Unicode MS"/>
          <w:b w:val="0"/>
          <w:color w:val="1F2937"/>
          <w:sz w:val="20"/>
        </w:rPr>
        <w:t>本报告汇总当前算法层已经完成的设计与实现。算法层以硬件无关的标准物理输入为唯一入口，负责坐标归一化、COP 与静态平衡特征提取、能力门控、规则式初筛、版本化 AnalysisRun、客户报告构建及最小化运营诊断。</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771"/>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能力域</w:t>
            </w:r>
          </w:p>
        </w:tc>
        <w:tc>
          <w:tcPr>
            <w:tcW w:type="dxa" w:w="5112"/>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当前实现</w:t>
            </w:r>
          </w:p>
        </w:tc>
        <w:tc>
          <w:tcPr>
            <w:tcW w:type="dxa" w:w="2404"/>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验证口径</w:t>
            </w:r>
          </w:p>
        </w:tc>
      </w:tr>
      <w:tr>
        <w:tc>
          <w:tcPr>
            <w:tcW w:type="dxa" w:w="1771"/>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输入与坐标</w:t>
            </w:r>
          </w:p>
        </w:tc>
        <w:tc>
          <w:tcPr>
            <w:tcW w:type="dxa" w:w="5112"/>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physical-pressure-session/1.0 严格解析、单位/时序/几何验证、板坐标→身体 ML/AP</w:t>
            </w:r>
          </w:p>
        </w:tc>
        <w:tc>
          <w:tcPr>
            <w:tcW w:type="dxa" w:w="2404"/>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单元与端到端自动测试</w:t>
            </w:r>
          </w:p>
        </w:tc>
      </w:tr>
      <w:tr>
        <w:tc>
          <w:tcPr>
            <w:tcW w:type="dxa" w:w="1771"/>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特征管线</w:t>
            </w:r>
          </w:p>
        </w:tc>
        <w:tc>
          <w:tcPr>
            <w:tcW w:type="dxa" w:w="5112"/>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COP、速度、RMS、P5–P95 范围、95% 椭圆、载荷/接触面积变异及阶段派生量</w:t>
            </w:r>
          </w:p>
        </w:tc>
        <w:tc>
          <w:tcPr>
            <w:tcW w:type="dxa" w:w="2404"/>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合成物理输入自动测试</w:t>
            </w:r>
          </w:p>
        </w:tc>
      </w:tr>
      <w:tr>
        <w:tc>
          <w:tcPr>
            <w:tcW w:type="dxa" w:w="1771"/>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风险初筛</w:t>
            </w:r>
          </w:p>
        </w:tc>
        <w:tc>
          <w:tcPr>
            <w:tcW w:type="dxa" w:w="5112"/>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背景高风险优先、完成度/安全事件优先、平衡指数 0–100 与低中高分层</w:t>
            </w:r>
          </w:p>
        </w:tc>
        <w:tc>
          <w:tcPr>
            <w:tcW w:type="dxa" w:w="2404"/>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规则测试；阈值仍为暂定</w:t>
            </w:r>
          </w:p>
        </w:tc>
      </w:tr>
      <w:tr>
        <w:tc>
          <w:tcPr>
            <w:tcW w:type="dxa" w:w="1771"/>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重算与报告</w:t>
            </w:r>
          </w:p>
        </w:tc>
        <w:tc>
          <w:tcPr>
            <w:tcW w:type="dxa" w:w="5112"/>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不可变运行键、版本化结果、同一 report_id 的 BASIC→CLOUD_COMPLETE、PDF 工件</w:t>
            </w:r>
          </w:p>
        </w:tc>
        <w:tc>
          <w:tcPr>
            <w:tcW w:type="dxa" w:w="2404"/>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自动测试；PDF/打印待人工检查</w:t>
            </w:r>
          </w:p>
        </w:tc>
      </w:tr>
      <w:tr>
        <w:tc>
          <w:tcPr>
            <w:tcW w:type="dxa" w:w="1771"/>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运营</w:t>
            </w:r>
          </w:p>
        </w:tc>
        <w:tc>
          <w:tcPr>
            <w:tcW w:type="dxa" w:w="5112"/>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安全遥测、告警事件、最小化加密诊断包与支持审计模型</w:t>
            </w:r>
          </w:p>
        </w:tc>
        <w:tc>
          <w:tcPr>
            <w:tcW w:type="dxa" w:w="2404"/>
            <w:shd w:fill="EAF3F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自动测试；云环境演练待完成</w:t>
            </w:r>
          </w:p>
        </w:tc>
      </w:tr>
    </w:tbl>
    <w:p>
      <w:pPr>
        <w:spacing w:after="20"/>
      </w:pPr>
    </w:p>
    <w:p>
      <w:pPr>
        <w:pStyle w:val="Heading2"/>
        <w:spacing w:before="200" w:after="80" w:line="252" w:lineRule="auto"/>
      </w:pPr>
      <w:r/>
      <w:r>
        <w:rPr>
          <w:rFonts w:ascii="Arial Unicode MS" w:hAnsi="Arial Unicode MS" w:eastAsia="Arial Unicode MS"/>
          <w:b/>
          <w:color w:val="2E74B5"/>
          <w:sz w:val="25"/>
        </w:rPr>
        <w:t>状态标识</w:t>
      </w:r>
    </w:p>
    <w:p>
      <w:pPr>
        <w:pStyle w:val="ListBullet"/>
        <w:spacing w:before="0" w:after="60" w:line="264" w:lineRule="auto"/>
        <w:ind w:left="312" w:hanging="142"/>
      </w:pPr>
      <w:r>
        <w:rPr>
          <w:rFonts w:ascii="Arial Unicode MS" w:hAnsi="Arial Unicode MS" w:eastAsia="Arial Unicode MS"/>
          <w:b w:val="0"/>
          <w:sz w:val="20"/>
        </w:rPr>
        <w:t>已实现并自动验证：代码、模型、迁移与 cloud 测试已存在；当前 cloud 测试基线为 114 passed、9 subtests passed。</w:t>
      </w:r>
    </w:p>
    <w:p>
      <w:pPr>
        <w:pStyle w:val="ListBullet"/>
        <w:spacing w:before="0" w:after="60" w:line="264" w:lineRule="auto"/>
        <w:ind w:left="312" w:hanging="142"/>
      </w:pPr>
      <w:r>
        <w:rPr>
          <w:rFonts w:ascii="Arial Unicode MS" w:hAnsi="Arial Unicode MS" w:eastAsia="Arial Unicode MS"/>
          <w:b w:val="0"/>
          <w:sz w:val="20"/>
        </w:rPr>
        <w:t>已实现但待外部验证：需要真实硬件适配证据、真实云资源、性能/容灾、PDF 与物理打印人工检查，或临床/参考人群验证。</w:t>
      </w:r>
    </w:p>
    <w:p>
      <w:pPr>
        <w:pStyle w:val="ListBullet"/>
        <w:spacing w:before="0" w:after="60" w:line="264" w:lineRule="auto"/>
        <w:ind w:left="312" w:hanging="142"/>
      </w:pPr>
      <w:r>
        <w:rPr>
          <w:rFonts w:ascii="Arial Unicode MS" w:hAnsi="Arial Unicode MS" w:eastAsia="Arial Unicode MS"/>
          <w:b w:val="0"/>
          <w:sz w:val="20"/>
        </w:rPr>
        <w:t>明确不宣称：输入的 normal_force_n 只有在硬件标定/不确定度证据合格时才能进入正式能力门控；本版本不提供医疗诊断或医疗级预测。</w:t>
      </w:r>
    </w:p>
    <w:tbl>
      <w:tblPr>
        <w:tblW w:type="auto" w:w="0"/>
        <w:jc w:val="center"/>
        <w:tblLayout w:type="fixed"/>
        <w:tblLook w:firstColumn="1" w:firstRow="1" w:lastColumn="0" w:lastRow="0" w:noHBand="0" w:noVBand="1" w:val="04A0"/>
        <w:tblBorders>
          <w:top w:val="single" w:sz="8" w:space="0" w:color="B9D6EA"/>
          <w:left w:val="single" w:sz="8" w:space="0" w:color="B9D6EA"/>
          <w:bottom w:val="single" w:sz="8" w:space="0" w:color="B9D6EA"/>
          <w:right w:val="single" w:sz="8" w:space="0" w:color="B9D6EA"/>
          <w:insideH w:val="single" w:sz="8" w:space="0" w:color="B9D6EA"/>
          <w:insideV w:val="single" w:sz="8" w:space="0" w:color="B9D6EA"/>
        </w:tblBorders>
      </w:tblPr>
      <w:tblGrid>
        <w:gridCol w:w="9878"/>
      </w:tblGrid>
      <w:tr>
        <w:tc>
          <w:tcPr>
            <w:tcW w:type="dxa" w:w="9288"/>
            <w:shd w:fill="EAF3F9"/>
          </w:tcPr>
          <w:p>
            <w:pPr>
              <w:spacing w:before="0" w:after="20" w:line="269" w:lineRule="auto"/>
            </w:pPr>
            <w:r/>
            <w:r>
              <w:rPr>
                <w:rFonts w:ascii="Arial Unicode MS" w:hAnsi="Arial Unicode MS" w:eastAsia="Arial Unicode MS"/>
                <w:b/>
                <w:color w:val="1F4D78"/>
                <w:sz w:val="20"/>
              </w:rPr>
              <w:t xml:space="preserve">关键边界  </w:t>
            </w:r>
            <w:r>
              <w:rPr>
                <w:rFonts w:ascii="Arial Unicode MS" w:hAnsi="Arial Unicode MS" w:eastAsia="Arial Unicode MS"/>
                <w:b w:val="0"/>
                <w:color w:val="1F2937"/>
                <w:sz w:val="20"/>
              </w:rPr>
              <w:t>硬件层只输出板面坐标、法向载荷、时间、几何、质量与版本溯源。COP、运动学量、特征、风险和报告全部由算法层计算；通信层的加密、签名、重传和对象存储不属于算法层。</w:t>
            </w:r>
          </w:p>
        </w:tc>
      </w:tr>
    </w:tbl>
    <w:p>
      <w:pPr>
        <w:spacing w:after="20"/>
      </w:pP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2. 端到端架构</w:t>
      </w:r>
    </w:p>
    <w:p>
      <w:pPr>
        <w:spacing w:before="0" w:after="120" w:line="276" w:lineRule="auto"/>
      </w:pPr>
      <w:r>
        <w:rPr>
          <w:rFonts w:ascii="Arial Unicode MS" w:hAnsi="Arial Unicode MS" w:eastAsia="Arial Unicode MS"/>
          <w:b w:val="0"/>
          <w:color w:val="1F2937"/>
          <w:sz w:val="20"/>
        </w:rPr>
        <w:t>整体采用“标准输入—确定性特征—能力门控—规则初筛—不可变运行—客户报告”的分层结构。任一版本或质量条件不满足，均不得通过门控向客户释放结果。</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800"/>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层</w:t>
            </w:r>
          </w:p>
        </w:tc>
        <w:tc>
          <w:tcPr>
            <w:tcW w:type="dxa" w:w="3600"/>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职责</w:t>
            </w:r>
          </w:p>
        </w:tc>
        <w:tc>
          <w:tcPr>
            <w:tcW w:type="dxa" w:w="3888"/>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主要实现</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硬件/通信边界</w:t>
            </w:r>
          </w:p>
        </w:tc>
        <w:tc>
          <w:tcPr>
            <w:tcW w:type="dxa" w:w="36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提供真实物理量与版本溯源，不提供算法特征</w:t>
            </w:r>
          </w:p>
        </w:tc>
        <w:tc>
          <w:tcPr>
            <w:tcW w:type="dxa" w:w="38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physical-pressure-session/1.0；坐标、normal_force_n、timestamp_s、质量/标定/不确定度</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输入与规范化</w:t>
            </w:r>
          </w:p>
        </w:tc>
        <w:tc>
          <w:tcPr>
            <w:tcW w:type="dxa" w:w="36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严格校验标准输入并按测试阶段转换身体坐标</w:t>
            </w:r>
          </w:p>
        </w:tc>
        <w:tc>
          <w:tcPr>
            <w:tcW w:type="dxa" w:w="38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physical_input.py、coordinates.py</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特征</w:t>
            </w:r>
          </w:p>
        </w:tc>
        <w:tc>
          <w:tcPr>
            <w:tcW w:type="dxa" w:w="36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从连续有效帧计算 COP 时序和静态平衡指标</w:t>
            </w:r>
          </w:p>
        </w:tc>
        <w:tc>
          <w:tcPr>
            <w:tcW w:type="dxa" w:w="38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features.py</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能力门控</w:t>
            </w:r>
          </w:p>
        </w:tc>
        <w:tc>
          <w:tcPr>
            <w:tcW w:type="dxa" w:w="36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绑定采样率、时长、质量、标定、参数、参考工件与版本</w:t>
            </w:r>
          </w:p>
        </w:tc>
        <w:tc>
          <w:tcPr>
            <w:tcW w:type="dxa" w:w="38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physical_gates.py</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风险与运行</w:t>
            </w:r>
          </w:p>
        </w:tc>
        <w:tc>
          <w:tcPr>
            <w:tcW w:type="dxa" w:w="36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按规则先判高风险背景/安全事件，再给出平衡指数；支持版本化重算</w:t>
            </w:r>
          </w:p>
        </w:tc>
        <w:tc>
          <w:tcPr>
            <w:tcW w:type="dxa" w:w="38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risk_rules.py、physical_orchestrator.py、physical_runs.py</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报告与运营</w:t>
            </w:r>
          </w:p>
        </w:tc>
        <w:tc>
          <w:tcPr>
            <w:tcW w:type="dxa" w:w="36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构建客户安全结果和 PDF；保留内部最小遥测与受控诊断</w:t>
            </w:r>
          </w:p>
        </w:tc>
        <w:tc>
          <w:tcPr>
            <w:tcW w:type="dxa" w:w="38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cloud/reporting、cloud/observability</w:t>
            </w:r>
          </w:p>
        </w:tc>
      </w:tr>
    </w:tbl>
    <w:p>
      <w:pPr>
        <w:spacing w:after="20"/>
      </w:pPr>
    </w:p>
    <w:p>
      <w:r>
        <w:br w:type="page"/>
      </w: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3. 标准输入与空间归一化</w:t>
      </w:r>
    </w:p>
    <w:p>
      <w:pPr>
        <w:spacing w:before="0" w:after="120" w:line="276" w:lineRule="auto"/>
      </w:pPr>
      <w:r>
        <w:rPr>
          <w:rFonts w:ascii="Arial Unicode MS" w:hAnsi="Arial Unicode MS" w:eastAsia="Arial Unicode MS"/>
          <w:b w:val="0"/>
          <w:color w:val="1F2937"/>
          <w:sz w:val="20"/>
        </w:rPr>
        <w:t>算法入口为 physical-pressure-session/1.0。它可适配不同传感器阵列：只要上游提供每个感应点的真实 x_mm、y_mm、法向载荷 normal_force_n、时间戳和板面几何/版本信息，算法即可在真实物理空间统一计算，无需依赖固定的 48×64 阵列。</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2376"/>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输入字段类别</w:t>
            </w:r>
          </w:p>
        </w:tc>
        <w:tc>
          <w:tcPr>
            <w:tcW w:type="dxa" w:w="3916"/>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算法用途</w:t>
            </w:r>
          </w:p>
        </w:tc>
        <w:tc>
          <w:tcPr>
            <w:tcW w:type="dxa" w:w="2995"/>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约束</w:t>
            </w:r>
          </w:p>
        </w:tc>
      </w:tr>
      <w:tr>
        <w:tc>
          <w:tcPr>
            <w:tcW w:type="dxa" w:w="237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cell_id、x_mm、y_mm、ACTIVE/EXCLUDED、active_area_mm2</w:t>
            </w:r>
          </w:p>
        </w:tc>
        <w:tc>
          <w:tcPr>
            <w:tcW w:type="dxa" w:w="39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定义实际感应点坐标与可用区域；接触面积指标在面积未知时安全置空</w:t>
            </w:r>
          </w:p>
        </w:tc>
        <w:tc>
          <w:tcPr>
            <w:tcW w:type="dxa" w:w="299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坐标采用板左上原点，x 向右、y 向下；未知字段拒绝</w:t>
            </w:r>
          </w:p>
        </w:tc>
      </w:tr>
      <w:tr>
        <w:tc>
          <w:tcPr>
            <w:tcW w:type="dxa" w:w="237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timestamp_s、frame validity、normal_force_n</w:t>
            </w:r>
          </w:p>
        </w:tc>
        <w:tc>
          <w:tcPr>
            <w:tcW w:type="dxa" w:w="39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时间序列、COP 加权和帧质量判定</w:t>
            </w:r>
          </w:p>
        </w:tc>
        <w:tc>
          <w:tcPr>
            <w:tcW w:type="dxa" w:w="299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时间严格递增；载荷有限且非负；无效帧不参与特征</w:t>
            </w:r>
          </w:p>
        </w:tc>
      </w:tr>
      <w:tr>
        <w:tc>
          <w:tcPr>
            <w:tcW w:type="dxa" w:w="237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sampling/measurement profile</w:t>
            </w:r>
          </w:p>
        </w:tc>
        <w:tc>
          <w:tcPr>
            <w:tcW w:type="dxa" w:w="39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约束采样率、时长、有效帧率与间隙</w:t>
            </w:r>
          </w:p>
        </w:tc>
        <w:tc>
          <w:tcPr>
            <w:tcW w:type="dxa" w:w="299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正式能力默认最低 18 Hz、每阶段完成至少 19 s、有效帧≥95%</w:t>
            </w:r>
          </w:p>
        </w:tc>
      </w:tr>
      <w:tr>
        <w:tc>
          <w:tcPr>
            <w:tcW w:type="dxa" w:w="237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calibration/conformance/uncertainty versions</w:t>
            </w:r>
          </w:p>
        </w:tc>
        <w:tc>
          <w:tcPr>
            <w:tcW w:type="dxa" w:w="39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确认物理量可用于相应能力</w:t>
            </w:r>
          </w:p>
        </w:tc>
        <w:tc>
          <w:tcPr>
            <w:tcW w:type="dxa" w:w="299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未验证或版本不匹配时，能力门控关闭</w:t>
            </w:r>
          </w:p>
        </w:tc>
      </w:tr>
      <w:tr>
        <w:tc>
          <w:tcPr>
            <w:tcW w:type="dxa" w:w="237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protocol/safety completion</w:t>
            </w:r>
          </w:p>
        </w:tc>
        <w:tc>
          <w:tcPr>
            <w:tcW w:type="dxa" w:w="39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识别四阶段、朝向、前脚及无法完成/安全中止</w:t>
            </w:r>
          </w:p>
        </w:tc>
        <w:tc>
          <w:tcPr>
            <w:tcW w:type="dxa" w:w="299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阶段顺序、方向和完成状态必须完整可追溯</w:t>
            </w:r>
          </w:p>
        </w:tc>
      </w:tr>
    </w:tbl>
    <w:p>
      <w:pPr>
        <w:spacing w:after="20"/>
      </w:pPr>
    </w:p>
    <w:p>
      <w:pPr>
        <w:pStyle w:val="Heading2"/>
        <w:spacing w:before="200" w:after="80" w:line="252" w:lineRule="auto"/>
      </w:pPr>
      <w:r/>
      <w:r>
        <w:rPr>
          <w:rFonts w:ascii="Arial Unicode MS" w:hAnsi="Arial Unicode MS" w:eastAsia="Arial Unicode MS"/>
          <w:b/>
          <w:color w:val="2E74B5"/>
          <w:sz w:val="25"/>
        </w:rPr>
        <w:t>身体坐标转换</w:t>
      </w:r>
    </w:p>
    <w:p>
      <w:pPr>
        <w:spacing w:before="0" w:after="120" w:line="276" w:lineRule="auto"/>
      </w:pPr>
      <w:r>
        <w:rPr>
          <w:rFonts w:ascii="Arial Unicode MS" w:hAnsi="Arial Unicode MS" w:eastAsia="Arial Unicode MS"/>
          <w:b w:val="0"/>
          <w:color w:val="1F2937"/>
          <w:sz w:val="20"/>
        </w:rPr>
        <w:t>为了把板面坐标转为受试者的身体坐标，算法在特征计算前按阶段归一化：正站朝向（FORWARD）为 ML=x、AP=−y；固定左转 90°（LEFT_90）为 ML=−y、AP=−x。该转换与测试动作流程绑定，前提是设备部署和协议版本已明确受试者相对板面的朝向。</w:t>
      </w:r>
    </w:p>
    <w:tbl>
      <w:tblPr>
        <w:tblW w:type="auto" w:w="0"/>
        <w:jc w:val="center"/>
        <w:tblLayout w:type="fixed"/>
        <w:tblLook w:firstColumn="1" w:firstRow="1" w:lastColumn="0" w:lastRow="0" w:noHBand="0" w:noVBand="1" w:val="04A0"/>
        <w:tblBorders>
          <w:top w:val="single" w:sz="8" w:space="0" w:color="B9D6EA"/>
          <w:left w:val="single" w:sz="8" w:space="0" w:color="B9D6EA"/>
          <w:bottom w:val="single" w:sz="8" w:space="0" w:color="B9D6EA"/>
          <w:right w:val="single" w:sz="8" w:space="0" w:color="B9D6EA"/>
          <w:insideH w:val="single" w:sz="8" w:space="0" w:color="B9D6EA"/>
          <w:insideV w:val="single" w:sz="8" w:space="0" w:color="B9D6EA"/>
        </w:tblBorders>
      </w:tblPr>
      <w:tblGrid>
        <w:gridCol w:w="9878"/>
      </w:tblGrid>
      <w:tr>
        <w:tc>
          <w:tcPr>
            <w:tcW w:type="dxa" w:w="9288"/>
            <w:shd w:fill="EAF3F9"/>
          </w:tcPr>
          <w:p>
            <w:pPr>
              <w:spacing w:before="0" w:after="20" w:line="269" w:lineRule="auto"/>
            </w:pPr>
            <w:r/>
            <w:r>
              <w:rPr>
                <w:rFonts w:ascii="Arial Unicode MS" w:hAnsi="Arial Unicode MS" w:eastAsia="Arial Unicode MS"/>
                <w:b/>
                <w:color w:val="1F4D78"/>
                <w:sz w:val="20"/>
              </w:rPr>
              <w:t xml:space="preserve">为什么放在算法层  </w:t>
            </w:r>
            <w:r>
              <w:rPr>
                <w:rFonts w:ascii="Arial Unicode MS" w:hAnsi="Arial Unicode MS" w:eastAsia="Arial Unicode MS"/>
                <w:b w:val="0"/>
                <w:color w:val="1F2937"/>
                <w:sz w:val="20"/>
              </w:rPr>
              <w:t>坐标转换、COP、速度、波动范围和风险变量均属于可迭代、可版本化的分析方法。硬件只需确保物理位置、载荷和时间的可溯源性；这样可在更换阵列或调整算法时保持接口稳定。</w:t>
            </w:r>
          </w:p>
        </w:tc>
      </w:tr>
    </w:tbl>
    <w:p>
      <w:pPr>
        <w:spacing w:after="20"/>
      </w:pPr>
    </w:p>
    <w:p>
      <w:pPr>
        <w:pStyle w:val="Heading2"/>
        <w:spacing w:before="200" w:after="80" w:line="252" w:lineRule="auto"/>
      </w:pPr>
      <w:r/>
      <w:r>
        <w:rPr>
          <w:rFonts w:ascii="Arial Unicode MS" w:hAnsi="Arial Unicode MS" w:eastAsia="Arial Unicode MS"/>
          <w:b/>
          <w:color w:val="2E74B5"/>
          <w:sz w:val="25"/>
        </w:rPr>
        <w:t>固定测试协议</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2469"/>
        <w:gridCol w:w="2469"/>
        <w:gridCol w:w="2469"/>
        <w:gridCol w:w="2469"/>
      </w:tblGrid>
      <w:tr>
        <w:trPr>
          <w:tblHeader w:val="true"/>
        </w:trPr>
        <w:tc>
          <w:tcPr>
            <w:tcW w:type="dxa" w:w="691"/>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序号</w:t>
            </w:r>
          </w:p>
        </w:tc>
        <w:tc>
          <w:tcPr>
            <w:tcW w:type="dxa" w:w="2736"/>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阶段</w:t>
            </w:r>
          </w:p>
        </w:tc>
        <w:tc>
          <w:tcPr>
            <w:tcW w:type="dxa" w:w="3671"/>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动作与时长</w:t>
            </w:r>
          </w:p>
        </w:tc>
        <w:tc>
          <w:tcPr>
            <w:tcW w:type="dxa" w:w="2188"/>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分析含义</w:t>
            </w:r>
          </w:p>
        </w:tc>
      </w:tr>
      <w:tr>
        <w:tc>
          <w:tcPr>
            <w:tcW w:type="dxa" w:w="69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1</w:t>
            </w:r>
          </w:p>
        </w:tc>
        <w:tc>
          <w:tcPr>
            <w:tcW w:type="dxa" w:w="273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BILATERAL_EYES_OPEN</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双脚并拢、正站、睁眼 20 秒</w:t>
            </w:r>
          </w:p>
        </w:tc>
        <w:tc>
          <w:tcPr>
            <w:tcW w:type="dxa" w:w="21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基础静态平衡基线</w:t>
            </w:r>
          </w:p>
        </w:tc>
      </w:tr>
      <w:tr>
        <w:tc>
          <w:tcPr>
            <w:tcW w:type="dxa" w:w="69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2</w:t>
            </w:r>
          </w:p>
        </w:tc>
        <w:tc>
          <w:tcPr>
            <w:tcW w:type="dxa" w:w="273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BILATERAL_EYES_CLOSED</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双脚并拢、正站、闭眼 20 秒</w:t>
            </w:r>
          </w:p>
        </w:tc>
        <w:tc>
          <w:tcPr>
            <w:tcW w:type="dxa" w:w="21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视觉撤除挑战；与基线比较</w:t>
            </w:r>
          </w:p>
        </w:tc>
      </w:tr>
      <w:tr>
        <w:tc>
          <w:tcPr>
            <w:tcW w:type="dxa" w:w="69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3</w:t>
            </w:r>
          </w:p>
        </w:tc>
        <w:tc>
          <w:tcPr>
            <w:tcW w:type="dxa" w:w="273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SEMI_TANDEM_LEFT_FORWARD</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固定左转 90°、半串联、左脚在前、睁眼 20 秒</w:t>
            </w:r>
          </w:p>
        </w:tc>
        <w:tc>
          <w:tcPr>
            <w:tcW w:type="dxa" w:w="21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缩小支撑面挑战；前脚条件</w:t>
            </w:r>
          </w:p>
        </w:tc>
      </w:tr>
      <w:tr>
        <w:tc>
          <w:tcPr>
            <w:tcW w:type="dxa" w:w="69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4</w:t>
            </w:r>
          </w:p>
        </w:tc>
        <w:tc>
          <w:tcPr>
            <w:tcW w:type="dxa" w:w="273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SEMI_TANDEM_RIGHT_FORWARD</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固定左转 90°、半串联、右脚在前、睁眼 20 秒</w:t>
            </w:r>
          </w:p>
        </w:tc>
        <w:tc>
          <w:tcPr>
            <w:tcW w:type="dxa" w:w="218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左右前脚差异与挑战表现</w:t>
            </w:r>
          </w:p>
        </w:tc>
      </w:tr>
    </w:tbl>
    <w:p>
      <w:pPr>
        <w:spacing w:after="20"/>
      </w:pP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4. 特征提取方法</w:t>
      </w:r>
    </w:p>
    <w:p>
      <w:pPr>
        <w:spacing w:before="0" w:after="120" w:line="276" w:lineRule="auto"/>
      </w:pPr>
      <w:r>
        <w:rPr>
          <w:rFonts w:ascii="Arial Unicode MS" w:hAnsi="Arial Unicode MS" w:eastAsia="Arial Unicode MS"/>
          <w:b w:val="0"/>
          <w:color w:val="1F2937"/>
          <w:sz w:val="20"/>
        </w:rPr>
        <w:t>特征管线以每个有效时间帧的法向载荷对物理坐标加权，得到 COP（压力中心）时序；再仅在连续有效段内计算速度、波动与面积。对于超出允许间隙的缺帧，算法不跨段连接，避免把采集缺失误判为身体运动。可选的中值去尖峰和 Butterworth 低通仅在连续段内应用。</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800"/>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指标组</w:t>
            </w:r>
          </w:p>
        </w:tc>
        <w:tc>
          <w:tcPr>
            <w:tcW w:type="dxa" w:w="3671"/>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已实现指标</w:t>
            </w:r>
          </w:p>
        </w:tc>
        <w:tc>
          <w:tcPr>
            <w:tcW w:type="dxa" w:w="3816"/>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用途 / 注意事项</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COP 轨迹</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ML/AP COP 时序、COP 路径长度</w:t>
            </w:r>
          </w:p>
        </w:tc>
        <w:tc>
          <w:tcPr>
            <w:tcW w:type="dxa" w:w="38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真实毫米单位；仅由有效帧且总载荷&gt;0的帧参与</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速度</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总、ML、AP 平均 COP 速度</w:t>
            </w:r>
          </w:p>
        </w:tc>
        <w:tc>
          <w:tcPr>
            <w:tcW w:type="dxa" w:w="38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反映轨迹变化速率；不跨越大间隙</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波动</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ML/AP RMS；ML/AP P5–P95 范围</w:t>
            </w:r>
          </w:p>
        </w:tc>
        <w:tc>
          <w:tcPr>
            <w:tcW w:type="dxa" w:w="38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量化前后与左右方向的稳定性波动</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面积</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95% 椭圆面积</w:t>
            </w:r>
          </w:p>
        </w:tc>
        <w:tc>
          <w:tcPr>
            <w:tcW w:type="dxa" w:w="38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描述 COP 分布范围；用于当前风险评分主要输入之一</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载荷/接触</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总载荷 CV；接触面积变异</w:t>
            </w:r>
          </w:p>
        </w:tc>
        <w:tc>
          <w:tcPr>
            <w:tcW w:type="dxa" w:w="38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接触面积在 active_area_mm2 缺失时返回 null，不伪造结果</w:t>
            </w:r>
          </w:p>
        </w:tc>
      </w:tr>
      <w:tr>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跨阶段派生</w:t>
            </w:r>
          </w:p>
        </w:tc>
        <w:tc>
          <w:tcPr>
            <w:tcW w:type="dxa" w:w="3671"/>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闭眼/睁眼变化、半串联挑战、左右前脚差异</w:t>
            </w:r>
          </w:p>
        </w:tc>
        <w:tc>
          <w:tcPr>
            <w:tcW w:type="dxa" w:w="381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以个人正站基线进行相对比较，减少绝对量依赖</w:t>
            </w:r>
          </w:p>
        </w:tc>
      </w:tr>
    </w:tbl>
    <w:p>
      <w:pPr>
        <w:spacing w:after="20"/>
      </w:pPr>
    </w:p>
    <w:p>
      <w:r>
        <w:br w:type="page"/>
      </w: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5. 能力门控、风险初筛与平衡指数</w:t>
      </w:r>
    </w:p>
    <w:p>
      <w:pPr>
        <w:spacing w:before="0" w:after="120" w:line="276" w:lineRule="auto"/>
      </w:pPr>
      <w:r>
        <w:rPr>
          <w:rFonts w:ascii="Arial Unicode MS" w:hAnsi="Arial Unicode MS" w:eastAsia="Arial Unicode MS"/>
          <w:b w:val="0"/>
          <w:color w:val="1F2937"/>
          <w:sz w:val="20"/>
        </w:rPr>
        <w:t>当前风险模块定位为机构筛查辅助，而不是诊断。它以规则优先级而非固定加权求和处理明显高风险背景、测试未完成和安全事件：这些事实不能被表现较好的某一项足压指标“平均掉”。</w:t>
      </w:r>
    </w:p>
    <w:p>
      <w:pPr>
        <w:pStyle w:val="Heading2"/>
        <w:spacing w:before="200" w:after="80" w:line="252" w:lineRule="auto"/>
      </w:pPr>
      <w:r/>
      <w:r>
        <w:rPr>
          <w:rFonts w:ascii="Arial Unicode MS" w:hAnsi="Arial Unicode MS" w:eastAsia="Arial Unicode MS"/>
          <w:b/>
          <w:color w:val="2E74B5"/>
          <w:sz w:val="25"/>
        </w:rPr>
        <w:t>能力门控（正式客户结果的前置条件）</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756"/>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门控维度</w:t>
            </w:r>
          </w:p>
        </w:tc>
        <w:tc>
          <w:tcPr>
            <w:tcW w:type="dxa" w:w="4752"/>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已实现校验</w:t>
            </w:r>
          </w:p>
        </w:tc>
        <w:tc>
          <w:tcPr>
            <w:tcW w:type="dxa" w:w="2779"/>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不满足时</w:t>
            </w:r>
          </w:p>
        </w:tc>
      </w:tr>
      <w:tr>
        <w:tc>
          <w:tcPr>
            <w:tcW w:type="dxa" w:w="175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输入完整性</w:t>
            </w:r>
          </w:p>
        </w:tc>
        <w:tc>
          <w:tcPr>
            <w:tcW w:type="dxa" w:w="475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schema、字段、单位、时序、协议阶段与测量一致性</w:t>
            </w:r>
          </w:p>
        </w:tc>
        <w:tc>
          <w:tcPr>
            <w:tcW w:type="dxa" w:w="277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拒绝或标为 UNSUPPORTED；不返回 public_result</w:t>
            </w:r>
          </w:p>
        </w:tc>
      </w:tr>
      <w:tr>
        <w:tc>
          <w:tcPr>
            <w:tcW w:type="dxa" w:w="175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采集质量</w:t>
            </w:r>
          </w:p>
        </w:tc>
        <w:tc>
          <w:tcPr>
            <w:tcW w:type="dxa" w:w="475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采样率、阶段时长、有效帧比例、最大时间间隙</w:t>
            </w:r>
          </w:p>
        </w:tc>
        <w:tc>
          <w:tcPr>
            <w:tcW w:type="dxa" w:w="277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不释放特征/风险结果</w:t>
            </w:r>
          </w:p>
        </w:tc>
      </w:tr>
      <w:tr>
        <w:tc>
          <w:tcPr>
            <w:tcW w:type="dxa" w:w="175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物理可信度</w:t>
            </w:r>
          </w:p>
        </w:tc>
        <w:tc>
          <w:tcPr>
            <w:tcW w:type="dxa" w:w="475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标定、几何验证、测量一致性、不确定度版本</w:t>
            </w:r>
          </w:p>
        </w:tc>
        <w:tc>
          <w:tcPr>
            <w:tcW w:type="dxa" w:w="277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关闭相应能力；避免把未证实载荷当正式物理量</w:t>
            </w:r>
          </w:p>
        </w:tc>
      </w:tr>
      <w:tr>
        <w:tc>
          <w:tcPr>
            <w:tcW w:type="dxa" w:w="175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算法版本</w:t>
            </w:r>
          </w:p>
        </w:tc>
        <w:tc>
          <w:tcPr>
            <w:tcW w:type="dxa" w:w="475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特征管线和参数 SHA、协议、规则、适配器、参考工件、描述符批准状态</w:t>
            </w:r>
          </w:p>
        </w:tc>
        <w:tc>
          <w:tcPr>
            <w:tcW w:type="dxa" w:w="277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版本不完全匹配即关闭能力</w:t>
            </w:r>
          </w:p>
        </w:tc>
      </w:tr>
    </w:tbl>
    <w:p>
      <w:pPr>
        <w:spacing w:after="20"/>
      </w:pPr>
    </w:p>
    <w:p>
      <w:pPr>
        <w:pStyle w:val="Heading2"/>
        <w:spacing w:before="200" w:after="80" w:line="252" w:lineRule="auto"/>
      </w:pPr>
      <w:r/>
      <w:r>
        <w:rPr>
          <w:rFonts w:ascii="Arial Unicode MS" w:hAnsi="Arial Unicode MS" w:eastAsia="Arial Unicode MS"/>
          <w:b/>
          <w:color w:val="2E74B5"/>
          <w:sz w:val="25"/>
        </w:rPr>
        <w:t>规则式初筛顺序</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007"/>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优先级</w:t>
            </w:r>
          </w:p>
        </w:tc>
        <w:tc>
          <w:tcPr>
            <w:tcW w:type="dxa" w:w="4320"/>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规则来源</w:t>
            </w:r>
          </w:p>
        </w:tc>
        <w:tc>
          <w:tcPr>
            <w:tcW w:type="dxa" w:w="3960"/>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结果处理</w:t>
            </w:r>
          </w:p>
        </w:tc>
      </w:tr>
      <w:tr>
        <w:tc>
          <w:tcPr>
            <w:tcW w:type="dxa" w:w="1007"/>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1</w:t>
            </w:r>
          </w:p>
        </w:tc>
        <w:tc>
          <w:tcPr>
            <w:tcW w:type="dxa" w:w="4320"/>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技术无效：输入、质量或能力门控失败</w:t>
            </w:r>
          </w:p>
        </w:tc>
        <w:tc>
          <w:tcPr>
            <w:tcW w:type="dxa" w:w="3960"/>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不评分；仅给出客户安全的“无法完成本次评估”结论</w:t>
            </w:r>
          </w:p>
        </w:tc>
      </w:tr>
      <w:tr>
        <w:tc>
          <w:tcPr>
            <w:tcW w:type="dxa" w:w="1007"/>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2</w:t>
            </w:r>
          </w:p>
        </w:tc>
        <w:tc>
          <w:tcPr>
            <w:tcW w:type="dxa" w:w="4320"/>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完成度与安全：无法保持动作、扶栏/工作人员支持、近跌倒或安全中止</w:t>
            </w:r>
          </w:p>
        </w:tc>
        <w:tc>
          <w:tcPr>
            <w:tcW w:type="dxa" w:w="3960"/>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提高/限制风险等级；不能因缺失足压特征而得到高分</w:t>
            </w:r>
          </w:p>
        </w:tc>
      </w:tr>
      <w:tr>
        <w:tc>
          <w:tcPr>
            <w:tcW w:type="dxa" w:w="1007"/>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3</w:t>
            </w:r>
          </w:p>
        </w:tc>
        <w:tc>
          <w:tcPr>
            <w:tcW w:type="dxa" w:w="4320"/>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明确高风险背景：近 12 个月跌倒史或反复头晕</w:t>
            </w:r>
          </w:p>
        </w:tc>
        <w:tc>
          <w:tcPr>
            <w:tcW w:type="dxa" w:w="3960"/>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高风险优先；平衡表现只作为辅助说明</w:t>
            </w:r>
          </w:p>
        </w:tc>
      </w:tr>
      <w:tr>
        <w:tc>
          <w:tcPr>
            <w:tcW w:type="dxa" w:w="1007"/>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4</w:t>
            </w:r>
          </w:p>
        </w:tc>
        <w:tc>
          <w:tcPr>
            <w:tcW w:type="dxa" w:w="4320"/>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其他背景标签：镇静催眠、精神作用、阿片镇痛、降压药等类别标签</w:t>
            </w:r>
          </w:p>
        </w:tc>
        <w:tc>
          <w:tcPr>
            <w:tcW w:type="dxa" w:w="3960"/>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作为中等背景风险，不记录药名或剂量</w:t>
            </w:r>
          </w:p>
        </w:tc>
      </w:tr>
      <w:tr>
        <w:tc>
          <w:tcPr>
            <w:tcW w:type="dxa" w:w="1007"/>
            <w:shd w:fill="E8F5E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5</w:t>
            </w:r>
          </w:p>
        </w:tc>
        <w:tc>
          <w:tcPr>
            <w:tcW w:type="dxa" w:w="4320"/>
            <w:shd w:fill="E8F5E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无强背景风险时的平衡表现</w:t>
            </w:r>
          </w:p>
        </w:tc>
        <w:tc>
          <w:tcPr>
            <w:tcW w:type="dxa" w:w="3960"/>
            <w:shd w:fill="E8F5E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基于闭眼变化、半串联挑战和左右前脚差异生成主要评分依据</w:t>
            </w:r>
          </w:p>
        </w:tc>
      </w:tr>
    </w:tbl>
    <w:p>
      <w:pPr>
        <w:spacing w:after="20"/>
      </w:pPr>
    </w:p>
    <w:p>
      <w:pPr>
        <w:pStyle w:val="Heading2"/>
        <w:spacing w:before="200" w:after="80" w:line="252" w:lineRule="auto"/>
      </w:pPr>
      <w:r/>
      <w:r>
        <w:rPr>
          <w:rFonts w:ascii="Arial Unicode MS" w:hAnsi="Arial Unicode MS" w:eastAsia="Arial Unicode MS"/>
          <w:b/>
          <w:color w:val="2E74B5"/>
          <w:sz w:val="25"/>
        </w:rPr>
        <w:t>0–100 平衡能力指数</w:t>
      </w:r>
    </w:p>
    <w:p>
      <w:pPr>
        <w:spacing w:before="0" w:after="120" w:line="276" w:lineRule="auto"/>
      </w:pPr>
      <w:r>
        <w:rPr>
          <w:rFonts w:ascii="Arial Unicode MS" w:hAnsi="Arial Unicode MS" w:eastAsia="Arial Unicode MS"/>
          <w:b w:val="0"/>
          <w:color w:val="1F2937"/>
          <w:sz w:val="20"/>
        </w:rPr>
        <w:t>平衡指数采用“先分层、再计分”的保护性方法。算法根据闭眼/睁眼椭圆面积比、最差半串联/基线椭圆面积比、左右前脚椭圆面积差生成暂定扣分；然后由技术有效性、完成度/安全事件和高风险背景规则限制最终分数及风险等级。低、中、高风险当前对应 80–100、60–79、0–59，但阈值及参考人群尚未完成临床验证，版本中明确标注为暂定。</w:t>
      </w:r>
    </w:p>
    <w:tbl>
      <w:tblPr>
        <w:tblW w:type="auto" w:w="0"/>
        <w:jc w:val="center"/>
        <w:tblLayout w:type="fixed"/>
        <w:tblLook w:firstColumn="1" w:firstRow="1" w:lastColumn="0" w:lastRow="0" w:noHBand="0" w:noVBand="1" w:val="04A0"/>
        <w:tblBorders>
          <w:top w:val="single" w:sz="8" w:space="0" w:color="B9D6EA"/>
          <w:left w:val="single" w:sz="8" w:space="0" w:color="B9D6EA"/>
          <w:bottom w:val="single" w:sz="8" w:space="0" w:color="B9D6EA"/>
          <w:right w:val="single" w:sz="8" w:space="0" w:color="B9D6EA"/>
          <w:insideH w:val="single" w:sz="8" w:space="0" w:color="B9D6EA"/>
          <w:insideV w:val="single" w:sz="8" w:space="0" w:color="B9D6EA"/>
        </w:tblBorders>
      </w:tblPr>
      <w:tblGrid>
        <w:gridCol w:w="9878"/>
      </w:tblGrid>
      <w:tr>
        <w:tc>
          <w:tcPr>
            <w:tcW w:type="dxa" w:w="9288"/>
            <w:shd w:fill="EAF3F9"/>
          </w:tcPr>
          <w:p>
            <w:pPr>
              <w:spacing w:before="0" w:after="20" w:line="269" w:lineRule="auto"/>
            </w:pPr>
            <w:r/>
            <w:r>
              <w:rPr>
                <w:rFonts w:ascii="Arial Unicode MS" w:hAnsi="Arial Unicode MS" w:eastAsia="Arial Unicode MS"/>
                <w:b/>
                <w:color w:val="1F4D78"/>
                <w:sz w:val="20"/>
              </w:rPr>
              <w:t xml:space="preserve">解释原则  </w:t>
            </w:r>
            <w:r>
              <w:rPr>
                <w:rFonts w:ascii="Arial Unicode MS" w:hAnsi="Arial Unicode MS" w:eastAsia="Arial Unicode MS"/>
                <w:b w:val="0"/>
                <w:color w:val="1F2937"/>
                <w:sz w:val="20"/>
              </w:rPr>
              <w:t>当前并未主张“25%、25%、40%、40%”等固定临床权重。差异通过规则与阈值进入评分，并以高优先级安全规则覆盖；这样既保留可解释性，也避免固定加权掩盖明确风险。</w:t>
            </w:r>
          </w:p>
        </w:tc>
      </w:tr>
    </w:tbl>
    <w:p>
      <w:pPr>
        <w:spacing w:after="20"/>
      </w:pP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6. AnalysisRun、重算与数据模型</w:t>
      </w:r>
    </w:p>
    <w:p>
      <w:pPr>
        <w:spacing w:before="0" w:after="120" w:line="276" w:lineRule="auto"/>
      </w:pPr>
      <w:r>
        <w:rPr>
          <w:rFonts w:ascii="Arial Unicode MS" w:hAnsi="Arial Unicode MS" w:eastAsia="Arial Unicode MS"/>
          <w:b w:val="0"/>
          <w:color w:val="1F2937"/>
          <w:sz w:val="20"/>
        </w:rPr>
        <w:t>每次云端完整会话触发都会形成带完整版本身份的不可变 PhysicalAnalysisRunKey。运行键绑定会话清单、适配器、输入/测量/标定/不确定度、协议、特征管线、规则集、参考人群/工件、问卷快照、结果 schema 与关联 ID。相同输入和版本可幂等复用；任一版本变化则创建可审计的新运行。</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2232"/>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对象</w:t>
            </w:r>
          </w:p>
        </w:tc>
        <w:tc>
          <w:tcPr>
            <w:tcW w:type="dxa" w:w="4824"/>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已实现的职责</w:t>
            </w:r>
          </w:p>
        </w:tc>
        <w:tc>
          <w:tcPr>
            <w:tcW w:type="dxa" w:w="1800"/>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可追溯性</w:t>
            </w:r>
          </w:p>
        </w:tc>
      </w:tr>
      <w:tr>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CompleteSessionEvent</w:t>
            </w:r>
          </w:p>
        </w:tc>
        <w:tc>
          <w:tcPr>
            <w:tcW w:type="dxa" w:w="482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仅接受 INGESTED_COMPLETE 的完整会话，携带分析所需版本身份</w:t>
            </w:r>
          </w:p>
        </w:tc>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事件级关联 ID 与版本字段</w:t>
            </w:r>
          </w:p>
        </w:tc>
      </w:tr>
      <w:tr>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PhysicalAnalysisRunKey / AnalysisRun</w:t>
            </w:r>
          </w:p>
        </w:tc>
        <w:tc>
          <w:tcPr>
            <w:tcW w:type="dxa" w:w="482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不可变、幂等、支持同会话不同版本重算</w:t>
            </w:r>
          </w:p>
        </w:tc>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运行状态：SUCCEEDED / UNSUPPORTED / FAILED</w:t>
            </w:r>
          </w:p>
        </w:tc>
      </w:tr>
      <w:tr>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FeatureSet / MetricResult</w:t>
            </w:r>
          </w:p>
        </w:tc>
        <w:tc>
          <w:tcPr>
            <w:tcW w:type="dxa" w:w="482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保存版本化特征与指标结果</w:t>
            </w:r>
          </w:p>
        </w:tc>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指标与管线/参数版本可关联</w:t>
            </w:r>
          </w:p>
        </w:tc>
      </w:tr>
      <w:tr>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Questionnaire snapshot</w:t>
            </w:r>
          </w:p>
        </w:tc>
        <w:tc>
          <w:tcPr>
            <w:tcW w:type="dxa" w:w="482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年龄、跌倒史、头晕和药物类别标签的确定性 SHA-256 摘要</w:t>
            </w:r>
          </w:p>
        </w:tc>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事件与输入快照不一致即失败，不混用背景信息</w:t>
            </w:r>
          </w:p>
        </w:tc>
      </w:tr>
      <w:tr>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数据库迁移</w:t>
            </w:r>
          </w:p>
        </w:tc>
        <w:tc>
          <w:tcPr>
            <w:tcW w:type="dxa" w:w="482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分析、报告、遥测/告警/诊断表及不可变性/RLS 设计</w:t>
            </w:r>
          </w:p>
        </w:tc>
        <w:tc>
          <w:tcPr>
            <w:tcW w:type="dxa" w:w="18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生产数据库和队列/对象存储集成仍待验证</w:t>
            </w:r>
          </w:p>
        </w:tc>
      </w:tr>
    </w:tbl>
    <w:p>
      <w:pPr>
        <w:spacing w:after="20"/>
      </w:pPr>
    </w:p>
    <w:p>
      <w:r>
        <w:br w:type="page"/>
      </w: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7. 客户报告、PDF 与运营诊断</w:t>
      </w:r>
    </w:p>
    <w:p>
      <w:pPr>
        <w:pStyle w:val="Heading2"/>
        <w:spacing w:before="200" w:after="80" w:line="252" w:lineRule="auto"/>
      </w:pPr>
      <w:r/>
      <w:r>
        <w:rPr>
          <w:rFonts w:ascii="Arial Unicode MS" w:hAnsi="Arial Unicode MS" w:eastAsia="Arial Unicode MS"/>
          <w:b/>
          <w:color w:val="2E74B5"/>
          <w:sz w:val="25"/>
        </w:rPr>
        <w:t>统一报告与 PDF</w:t>
      </w:r>
    </w:p>
    <w:p>
      <w:pPr>
        <w:spacing w:before="0" w:after="120" w:line="276" w:lineRule="auto"/>
      </w:pPr>
      <w:r>
        <w:rPr>
          <w:rFonts w:ascii="Arial Unicode MS" w:hAnsi="Arial Unicode MS" w:eastAsia="Arial Unicode MS"/>
          <w:b w:val="0"/>
          <w:color w:val="1F2937"/>
          <w:sz w:val="20"/>
        </w:rPr>
        <w:t>报告服务支持相同 report_id 下的版本演进：本地基础版为 BASIC，云端分析完成后生成 CLOUD_COMPLETE 完整版。客户报告只呈现风险等级、平衡指数、完成情况、经允许的专业指标和 ML/AP 曲线；不会包含原始帧、校准/不确定度、内部质量细节、日志追踪、对象存储键、诊断信息或药物标签。</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944"/>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报告能力</w:t>
            </w:r>
          </w:p>
        </w:tc>
        <w:tc>
          <w:tcPr>
            <w:tcW w:type="dxa" w:w="4464"/>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当前已实现</w:t>
            </w:r>
          </w:p>
        </w:tc>
        <w:tc>
          <w:tcPr>
            <w:tcW w:type="dxa" w:w="2448"/>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客户可见边界</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基础版→完整版</w:t>
            </w:r>
          </w:p>
        </w:tc>
        <w:tc>
          <w:tcPr>
            <w:tcW w:type="dxa" w:w="446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同一 report_id、不可变版本、服务层构建</w:t>
            </w:r>
          </w:p>
        </w:tc>
        <w:tc>
          <w:tcPr>
            <w:tcW w:type="dxa" w:w="244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客户仅见相应版本的摘要和被允许指标</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专业参数</w:t>
            </w:r>
          </w:p>
        </w:tc>
        <w:tc>
          <w:tcPr>
            <w:tcW w:type="dxa" w:w="446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静态平衡指标与 ML/AP COP 曲线可呈现</w:t>
            </w:r>
          </w:p>
        </w:tc>
        <w:tc>
          <w:tcPr>
            <w:tcW w:type="dxa" w:w="244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仅在能力门控通过时出现；内部质量信息不出现</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PDF 工件</w:t>
            </w:r>
          </w:p>
        </w:tc>
        <w:tc>
          <w:tcPr>
            <w:tcW w:type="dxa" w:w="446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安全报告模型与 PDF 生成服务</w:t>
            </w:r>
          </w:p>
        </w:tc>
        <w:tc>
          <w:tcPr>
            <w:tcW w:type="dxa" w:w="244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自动测试覆盖；真实打印排版/人工复核未完成</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风险文本</w:t>
            </w:r>
          </w:p>
        </w:tc>
        <w:tc>
          <w:tcPr>
            <w:tcW w:type="dxa" w:w="446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筛查提示与后续建议的安全表达</w:t>
            </w:r>
          </w:p>
        </w:tc>
        <w:tc>
          <w:tcPr>
            <w:tcW w:type="dxa" w:w="244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明确非诊断；高风险建议进一步专业评估</w:t>
            </w:r>
          </w:p>
        </w:tc>
      </w:tr>
    </w:tbl>
    <w:p>
      <w:pPr>
        <w:spacing w:after="20"/>
      </w:pPr>
    </w:p>
    <w:p>
      <w:pPr>
        <w:pStyle w:val="Heading2"/>
        <w:spacing w:before="200" w:after="80" w:line="252" w:lineRule="auto"/>
      </w:pPr>
      <w:r/>
      <w:r>
        <w:rPr>
          <w:rFonts w:ascii="Arial Unicode MS" w:hAnsi="Arial Unicode MS" w:eastAsia="Arial Unicode MS"/>
          <w:b/>
          <w:color w:val="2E74B5"/>
          <w:sz w:val="25"/>
        </w:rPr>
        <w:t>运营与支持诊断</w:t>
      </w:r>
    </w:p>
    <w:p>
      <w:pPr>
        <w:spacing w:before="0" w:after="120" w:line="276" w:lineRule="auto"/>
      </w:pPr>
      <w:r>
        <w:rPr>
          <w:rFonts w:ascii="Arial Unicode MS" w:hAnsi="Arial Unicode MS" w:eastAsia="Arial Unicode MS"/>
          <w:b w:val="0"/>
          <w:color w:val="1F2937"/>
          <w:sz w:val="20"/>
        </w:rPr>
        <w:t>可观测性模块建立了安全字段白名单、错误代码、SLI 采样、告警规则/事件、有限容量遥测队列，以及需要授权与审计的最小化加密诊断包。其目标是让支持团队能够定位链路和算法版本问题，同时避免把客户原始数据、内部质量细节或敏感背景信息暴露到报告和普通遥测中。</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728"/>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模块</w:t>
            </w:r>
          </w:p>
        </w:tc>
        <w:tc>
          <w:tcPr>
            <w:tcW w:type="dxa" w:w="4896"/>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已实现方法</w:t>
            </w:r>
          </w:p>
        </w:tc>
        <w:tc>
          <w:tcPr>
            <w:tcW w:type="dxa" w:w="2232"/>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仍需验证</w:t>
            </w:r>
          </w:p>
        </w:tc>
      </w:tr>
      <w:tr>
        <w:tc>
          <w:tcPr>
            <w:tcW w:type="dxa" w:w="172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安全遥测</w:t>
            </w:r>
          </w:p>
        </w:tc>
        <w:tc>
          <w:tcPr>
            <w:tcW w:type="dxa" w:w="489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字段白名单与客户安全错误信息；内部错误码单独保存</w:t>
            </w:r>
          </w:p>
        </w:tc>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真实云端日志/权限/保留策略</w:t>
            </w:r>
          </w:p>
        </w:tc>
      </w:tr>
      <w:tr>
        <w:tc>
          <w:tcPr>
            <w:tcW w:type="dxa" w:w="172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告警</w:t>
            </w:r>
          </w:p>
        </w:tc>
        <w:tc>
          <w:tcPr>
            <w:tcW w:type="dxa" w:w="489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规则→事件/事故模型，支持监控 SLI</w:t>
            </w:r>
          </w:p>
        </w:tc>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告警路由、静默、升级与演练</w:t>
            </w:r>
          </w:p>
        </w:tc>
      </w:tr>
      <w:tr>
        <w:tc>
          <w:tcPr>
            <w:tcW w:type="dxa" w:w="1728"/>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诊断包</w:t>
            </w:r>
          </w:p>
        </w:tc>
        <w:tc>
          <w:tcPr>
            <w:tcW w:type="dxa" w:w="4896"/>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最小化加密压缩包、授权与支持审计模型</w:t>
            </w:r>
          </w:p>
        </w:tc>
        <w:tc>
          <w:tcPr>
            <w:tcW w:type="dxa" w:w="2232"/>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KMS/HSM、真实支持流程与泄露演练</w:t>
            </w:r>
          </w:p>
        </w:tc>
      </w:tr>
    </w:tbl>
    <w:p>
      <w:pPr>
        <w:spacing w:after="20"/>
      </w:pP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8. 自动验证证据与待完成事项</w:t>
      </w:r>
    </w:p>
    <w:p>
      <w:pPr>
        <w:spacing w:before="0" w:after="120" w:line="276" w:lineRule="auto"/>
      </w:pPr>
      <w:r>
        <w:rPr>
          <w:rFonts w:ascii="Arial Unicode MS" w:hAnsi="Arial Unicode MS" w:eastAsia="Arial Unicode MS"/>
          <w:b w:val="0"/>
          <w:color w:val="1F2937"/>
          <w:sz w:val="20"/>
        </w:rPr>
        <w:t>自动化验证重点覆盖标准物理输入拒绝策略、坐标转换、COP/特征、连续段与缺帧处理、阶段派生、能力门控、问卷快照一致性、风险规则优先级、版本化运行、报告脱敏以及遥测/诊断的安全边界。当前测试结论只证明实现按合成测试样本执行，不能替代真实设备或临床验证。</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3293"/>
        <w:gridCol w:w="3293"/>
        <w:gridCol w:w="3293"/>
      </w:tblGrid>
      <w:tr>
        <w:trPr>
          <w:tblHeader w:val="true"/>
        </w:trPr>
        <w:tc>
          <w:tcPr>
            <w:tcW w:type="dxa" w:w="1872"/>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类别</w:t>
            </w:r>
          </w:p>
        </w:tc>
        <w:tc>
          <w:tcPr>
            <w:tcW w:type="dxa" w:w="4176"/>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当前结论</w:t>
            </w:r>
          </w:p>
        </w:tc>
        <w:tc>
          <w:tcPr>
            <w:tcW w:type="dxa" w:w="2808"/>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后续完成条件</w:t>
            </w:r>
          </w:p>
        </w:tc>
      </w:tr>
      <w:tr>
        <w:tc>
          <w:tcPr>
            <w:tcW w:type="dxa" w:w="1872"/>
            <w:shd w:fill="E8F5E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自动化代码测试</w:t>
            </w:r>
          </w:p>
        </w:tc>
        <w:tc>
          <w:tcPr>
            <w:tcW w:type="dxa" w:w="4176"/>
            <w:shd w:fill="E8F5E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已完成：cloud 相关测试 114 passed、9 subtests passed</w:t>
            </w:r>
          </w:p>
        </w:tc>
        <w:tc>
          <w:tcPr>
            <w:tcW w:type="dxa" w:w="2808"/>
            <w:shd w:fill="E8F5E9"/>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随接口/算法变更持续回归</w:t>
            </w:r>
          </w:p>
        </w:tc>
      </w:tr>
      <w:tr>
        <w:tc>
          <w:tcPr>
            <w:tcW w:type="dxa" w:w="1872"/>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真实硬件适配</w:t>
            </w:r>
          </w:p>
        </w:tc>
        <w:tc>
          <w:tcPr>
            <w:tcW w:type="dxa" w:w="4176"/>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未完成：需标准物理输入的真实适配器与抓取证据</w:t>
            </w:r>
          </w:p>
        </w:tc>
        <w:tc>
          <w:tcPr>
            <w:tcW w:type="dxa" w:w="2808"/>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RAY-117 输出、载荷/坐标/时间/质量验证</w:t>
            </w:r>
          </w:p>
        </w:tc>
      </w:tr>
      <w:tr>
        <w:tc>
          <w:tcPr>
            <w:tcW w:type="dxa" w:w="1872"/>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参考工件与门控</w:t>
            </w:r>
          </w:p>
        </w:tc>
        <w:tc>
          <w:tcPr>
            <w:tcW w:type="dxa" w:w="4176"/>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未完成：需冻结的 60+ 参考工件及批准描述符</w:t>
            </w:r>
          </w:p>
        </w:tc>
        <w:tc>
          <w:tcPr>
            <w:tcW w:type="dxa" w:w="2808"/>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参考数据、版本 SHA、审批与重算比对</w:t>
            </w:r>
          </w:p>
        </w:tc>
      </w:tr>
      <w:tr>
        <w:tc>
          <w:tcPr>
            <w:tcW w:type="dxa" w:w="1872"/>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云端集成</w:t>
            </w:r>
          </w:p>
        </w:tc>
        <w:tc>
          <w:tcPr>
            <w:tcW w:type="dxa" w:w="4176"/>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未完成：数据库、队列、对象存储、IAM/KMS</w:t>
            </w:r>
          </w:p>
        </w:tc>
        <w:tc>
          <w:tcPr>
            <w:tcW w:type="dxa" w:w="2808"/>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集成/故障恢复/权限测试</w:t>
            </w:r>
          </w:p>
        </w:tc>
      </w:tr>
      <w:tr>
        <w:tc>
          <w:tcPr>
            <w:tcW w:type="dxa" w:w="1872"/>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报告与运营演练</w:t>
            </w:r>
          </w:p>
        </w:tc>
        <w:tc>
          <w:tcPr>
            <w:tcW w:type="dxa" w:w="4176"/>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未完成：PDF/打印视觉检查、告警和诊断包演练</w:t>
            </w:r>
          </w:p>
        </w:tc>
        <w:tc>
          <w:tcPr>
            <w:tcW w:type="dxa" w:w="2808"/>
            <w:shd w:fill="FFF4E5"/>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人工检查、值班/支持流程记录</w:t>
            </w:r>
          </w:p>
        </w:tc>
      </w:tr>
      <w:tr>
        <w:tc>
          <w:tcPr>
            <w:tcW w:type="dxa" w:w="1872"/>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临床有效性</w:t>
            </w:r>
          </w:p>
        </w:tc>
        <w:tc>
          <w:tcPr>
            <w:tcW w:type="dxa" w:w="4176"/>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未完成：阈值与分层仅为第一版研究性规则</w:t>
            </w:r>
          </w:p>
        </w:tc>
        <w:tc>
          <w:tcPr>
            <w:tcW w:type="dxa" w:w="2808"/>
            <w:shd w:fill="FDECEC"/>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伦理合规样本、研究设计、外部验证与版本批准</w:t>
            </w:r>
          </w:p>
        </w:tc>
      </w:tr>
    </w:tbl>
    <w:p>
      <w:pPr>
        <w:spacing w:after="20"/>
      </w:pPr>
    </w:p>
    <w:tbl>
      <w:tblPr>
        <w:tblW w:type="auto" w:w="0"/>
        <w:jc w:val="center"/>
        <w:tblLayout w:type="fixed"/>
        <w:tblLook w:firstColumn="1" w:firstRow="1" w:lastColumn="0" w:lastRow="0" w:noHBand="0" w:noVBand="1" w:val="04A0"/>
        <w:tblBorders>
          <w:top w:val="single" w:sz="8" w:space="0" w:color="B9D6EA"/>
          <w:left w:val="single" w:sz="8" w:space="0" w:color="B9D6EA"/>
          <w:bottom w:val="single" w:sz="8" w:space="0" w:color="B9D6EA"/>
          <w:right w:val="single" w:sz="8" w:space="0" w:color="B9D6EA"/>
          <w:insideH w:val="single" w:sz="8" w:space="0" w:color="B9D6EA"/>
          <w:insideV w:val="single" w:sz="8" w:space="0" w:color="B9D6EA"/>
        </w:tblBorders>
      </w:tblPr>
      <w:tblGrid>
        <w:gridCol w:w="9878"/>
      </w:tblGrid>
      <w:tr>
        <w:tc>
          <w:tcPr>
            <w:tcW w:type="dxa" w:w="9288"/>
            <w:shd w:fill="FFF4E5"/>
          </w:tcPr>
          <w:p>
            <w:pPr>
              <w:spacing w:before="0" w:after="20" w:line="269" w:lineRule="auto"/>
            </w:pPr>
            <w:r/>
            <w:r>
              <w:rPr>
                <w:rFonts w:ascii="Arial Unicode MS" w:hAnsi="Arial Unicode MS" w:eastAsia="Arial Unicode MS"/>
                <w:b/>
                <w:color w:val="1F4D78"/>
                <w:sz w:val="20"/>
              </w:rPr>
              <w:t xml:space="preserve">发布建议  </w:t>
            </w:r>
            <w:r>
              <w:rPr>
                <w:rFonts w:ascii="Arial Unicode MS" w:hAnsi="Arial Unicode MS" w:eastAsia="Arial Unicode MS"/>
                <w:b w:val="0"/>
                <w:color w:val="1F2937"/>
                <w:sz w:val="20"/>
              </w:rPr>
              <w:t>在上述外部验证完成前，应保持“研发/受控筛查验证”状态。任何面向机构或客户的表述都应使用“风险提示、建议进一步评估、非诊断性”措辞，并保留技术无效或无法完成评估的安全出口。</w:t>
            </w:r>
          </w:p>
        </w:tc>
      </w:tr>
    </w:tbl>
    <w:p>
      <w:pPr>
        <w:spacing w:after="20"/>
      </w:pPr>
    </w:p>
    <w:p>
      <w:pPr>
        <w:pStyle w:val="Heading1"/>
        <w:spacing w:before="300" w:after="140" w:line="252" w:lineRule="auto"/>
        <w:pBdr>
          <w:bottom w:val="single" w:sz="10" w:space="4" w:color="2E74B5"/>
        </w:pBdr>
      </w:pPr>
      <w:r/>
      <w:r>
        <w:rPr>
          <w:rFonts w:ascii="Arial Unicode MS" w:hAnsi="Arial Unicode MS" w:eastAsia="Arial Unicode MS"/>
          <w:b/>
          <w:color w:val="2E74B5"/>
          <w:sz w:val="32"/>
        </w:rPr>
        <w:t>附录 A：关键实现与文档索引</w:t>
      </w:r>
    </w:p>
    <w:tbl>
      <w:tblPr>
        <w:tblW w:type="auto" w:w="0"/>
        <w:jc w:val="center"/>
        <w:tblLayout w:type="fixed"/>
        <w:tblLook w:firstColumn="1" w:firstRow="1" w:lastColumn="0" w:lastRow="0" w:noHBand="0" w:noVBand="1" w:val="04A0"/>
        <w:tblBorders>
          <w:top w:val="single" w:sz="6" w:space="0" w:color="D6DCE4"/>
          <w:left w:val="single" w:sz="6" w:space="0" w:color="D6DCE4"/>
          <w:bottom w:val="single" w:sz="6" w:space="0" w:color="D6DCE4"/>
          <w:right w:val="single" w:sz="6" w:space="0" w:color="D6DCE4"/>
          <w:insideH w:val="single" w:sz="6" w:space="0" w:color="D6DCE4"/>
          <w:insideV w:val="single" w:sz="6" w:space="0" w:color="D6DCE4"/>
        </w:tblBorders>
      </w:tblPr>
      <w:tblGrid>
        <w:gridCol w:w="4939"/>
        <w:gridCol w:w="4939"/>
      </w:tblGrid>
      <w:tr>
        <w:trPr>
          <w:tblHeader w:val="true"/>
        </w:trPr>
        <w:tc>
          <w:tcPr>
            <w:tcW w:type="dxa" w:w="1944"/>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类别</w:t>
            </w:r>
          </w:p>
        </w:tc>
        <w:tc>
          <w:tcPr>
            <w:tcW w:type="dxa" w:w="7200"/>
            <w:shd w:fill="F2F4F7"/>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color w:val="1F4D78"/>
                <w:sz w:val="18"/>
              </w:rPr>
              <w:t>路径 / 标识</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标准接口</w:t>
            </w:r>
          </w:p>
        </w:tc>
        <w:tc>
          <w:tcPr>
            <w:tcW w:type="dxa" w:w="72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docs/algorithm/physical-input-interface-v1.md；docs/algorithm/standard-physical-input-contract.md</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算法规范</w:t>
            </w:r>
          </w:p>
        </w:tc>
        <w:tc>
          <w:tcPr>
            <w:tcW w:type="dxa" w:w="72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docs/algorithm/v1-static-balance-screening-algorithm.md；docs/algorithm/clinical-evidence-and-rationale.md</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核心分析代码</w:t>
            </w:r>
          </w:p>
        </w:tc>
        <w:tc>
          <w:tcPr>
            <w:tcW w:type="dxa" w:w="72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cloud/analysis/physical_input.py、coordinates.py、features.py、physical_gates.py、risk_rules.py、physical_orchestrator.py、physical_runs.py</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报告与运营</w:t>
            </w:r>
          </w:p>
        </w:tc>
        <w:tc>
          <w:tcPr>
            <w:tcW w:type="dxa" w:w="72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cloud/reporting/*；cloud/observability/*</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数据模型</w:t>
            </w:r>
          </w:p>
        </w:tc>
        <w:tc>
          <w:tcPr>
            <w:tcW w:type="dxa" w:w="72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analysis/reporting/ops 相关数据库迁移</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任务证据</w:t>
            </w:r>
          </w:p>
        </w:tc>
        <w:tc>
          <w:tcPr>
            <w:tcW w:type="dxa" w:w="72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docs/evidence/linear/RAY-102/README.md</w:t>
            </w:r>
          </w:p>
        </w:tc>
      </w:tr>
      <w:tr>
        <w:tc>
          <w:tcPr>
            <w:tcW w:type="dxa" w:w="1944"/>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代码提交</w:t>
            </w:r>
          </w:p>
        </w:tc>
        <w:tc>
          <w:tcPr>
            <w:tcW w:type="dxa" w:w="7200"/>
            <w:vAlign w:val="center"/>
            <w:tcMar>
              <w:top w:w="80" w:type="dxa"/>
              <w:start w:w="100" w:type="dxa"/>
              <w:bottom w:w="80" w:type="dxa"/>
              <w:end w:w="100" w:type="dxa"/>
            </w:tcMar>
          </w:tcPr>
          <w:p>
            <w:pPr>
              <w:spacing w:before="0" w:after="0" w:line="252" w:lineRule="auto"/>
            </w:pPr>
            <w:r/>
            <w:r>
              <w:rPr>
                <w:rFonts w:ascii="Arial Unicode MS" w:hAnsi="Arial Unicode MS" w:eastAsia="Arial Unicode MS"/>
                <w:b w:val="0"/>
                <w:color w:val="1F2937"/>
                <w:sz w:val="17"/>
              </w:rPr>
              <w:t>84b0277（物理分析流水线）；d88c5ec（RAY-102 证据）；136a5e1 / fc89868（标准物理输入接口与证据）</w:t>
            </w:r>
          </w:p>
        </w:tc>
      </w:tr>
    </w:tbl>
    <w:p>
      <w:pPr>
        <w:spacing w:after="20"/>
      </w:pPr>
    </w:p>
    <w:sectPr w:rsidR="00FC693F" w:rsidRPr="0006063C" w:rsidSect="00034616">
      <w:headerReference w:type="default" r:id="rId9"/>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center"/>
    </w:pPr>
    <w:r/>
    <w:r>
      <w:rPr>
        <w:rFonts w:ascii="Arial Unicode MS" w:hAnsi="Arial Unicode MS" w:eastAsia="Arial Unicode MS"/>
        <w:b w:val="0"/>
        <w:color w:val="6B7280"/>
        <w:sz w:val="16"/>
      </w:rPr>
      <w:t>内部技术报告  |  2026-07-23  |  非诊断性健康筛查用途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20" w:line="240" w:lineRule="auto"/>
      <w:jc w:val="left"/>
      <w:pBdr>
        <w:bottom w:val="single" w:sz="6" w:space="4" w:color="C8D8E8"/>
      </w:pBdr>
    </w:pPr>
    <w:r/>
    <w:r>
      <w:rPr>
        <w:rFonts w:ascii="Arial Unicode MS" w:hAnsi="Arial Unicode MS" w:eastAsia="Arial Unicode MS"/>
        <w:b/>
        <w:color w:val="1F4D78"/>
        <w:sz w:val="18"/>
      </w:rPr>
      <w:t>FeetForcePlate</w:t>
    </w:r>
    <w:r>
      <w:rPr>
        <w:rFonts w:ascii="Arial Unicode MS" w:hAnsi="Arial Unicode MS" w:eastAsia="Arial Unicode MS"/>
        <w:b w:val="0"/>
        <w:color w:val="6B7280"/>
        <w:sz w:val="18"/>
      </w:rPr>
      <w:t xml:space="preserve">  |  算法层实现报告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Unicode MS" w:hAnsi="Arial Unicode MS" w:eastAsia="Arial Unicode M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sz w:val="2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FeetForcePlate 算法层实现与能力现状报告</dc:title>
  <dc:subject>标准物理压力输入、静态平衡筛查、风险规则、版本化分析与报告</dc:subject>
  <dc:creator>FeetForcePlate 项目组</dc:creator>
  <cp:keywords/>
  <dc:description>内部技术报告；不构成医疗诊断或临床有效性结论。</dc:description>
  <cp:lastModifiedBy/>
  <cp:revision>1</cp:revision>
  <dcterms:created xsi:type="dcterms:W3CDTF">2013-12-23T23:15:00Z</dcterms:created>
  <dcterms:modified xsi:type="dcterms:W3CDTF">2013-12-23T23:15:00Z</dcterms:modified>
  <cp:category/>
</cp:coreProperties>
</file>