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Default="00BC6115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BC6115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14015974" w:rsidR="00C15262" w:rsidRDefault="00820EA8">
            <w:pPr>
              <w:pStyle w:val="TableParagraph"/>
              <w:spacing w:line="234" w:lineRule="exact"/>
              <w:ind w:left="110"/>
            </w:pPr>
            <w:r>
              <w:t>20</w:t>
            </w:r>
            <w:r w:rsidRPr="00820EA8">
              <w:rPr>
                <w:vertAlign w:val="superscript"/>
              </w:rPr>
              <w:t>th</w:t>
            </w:r>
            <w:r>
              <w:t xml:space="preserve"> </w:t>
            </w:r>
            <w:r w:rsidR="00BC6115">
              <w:t>June</w:t>
            </w:r>
            <w:r>
              <w:t>, 202</w:t>
            </w:r>
            <w:r w:rsidR="00BC6115"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BC6115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5B066A3D" w:rsidR="00C15262" w:rsidRDefault="00820EA8">
            <w:pPr>
              <w:pStyle w:val="TableParagraph"/>
              <w:spacing w:line="232" w:lineRule="exact"/>
              <w:ind w:left="110"/>
            </w:pPr>
            <w:r>
              <w:t xml:space="preserve">Team - </w:t>
            </w:r>
            <w:r w:rsidR="00BC6115" w:rsidRPr="00BC6115">
              <w:t>LTVIP2025TMID32421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BC6115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BC6115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BC6115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BC6115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BC6115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BC6115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BC6115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Default="00BC61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BC6115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BC6115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BC6115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BC6115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BC6115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BC6115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BC6115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BC6115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BC6115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BC6115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BC6115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BC6115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BC6115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BC6115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BC6115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BC6115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BC6115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BC6115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BC6115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BC6115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BC6115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BC6115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BC6115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Default="00BC61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BC61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BC6115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BC6115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BC6115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BC6115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BC6115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Default="00BC61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BC61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BC6115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BC6115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E1B4A"/>
    <w:rsid w:val="0027017B"/>
    <w:rsid w:val="003C750E"/>
    <w:rsid w:val="0052540C"/>
    <w:rsid w:val="007A0667"/>
    <w:rsid w:val="00820EA8"/>
    <w:rsid w:val="00874032"/>
    <w:rsid w:val="00B9419C"/>
    <w:rsid w:val="00BC6115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Rohith Y</cp:lastModifiedBy>
  <cp:revision>6</cp:revision>
  <cp:lastPrinted>2023-11-14T09:47:00Z</cp:lastPrinted>
  <dcterms:created xsi:type="dcterms:W3CDTF">2023-11-14T09:49:00Z</dcterms:created>
  <dcterms:modified xsi:type="dcterms:W3CDTF">2025-07-16T13:06:00Z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