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BB731" w14:textId="77777777" w:rsidR="00CF1B49" w:rsidRDefault="007A4D0E">
      <w:pPr>
        <w:spacing w:before="200" w:after="200" w:line="360" w:lineRule="auto"/>
        <w:ind w:left="-360" w:right="-360"/>
        <w:rPr>
          <w:rFonts w:ascii="Google Sans" w:eastAsia="Google Sans" w:hAnsi="Google Sans" w:cs="Google Sans"/>
          <w:b/>
          <w:color w:val="3C4043"/>
          <w:sz w:val="40"/>
          <w:szCs w:val="40"/>
        </w:rPr>
      </w:pPr>
      <w:r>
        <w:rPr>
          <w:rFonts w:ascii="Google Sans" w:eastAsia="Google Sans" w:hAnsi="Google Sans" w:cs="Google Sans"/>
          <w:b/>
          <w:color w:val="3C4043"/>
          <w:sz w:val="40"/>
          <w:szCs w:val="40"/>
        </w:rPr>
        <w:t>Incident report analysis</w:t>
      </w:r>
    </w:p>
    <w:p w14:paraId="229BB732" w14:textId="77777777" w:rsidR="00CF1B49" w:rsidRDefault="007A4D0E">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b/>
          <w:color w:val="34A853"/>
          <w:sz w:val="24"/>
          <w:szCs w:val="24"/>
        </w:rPr>
        <w:t>Instructions</w:t>
      </w:r>
    </w:p>
    <w:p w14:paraId="229BB733" w14:textId="77777777" w:rsidR="00CF1B49" w:rsidRDefault="007A4D0E">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sz w:val="24"/>
          <w:szCs w:val="24"/>
        </w:rPr>
        <w:t>As you continue through this course, you may use this template to record your findings after completing an activity or to take notes on what you've learned about a specific tool or concept. You can also use this chart as a way to practice applying the NIST framework to different situations you encounter.</w:t>
      </w: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CF1B49" w14:paraId="229BB736" w14:textId="77777777">
        <w:trPr>
          <w:trHeight w:val="420"/>
        </w:trPr>
        <w:tc>
          <w:tcPr>
            <w:tcW w:w="2055" w:type="dxa"/>
            <w:tcMar>
              <w:top w:w="100" w:type="dxa"/>
              <w:left w:w="100" w:type="dxa"/>
              <w:bottom w:w="100" w:type="dxa"/>
              <w:right w:w="100" w:type="dxa"/>
            </w:tcMar>
          </w:tcPr>
          <w:p w14:paraId="229BB734" w14:textId="77777777" w:rsidR="00CF1B49" w:rsidRDefault="007A4D0E">
            <w:pPr>
              <w:widowControl w:val="0"/>
              <w:spacing w:line="360" w:lineRule="auto"/>
              <w:rPr>
                <w:rFonts w:ascii="Google Sans" w:eastAsia="Google Sans" w:hAnsi="Google Sans" w:cs="Google Sans"/>
              </w:rPr>
            </w:pPr>
            <w:r>
              <w:rPr>
                <w:rFonts w:ascii="Google Sans" w:eastAsia="Google Sans" w:hAnsi="Google Sans" w:cs="Google Sans"/>
                <w:b/>
              </w:rPr>
              <w:t>Summary</w:t>
            </w:r>
          </w:p>
        </w:tc>
        <w:tc>
          <w:tcPr>
            <w:tcW w:w="8025" w:type="dxa"/>
            <w:tcMar>
              <w:top w:w="100" w:type="dxa"/>
              <w:left w:w="100" w:type="dxa"/>
              <w:bottom w:w="100" w:type="dxa"/>
              <w:right w:w="100" w:type="dxa"/>
            </w:tcMar>
          </w:tcPr>
          <w:p w14:paraId="2D9E1CC8" w14:textId="77777777" w:rsidR="00166354" w:rsidRPr="00E00718" w:rsidRDefault="00166354" w:rsidP="00166354">
            <w:pPr>
              <w:widowControl w:val="0"/>
              <w:spacing w:line="360" w:lineRule="auto"/>
              <w:rPr>
                <w:rFonts w:ascii="Google Sans" w:eastAsia="Google Sans" w:hAnsi="Google Sans" w:cs="Google Sans"/>
                <w:lang w:val="en-US"/>
              </w:rPr>
            </w:pPr>
            <w:r w:rsidRPr="00166354">
              <w:rPr>
                <w:rFonts w:ascii="Google Sans" w:eastAsia="Google Sans" w:hAnsi="Google Sans" w:cs="Google Sans"/>
                <w:lang w:val="en-US"/>
              </w:rPr>
              <w:t xml:space="preserve">The organization </w:t>
            </w:r>
            <w:r w:rsidRPr="00E00718">
              <w:rPr>
                <w:rFonts w:ascii="Google Sans" w:eastAsia="Google Sans" w:hAnsi="Google Sans" w:cs="Google Sans"/>
                <w:lang w:val="en-US"/>
              </w:rPr>
              <w:t>experienced a Denial of Service (DoS) attack that disrupted internal network operations for approximately two hours. The attack was caused by a flood of ICMP packets, which overwhelmed network resources and prevented legitimate traffic from accessing services.</w:t>
            </w:r>
          </w:p>
          <w:p w14:paraId="229BB735" w14:textId="3B391011" w:rsidR="00CF1B49" w:rsidRPr="00166354" w:rsidRDefault="00166354" w:rsidP="00E165D0">
            <w:pPr>
              <w:widowControl w:val="0"/>
              <w:spacing w:line="360" w:lineRule="auto"/>
              <w:rPr>
                <w:rFonts w:ascii="Google Sans" w:eastAsia="Google Sans" w:hAnsi="Google Sans" w:cs="Google Sans"/>
                <w:lang w:val="en-US"/>
              </w:rPr>
            </w:pPr>
            <w:r w:rsidRPr="00E00718">
              <w:rPr>
                <w:rFonts w:ascii="Google Sans" w:eastAsia="Google Sans" w:hAnsi="Google Sans" w:cs="Google Sans"/>
                <w:lang w:val="en-US"/>
              </w:rPr>
              <w:t>Root Cause:</w:t>
            </w:r>
            <w:r w:rsidRPr="00E00718">
              <w:rPr>
                <w:rFonts w:ascii="Google Sans" w:eastAsia="Google Sans" w:hAnsi="Google Sans" w:cs="Google Sans"/>
                <w:lang w:val="en-US"/>
              </w:rPr>
              <w:br/>
              <w:t>The investigation revealed that the attack exploited an unconfigured firewall, allowing unrestricted ICMP traffic into the network. This vulnerability enabled the attacker to execute the DoS attack effectively.</w:t>
            </w:r>
          </w:p>
        </w:tc>
      </w:tr>
      <w:tr w:rsidR="00CF1B49" w14:paraId="229BB739" w14:textId="77777777">
        <w:trPr>
          <w:trHeight w:val="420"/>
        </w:trPr>
        <w:tc>
          <w:tcPr>
            <w:tcW w:w="2055" w:type="dxa"/>
            <w:tcMar>
              <w:top w:w="100" w:type="dxa"/>
              <w:left w:w="100" w:type="dxa"/>
              <w:bottom w:w="100" w:type="dxa"/>
              <w:right w:w="100" w:type="dxa"/>
            </w:tcMar>
          </w:tcPr>
          <w:p w14:paraId="229BB737" w14:textId="77777777" w:rsidR="00CF1B49" w:rsidRDefault="007A4D0E">
            <w:pPr>
              <w:widowControl w:val="0"/>
              <w:spacing w:line="360" w:lineRule="auto"/>
              <w:rPr>
                <w:rFonts w:ascii="Google Sans" w:eastAsia="Google Sans" w:hAnsi="Google Sans" w:cs="Google Sans"/>
              </w:rPr>
            </w:pPr>
            <w:r>
              <w:rPr>
                <w:rFonts w:ascii="Google Sans" w:eastAsia="Google Sans" w:hAnsi="Google Sans" w:cs="Google Sans"/>
              </w:rPr>
              <w:t>Identify</w:t>
            </w:r>
          </w:p>
        </w:tc>
        <w:tc>
          <w:tcPr>
            <w:tcW w:w="8025" w:type="dxa"/>
            <w:tcMar>
              <w:top w:w="100" w:type="dxa"/>
              <w:left w:w="100" w:type="dxa"/>
              <w:bottom w:w="100" w:type="dxa"/>
              <w:right w:w="100" w:type="dxa"/>
            </w:tcMar>
          </w:tcPr>
          <w:p w14:paraId="229BB738" w14:textId="6D7ACAF2" w:rsidR="00CF1B49" w:rsidRPr="00E165D0" w:rsidRDefault="00E816A6" w:rsidP="00E816A6">
            <w:pPr>
              <w:widowControl w:val="0"/>
              <w:spacing w:line="360" w:lineRule="auto"/>
              <w:rPr>
                <w:rFonts w:ascii="Google Sans" w:eastAsia="Google Sans" w:hAnsi="Google Sans" w:cs="Google Sans"/>
                <w:lang w:val="en-US"/>
              </w:rPr>
            </w:pPr>
            <w:r w:rsidRPr="00E816A6">
              <w:rPr>
                <w:rFonts w:ascii="Google Sans" w:eastAsia="Google Sans" w:hAnsi="Google Sans" w:cs="Google Sans"/>
              </w:rPr>
              <w:t>The cybersecurity team investigated the security event. They found that a malicious actor had sent a flood of ICMP pings into the company’s network through an unconfigured firewall. This vulnerability allowed the malicious attacker to overwhelm the company’s network through a denial of service (DoS) attack. </w:t>
            </w:r>
          </w:p>
        </w:tc>
      </w:tr>
      <w:tr w:rsidR="00CF1B49" w14:paraId="229BB73C" w14:textId="77777777">
        <w:trPr>
          <w:trHeight w:val="420"/>
        </w:trPr>
        <w:tc>
          <w:tcPr>
            <w:tcW w:w="2055" w:type="dxa"/>
            <w:tcMar>
              <w:top w:w="100" w:type="dxa"/>
              <w:left w:w="100" w:type="dxa"/>
              <w:bottom w:w="100" w:type="dxa"/>
              <w:right w:w="100" w:type="dxa"/>
            </w:tcMar>
          </w:tcPr>
          <w:p w14:paraId="229BB73A" w14:textId="77777777" w:rsidR="00CF1B49" w:rsidRDefault="007A4D0E">
            <w:pPr>
              <w:widowControl w:val="0"/>
              <w:spacing w:line="360" w:lineRule="auto"/>
              <w:rPr>
                <w:rFonts w:ascii="Google Sans" w:eastAsia="Google Sans" w:hAnsi="Google Sans" w:cs="Google Sans"/>
              </w:rPr>
            </w:pPr>
            <w:r>
              <w:rPr>
                <w:rFonts w:ascii="Google Sans" w:eastAsia="Google Sans" w:hAnsi="Google Sans" w:cs="Google Sans"/>
              </w:rPr>
              <w:t>Protect</w:t>
            </w:r>
          </w:p>
        </w:tc>
        <w:tc>
          <w:tcPr>
            <w:tcW w:w="8025" w:type="dxa"/>
            <w:tcMar>
              <w:top w:w="100" w:type="dxa"/>
              <w:left w:w="100" w:type="dxa"/>
              <w:bottom w:w="100" w:type="dxa"/>
              <w:right w:w="100" w:type="dxa"/>
            </w:tcMar>
          </w:tcPr>
          <w:p w14:paraId="0AA14D45" w14:textId="177BB7E1" w:rsidR="00457683" w:rsidRDefault="00217AD3" w:rsidP="00457683">
            <w:pPr>
              <w:widowControl w:val="0"/>
              <w:spacing w:line="360" w:lineRule="auto"/>
              <w:rPr>
                <w:rFonts w:ascii="Google Sans" w:eastAsia="Google Sans" w:hAnsi="Google Sans" w:cs="Google Sans"/>
                <w:lang w:val="en-US"/>
              </w:rPr>
            </w:pPr>
            <w:r>
              <w:rPr>
                <w:rFonts w:ascii="Google Sans" w:eastAsia="Google Sans" w:hAnsi="Google Sans" w:cs="Google Sans"/>
                <w:lang w:val="en-US"/>
              </w:rPr>
              <w:t>T</w:t>
            </w:r>
            <w:r w:rsidR="00393632" w:rsidRPr="00393632">
              <w:rPr>
                <w:rFonts w:ascii="Google Sans" w:eastAsia="Google Sans" w:hAnsi="Google Sans" w:cs="Google Sans"/>
                <w:lang w:val="en-US"/>
              </w:rPr>
              <w:t>he network security team implemented </w:t>
            </w:r>
            <w:r>
              <w:rPr>
                <w:rFonts w:ascii="Google Sans" w:eastAsia="Google Sans" w:hAnsi="Google Sans" w:cs="Google Sans"/>
                <w:lang w:val="en-US"/>
              </w:rPr>
              <w:t>a</w:t>
            </w:r>
            <w:r w:rsidR="00393632" w:rsidRPr="00393632">
              <w:rPr>
                <w:rFonts w:ascii="Google Sans" w:eastAsia="Google Sans" w:hAnsi="Google Sans" w:cs="Google Sans"/>
                <w:lang w:val="en-US"/>
              </w:rPr>
              <w:t xml:space="preserve"> new firewall rule to limit the rate of incoming ICMP packets</w:t>
            </w:r>
            <w:r w:rsidR="00393632">
              <w:rPr>
                <w:rFonts w:ascii="Google Sans" w:eastAsia="Google Sans" w:hAnsi="Google Sans" w:cs="Google Sans"/>
                <w:lang w:val="en-US"/>
              </w:rPr>
              <w:t xml:space="preserve">, </w:t>
            </w:r>
            <w:r w:rsidR="00393632" w:rsidRPr="00393632">
              <w:rPr>
                <w:rFonts w:ascii="Google Sans" w:eastAsia="Google Sans" w:hAnsi="Google Sans" w:cs="Google Sans"/>
                <w:lang w:val="en-US"/>
              </w:rPr>
              <w:t>Source IP address verification on the firewall to check for spoofed IP addresses on incoming ICMP packets</w:t>
            </w:r>
            <w:r w:rsidR="00393632">
              <w:rPr>
                <w:rFonts w:ascii="Google Sans" w:eastAsia="Google Sans" w:hAnsi="Google Sans" w:cs="Google Sans"/>
                <w:lang w:val="en-US"/>
              </w:rPr>
              <w:t xml:space="preserve">, </w:t>
            </w:r>
            <w:r w:rsidR="00393632" w:rsidRPr="00393632">
              <w:rPr>
                <w:rFonts w:ascii="Google Sans" w:eastAsia="Google Sans" w:hAnsi="Google Sans" w:cs="Google Sans"/>
                <w:lang w:val="en-US"/>
              </w:rPr>
              <w:t>Network monitoring software to detect abnormal traffic patterns</w:t>
            </w:r>
            <w:r w:rsidR="00393632">
              <w:rPr>
                <w:rFonts w:ascii="Google Sans" w:eastAsia="Google Sans" w:hAnsi="Google Sans" w:cs="Google Sans"/>
                <w:lang w:val="en-US"/>
              </w:rPr>
              <w:t xml:space="preserve">, </w:t>
            </w:r>
            <w:r w:rsidR="00393632" w:rsidRPr="00393632">
              <w:rPr>
                <w:rFonts w:ascii="Google Sans" w:eastAsia="Google Sans" w:hAnsi="Google Sans" w:cs="Google Sans"/>
                <w:lang w:val="en-US"/>
              </w:rPr>
              <w:t>An IDS/IPS system to filter out some ICMP traffic based on suspicious characteristics</w:t>
            </w:r>
            <w:r w:rsidR="002F51FA">
              <w:rPr>
                <w:rFonts w:ascii="Google Sans" w:eastAsia="Google Sans" w:hAnsi="Google Sans" w:cs="Google Sans"/>
                <w:lang w:val="en-US"/>
              </w:rPr>
              <w:t>.</w:t>
            </w:r>
          </w:p>
          <w:p w14:paraId="229BB73B" w14:textId="4891E174" w:rsidR="00D95ECA" w:rsidRPr="00E165D0" w:rsidRDefault="00D95ECA" w:rsidP="00D95ECA">
            <w:pPr>
              <w:widowControl w:val="0"/>
              <w:spacing w:line="360" w:lineRule="auto"/>
              <w:rPr>
                <w:rFonts w:ascii="Google Sans" w:eastAsia="Google Sans" w:hAnsi="Google Sans" w:cs="Google Sans"/>
                <w:lang w:val="en-US"/>
              </w:rPr>
            </w:pPr>
          </w:p>
        </w:tc>
      </w:tr>
      <w:tr w:rsidR="00CF1B49" w14:paraId="229BB73F" w14:textId="77777777">
        <w:trPr>
          <w:trHeight w:val="630"/>
        </w:trPr>
        <w:tc>
          <w:tcPr>
            <w:tcW w:w="2055" w:type="dxa"/>
            <w:tcMar>
              <w:top w:w="100" w:type="dxa"/>
              <w:left w:w="100" w:type="dxa"/>
              <w:bottom w:w="100" w:type="dxa"/>
              <w:right w:w="100" w:type="dxa"/>
            </w:tcMar>
          </w:tcPr>
          <w:p w14:paraId="229BB73D" w14:textId="77777777" w:rsidR="00CF1B49" w:rsidRDefault="007A4D0E">
            <w:pPr>
              <w:widowControl w:val="0"/>
              <w:spacing w:line="360" w:lineRule="auto"/>
              <w:rPr>
                <w:rFonts w:ascii="Google Sans" w:eastAsia="Google Sans" w:hAnsi="Google Sans" w:cs="Google Sans"/>
              </w:rPr>
            </w:pPr>
            <w:r>
              <w:rPr>
                <w:rFonts w:ascii="Google Sans" w:eastAsia="Google Sans" w:hAnsi="Google Sans" w:cs="Google Sans"/>
              </w:rPr>
              <w:lastRenderedPageBreak/>
              <w:t>Detect</w:t>
            </w:r>
          </w:p>
        </w:tc>
        <w:tc>
          <w:tcPr>
            <w:tcW w:w="8025" w:type="dxa"/>
            <w:tcMar>
              <w:top w:w="100" w:type="dxa"/>
              <w:left w:w="100" w:type="dxa"/>
              <w:bottom w:w="100" w:type="dxa"/>
              <w:right w:w="100" w:type="dxa"/>
            </w:tcMar>
          </w:tcPr>
          <w:p w14:paraId="229BB73E" w14:textId="267F393E" w:rsidR="00CF1B49" w:rsidRPr="00642266" w:rsidRDefault="00257A0F" w:rsidP="00D03B61">
            <w:pPr>
              <w:widowControl w:val="0"/>
              <w:spacing w:line="360" w:lineRule="auto"/>
              <w:rPr>
                <w:rFonts w:ascii="Google Sans" w:eastAsia="Google Sans" w:hAnsi="Google Sans" w:cs="Google Sans"/>
                <w:lang w:val="en-US"/>
              </w:rPr>
            </w:pPr>
            <w:r w:rsidRPr="00257A0F">
              <w:rPr>
                <w:rFonts w:ascii="Google Sans" w:eastAsia="Google Sans" w:hAnsi="Google Sans" w:cs="Google Sans"/>
              </w:rPr>
              <w:t>To detect unauthorized access, the security team configured source IP address verification on the firewall to check for spoofed IP addresses on incoming ICMP packets and implemented network monitoring software to detect abnormal traffic patterns.</w:t>
            </w:r>
          </w:p>
        </w:tc>
      </w:tr>
      <w:tr w:rsidR="007A4010" w14:paraId="229BB742" w14:textId="77777777">
        <w:trPr>
          <w:trHeight w:val="420"/>
        </w:trPr>
        <w:tc>
          <w:tcPr>
            <w:tcW w:w="2055" w:type="dxa"/>
            <w:tcMar>
              <w:top w:w="100" w:type="dxa"/>
              <w:left w:w="100" w:type="dxa"/>
              <w:bottom w:w="100" w:type="dxa"/>
              <w:right w:w="100" w:type="dxa"/>
            </w:tcMar>
          </w:tcPr>
          <w:p w14:paraId="229BB740" w14:textId="77777777" w:rsidR="007A4010" w:rsidRDefault="007A4010" w:rsidP="007A4010">
            <w:pPr>
              <w:widowControl w:val="0"/>
              <w:spacing w:line="360" w:lineRule="auto"/>
              <w:rPr>
                <w:rFonts w:ascii="Google Sans" w:eastAsia="Google Sans" w:hAnsi="Google Sans" w:cs="Google Sans"/>
              </w:rPr>
            </w:pPr>
            <w:r>
              <w:rPr>
                <w:rFonts w:ascii="Google Sans" w:eastAsia="Google Sans" w:hAnsi="Google Sans" w:cs="Google Sans"/>
              </w:rPr>
              <w:t>Respond</w:t>
            </w:r>
          </w:p>
        </w:tc>
        <w:tc>
          <w:tcPr>
            <w:tcW w:w="8025" w:type="dxa"/>
            <w:tcMar>
              <w:top w:w="100" w:type="dxa"/>
              <w:left w:w="100" w:type="dxa"/>
              <w:bottom w:w="100" w:type="dxa"/>
              <w:right w:w="100" w:type="dxa"/>
            </w:tcMar>
          </w:tcPr>
          <w:p w14:paraId="229BB741" w14:textId="401C38AA" w:rsidR="007A4010" w:rsidRPr="00F95572" w:rsidRDefault="00F56A58" w:rsidP="007A4010">
            <w:pPr>
              <w:widowControl w:val="0"/>
              <w:spacing w:line="360" w:lineRule="auto"/>
              <w:rPr>
                <w:rFonts w:ascii="Google Sans" w:eastAsia="Google Sans" w:hAnsi="Google Sans" w:cs="Google Sans"/>
                <w:lang w:val="en-US"/>
              </w:rPr>
            </w:pPr>
            <w:r w:rsidRPr="00F56A58">
              <w:rPr>
                <w:rFonts w:ascii="Google Sans" w:eastAsia="Google Sans" w:hAnsi="Google Sans" w:cs="Google Sans"/>
                <w:lang w:val="en-US"/>
              </w:rPr>
              <w:t>For future incidents, the cybersecurity team will contain threats by isolating affected systems, restore critical services, and analyze network logs</w:t>
            </w:r>
            <w:r w:rsidR="00C76735">
              <w:rPr>
                <w:rFonts w:ascii="Google Sans" w:eastAsia="Google Sans" w:hAnsi="Google Sans" w:cs="Google Sans"/>
                <w:lang w:val="en-US"/>
              </w:rPr>
              <w:t xml:space="preserve"> </w:t>
            </w:r>
            <w:r w:rsidRPr="00F56A58">
              <w:rPr>
                <w:rFonts w:ascii="Google Sans" w:eastAsia="Google Sans" w:hAnsi="Google Sans" w:cs="Google Sans"/>
                <w:lang w:val="en-US"/>
              </w:rPr>
              <w:t>to identify suspicious activity. They will also</w:t>
            </w:r>
            <w:r w:rsidR="00C76735">
              <w:rPr>
                <w:rFonts w:ascii="Google Sans" w:eastAsia="Google Sans" w:hAnsi="Google Sans" w:cs="Google Sans"/>
                <w:lang w:val="en-US"/>
              </w:rPr>
              <w:t xml:space="preserve"> </w:t>
            </w:r>
            <w:r w:rsidRPr="00F56A58">
              <w:rPr>
                <w:rFonts w:ascii="Google Sans" w:eastAsia="Google Sans" w:hAnsi="Google Sans" w:cs="Google Sans"/>
                <w:lang w:val="en-US"/>
              </w:rPr>
              <w:t>report incidents to management and relevant authorities</w:t>
            </w:r>
            <w:r w:rsidR="00C76735">
              <w:rPr>
                <w:rFonts w:ascii="Google Sans" w:eastAsia="Google Sans" w:hAnsi="Google Sans" w:cs="Google Sans"/>
                <w:lang w:val="en-US"/>
              </w:rPr>
              <w:t xml:space="preserve"> </w:t>
            </w:r>
            <w:r w:rsidRPr="00F56A58">
              <w:rPr>
                <w:rFonts w:ascii="Google Sans" w:eastAsia="Google Sans" w:hAnsi="Google Sans" w:cs="Google Sans"/>
                <w:lang w:val="en-US"/>
              </w:rPr>
              <w:t>when necessary, ensuring proper response and accountability in line with the NIST Cybersecurity Framework.</w:t>
            </w:r>
          </w:p>
        </w:tc>
      </w:tr>
      <w:tr w:rsidR="007A4010" w14:paraId="229BB745" w14:textId="77777777">
        <w:trPr>
          <w:trHeight w:val="420"/>
        </w:trPr>
        <w:tc>
          <w:tcPr>
            <w:tcW w:w="2055" w:type="dxa"/>
            <w:tcMar>
              <w:top w:w="100" w:type="dxa"/>
              <w:left w:w="100" w:type="dxa"/>
              <w:bottom w:w="100" w:type="dxa"/>
              <w:right w:w="100" w:type="dxa"/>
            </w:tcMar>
          </w:tcPr>
          <w:p w14:paraId="229BB743" w14:textId="77777777" w:rsidR="007A4010" w:rsidRDefault="007A4010" w:rsidP="007A4010">
            <w:pPr>
              <w:widowControl w:val="0"/>
              <w:spacing w:line="360" w:lineRule="auto"/>
              <w:rPr>
                <w:rFonts w:ascii="Google Sans" w:eastAsia="Google Sans" w:hAnsi="Google Sans" w:cs="Google Sans"/>
              </w:rPr>
            </w:pPr>
            <w:r>
              <w:rPr>
                <w:rFonts w:ascii="Google Sans" w:eastAsia="Google Sans" w:hAnsi="Google Sans" w:cs="Google Sans"/>
              </w:rPr>
              <w:t>Recover</w:t>
            </w:r>
          </w:p>
        </w:tc>
        <w:tc>
          <w:tcPr>
            <w:tcW w:w="8025" w:type="dxa"/>
            <w:tcMar>
              <w:top w:w="100" w:type="dxa"/>
              <w:left w:w="100" w:type="dxa"/>
              <w:bottom w:w="100" w:type="dxa"/>
              <w:right w:w="100" w:type="dxa"/>
            </w:tcMar>
          </w:tcPr>
          <w:p w14:paraId="229BB744" w14:textId="48C98335" w:rsidR="007A4010" w:rsidRPr="00642266" w:rsidRDefault="00E957E2" w:rsidP="00E957E2">
            <w:pPr>
              <w:widowControl w:val="0"/>
              <w:spacing w:line="360" w:lineRule="auto"/>
              <w:rPr>
                <w:rFonts w:ascii="Google Sans" w:eastAsia="Google Sans" w:hAnsi="Google Sans" w:cs="Google Sans"/>
                <w:lang w:val="en-US"/>
              </w:rPr>
            </w:pPr>
            <w:r w:rsidRPr="00E957E2">
              <w:rPr>
                <w:rFonts w:ascii="Google Sans" w:eastAsia="Google Sans" w:hAnsi="Google Sans" w:cs="Google Sans"/>
                <w:lang w:val="en-US"/>
              </w:rPr>
              <w:t>Recovery from an ICMP flood (DDoS) attack focuses on restoring normal network operations in a controlled and prioritized manner. First, block malicious ICMP traffic at the firewall to stop the attack. Then, reduce strain on the network by shutting down non-critical services. Critical services should be restored first to resume essential operations. Once the attack traffic subsides, all remaining non-critical systems can be safely brought back online.</w:t>
            </w:r>
          </w:p>
        </w:tc>
      </w:tr>
    </w:tbl>
    <w:p w14:paraId="229BB746" w14:textId="77777777" w:rsidR="00CF1B49" w:rsidRDefault="00CF1B49">
      <w:pPr>
        <w:spacing w:after="200" w:line="360" w:lineRule="auto"/>
        <w:ind w:left="-360" w:right="-360"/>
        <w:rPr>
          <w:rFonts w:ascii="Google Sans" w:eastAsia="Google Sans" w:hAnsi="Google Sans" w:cs="Google Sans"/>
        </w:rPr>
      </w:pPr>
    </w:p>
    <w:p w14:paraId="229BB747" w14:textId="77777777" w:rsidR="00CF1B49" w:rsidRDefault="006D3F44">
      <w:pPr>
        <w:spacing w:after="200" w:line="360" w:lineRule="auto"/>
        <w:ind w:left="-360" w:right="-360"/>
        <w:rPr>
          <w:rFonts w:ascii="Google Sans" w:eastAsia="Google Sans" w:hAnsi="Google Sans" w:cs="Google Sans"/>
        </w:rPr>
      </w:pPr>
      <w:r>
        <w:pict w14:anchorId="229BB74C">
          <v:rect id="_x0000_i1025" style="width:0;height:1.5pt" o:hralign="center" o:hrstd="t" o:hr="t" fillcolor="#a0a0a0" stroked="f"/>
        </w:pict>
      </w:r>
    </w:p>
    <w:p w14:paraId="229BB748" w14:textId="77777777" w:rsidR="00CF1B49" w:rsidRDefault="00CF1B49">
      <w:pPr>
        <w:spacing w:line="360" w:lineRule="auto"/>
        <w:ind w:left="-360" w:right="-360"/>
        <w:rPr>
          <w:rFonts w:ascii="Google Sans" w:eastAsia="Google Sans" w:hAnsi="Google Sans" w:cs="Google Sans"/>
        </w:rPr>
      </w:pPr>
    </w:p>
    <w:tbl>
      <w:tblPr>
        <w:tblStyle w:val="a0"/>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CF1B49" w14:paraId="229BB74A" w14:textId="77777777">
        <w:tc>
          <w:tcPr>
            <w:tcW w:w="10080" w:type="dxa"/>
            <w:tcMar>
              <w:top w:w="100" w:type="dxa"/>
              <w:left w:w="100" w:type="dxa"/>
              <w:bottom w:w="100" w:type="dxa"/>
              <w:right w:w="100" w:type="dxa"/>
            </w:tcMar>
          </w:tcPr>
          <w:p w14:paraId="229BB749" w14:textId="62FB38B0" w:rsidR="00CF1B49" w:rsidRPr="00F76542" w:rsidRDefault="007A4D0E" w:rsidP="00777124">
            <w:pPr>
              <w:widowControl w:val="0"/>
              <w:spacing w:line="360" w:lineRule="auto"/>
              <w:rPr>
                <w:rFonts w:ascii="Google Sans" w:eastAsia="Google Sans" w:hAnsi="Google Sans" w:cs="Google Sans"/>
                <w:lang w:val="en-US"/>
              </w:rPr>
            </w:pPr>
            <w:r w:rsidRPr="00F76542">
              <w:rPr>
                <w:rFonts w:ascii="Google Sans" w:eastAsia="Google Sans" w:hAnsi="Google Sans" w:cs="Google Sans"/>
              </w:rPr>
              <w:t>Reflections/Notes:</w:t>
            </w:r>
          </w:p>
        </w:tc>
      </w:tr>
    </w:tbl>
    <w:p w14:paraId="229BB74B" w14:textId="77777777" w:rsidR="00CF1B49" w:rsidRDefault="00CF1B49">
      <w:pPr>
        <w:spacing w:line="360" w:lineRule="auto"/>
        <w:ind w:left="-360" w:right="-360"/>
        <w:rPr>
          <w:rFonts w:ascii="Google Sans" w:eastAsia="Google Sans" w:hAnsi="Google Sans" w:cs="Google Sans"/>
        </w:rPr>
      </w:pPr>
    </w:p>
    <w:p w14:paraId="4D783123" w14:textId="77777777" w:rsidR="00457683" w:rsidRPr="00457683" w:rsidRDefault="00457683" w:rsidP="00457683">
      <w:pPr>
        <w:spacing w:line="360" w:lineRule="auto"/>
        <w:ind w:left="-360" w:right="-360"/>
        <w:rPr>
          <w:rFonts w:ascii="Google Sans" w:eastAsia="Google Sans" w:hAnsi="Google Sans" w:cs="Google Sans"/>
        </w:rPr>
      </w:pPr>
    </w:p>
    <w:p w14:paraId="1701E375" w14:textId="77777777" w:rsidR="00457683" w:rsidRPr="00457683" w:rsidRDefault="00457683" w:rsidP="00457683">
      <w:pPr>
        <w:spacing w:line="360" w:lineRule="auto"/>
        <w:ind w:left="-360" w:right="-360"/>
        <w:rPr>
          <w:rFonts w:ascii="Google Sans" w:eastAsia="Google Sans" w:hAnsi="Google Sans" w:cs="Google Sans"/>
        </w:rPr>
      </w:pPr>
    </w:p>
    <w:p w14:paraId="3E7FCDE1" w14:textId="77777777" w:rsidR="00457683" w:rsidRPr="00457683" w:rsidRDefault="00457683" w:rsidP="00457683">
      <w:pPr>
        <w:spacing w:line="360" w:lineRule="auto"/>
        <w:ind w:left="-360" w:right="-360"/>
        <w:rPr>
          <w:rFonts w:ascii="Google Sans" w:eastAsia="Google Sans" w:hAnsi="Google Sans" w:cs="Google Sans"/>
        </w:rPr>
      </w:pPr>
    </w:p>
    <w:p w14:paraId="480A0A6D" w14:textId="77777777" w:rsidR="00457683" w:rsidRPr="00457683" w:rsidRDefault="00457683" w:rsidP="00457683">
      <w:pPr>
        <w:spacing w:line="360" w:lineRule="auto"/>
        <w:ind w:left="-360" w:right="-360"/>
        <w:rPr>
          <w:rFonts w:ascii="Google Sans" w:eastAsia="Google Sans" w:hAnsi="Google Sans" w:cs="Google Sans"/>
        </w:rPr>
      </w:pPr>
    </w:p>
    <w:p w14:paraId="30C37E9E" w14:textId="77777777" w:rsidR="00457683" w:rsidRDefault="00457683">
      <w:pPr>
        <w:spacing w:line="360" w:lineRule="auto"/>
        <w:ind w:left="-360" w:right="-360"/>
        <w:rPr>
          <w:rFonts w:ascii="Google Sans" w:eastAsia="Google Sans" w:hAnsi="Google Sans" w:cs="Google Sans"/>
        </w:rPr>
      </w:pPr>
    </w:p>
    <w:sectPr w:rsidR="00457683">
      <w:headerReference w:type="default" r:id="rId7"/>
      <w:headerReference w:type="first" r:id="rId8"/>
      <w:footerReference w:type="first" r:id="rId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2FE98" w14:textId="77777777" w:rsidR="006D3F44" w:rsidRDefault="006D3F44">
      <w:pPr>
        <w:spacing w:line="240" w:lineRule="auto"/>
      </w:pPr>
      <w:r>
        <w:separator/>
      </w:r>
    </w:p>
  </w:endnote>
  <w:endnote w:type="continuationSeparator" w:id="0">
    <w:p w14:paraId="01D4E429" w14:textId="77777777" w:rsidR="006D3F44" w:rsidRDefault="006D3F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8F51FD06-8581-4441-9283-963402637A01}"/>
    <w:embedBold r:id="rId2" w:fontKey="{1D217A46-B254-4962-8C8B-9BB1E0766932}"/>
  </w:font>
  <w:font w:name="Calibri">
    <w:panose1 w:val="020F0502020204030204"/>
    <w:charset w:val="00"/>
    <w:family w:val="swiss"/>
    <w:pitch w:val="variable"/>
    <w:sig w:usb0="E4002EFF" w:usb1="C200247B" w:usb2="00000009" w:usb3="00000000" w:csb0="000001FF" w:csb1="00000000"/>
    <w:embedRegular r:id="rId3" w:fontKey="{0E457BE9-9705-476E-B413-49D8ACBE9CCF}"/>
  </w:font>
  <w:font w:name="Cambria">
    <w:panose1 w:val="02040503050406030204"/>
    <w:charset w:val="00"/>
    <w:family w:val="roman"/>
    <w:pitch w:val="variable"/>
    <w:sig w:usb0="E00006FF" w:usb1="420024FF" w:usb2="02000000" w:usb3="00000000" w:csb0="0000019F" w:csb1="00000000"/>
    <w:embedRegular r:id="rId4" w:fontKey="{A7C9A3FF-7E4F-4CE0-82A4-4937ED6F064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BB74F" w14:textId="77777777" w:rsidR="00CF1B49" w:rsidRDefault="00CF1B4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9B6D7" w14:textId="77777777" w:rsidR="006D3F44" w:rsidRDefault="006D3F44">
      <w:pPr>
        <w:spacing w:line="240" w:lineRule="auto"/>
      </w:pPr>
      <w:r>
        <w:separator/>
      </w:r>
    </w:p>
  </w:footnote>
  <w:footnote w:type="continuationSeparator" w:id="0">
    <w:p w14:paraId="65753C4C" w14:textId="77777777" w:rsidR="006D3F44" w:rsidRDefault="006D3F4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BB74D" w14:textId="77777777" w:rsidR="00CF1B49" w:rsidRDefault="00CF1B4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BB74E" w14:textId="77777777" w:rsidR="00CF1B49" w:rsidRDefault="007A4D0E">
    <w:r>
      <w:rPr>
        <w:noProof/>
      </w:rPr>
      <w:drawing>
        <wp:inline distT="114300" distB="114300" distL="114300" distR="114300" wp14:anchorId="229BB750" wp14:editId="229BB751">
          <wp:extent cx="1096601" cy="8143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3942" t="28613" r="18910" b="26277"/>
                  <a:stretch>
                    <a:fillRect/>
                  </a:stretch>
                </pic:blipFill>
                <pic:spPr>
                  <a:xfrm>
                    <a:off x="0" y="0"/>
                    <a:ext cx="1096601" cy="81438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90B3F"/>
    <w:multiLevelType w:val="multilevel"/>
    <w:tmpl w:val="51BA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84DCE"/>
    <w:multiLevelType w:val="multilevel"/>
    <w:tmpl w:val="3D36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AA150E"/>
    <w:multiLevelType w:val="multilevel"/>
    <w:tmpl w:val="E55E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175249"/>
    <w:multiLevelType w:val="multilevel"/>
    <w:tmpl w:val="FEEE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934AC8"/>
    <w:multiLevelType w:val="multilevel"/>
    <w:tmpl w:val="368E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D65896"/>
    <w:multiLevelType w:val="multilevel"/>
    <w:tmpl w:val="6876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9F38CF"/>
    <w:multiLevelType w:val="multilevel"/>
    <w:tmpl w:val="146C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CA478C"/>
    <w:multiLevelType w:val="multilevel"/>
    <w:tmpl w:val="0180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837C58"/>
    <w:multiLevelType w:val="multilevel"/>
    <w:tmpl w:val="2D94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1812C9"/>
    <w:multiLevelType w:val="multilevel"/>
    <w:tmpl w:val="D1E2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311852"/>
    <w:multiLevelType w:val="multilevel"/>
    <w:tmpl w:val="626E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203B0B"/>
    <w:multiLevelType w:val="multilevel"/>
    <w:tmpl w:val="839C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F17ED9"/>
    <w:multiLevelType w:val="multilevel"/>
    <w:tmpl w:val="401A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631DF1"/>
    <w:multiLevelType w:val="multilevel"/>
    <w:tmpl w:val="A702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F232C0"/>
    <w:multiLevelType w:val="multilevel"/>
    <w:tmpl w:val="6052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7279999">
    <w:abstractNumId w:val="7"/>
  </w:num>
  <w:num w:numId="2" w16cid:durableId="1355690716">
    <w:abstractNumId w:val="6"/>
  </w:num>
  <w:num w:numId="3" w16cid:durableId="425148819">
    <w:abstractNumId w:val="13"/>
  </w:num>
  <w:num w:numId="4" w16cid:durableId="1185554607">
    <w:abstractNumId w:val="14"/>
  </w:num>
  <w:num w:numId="5" w16cid:durableId="1762602237">
    <w:abstractNumId w:val="2"/>
  </w:num>
  <w:num w:numId="6" w16cid:durableId="202861941">
    <w:abstractNumId w:val="3"/>
  </w:num>
  <w:num w:numId="7" w16cid:durableId="824128768">
    <w:abstractNumId w:val="12"/>
  </w:num>
  <w:num w:numId="8" w16cid:durableId="2068263832">
    <w:abstractNumId w:val="8"/>
  </w:num>
  <w:num w:numId="9" w16cid:durableId="1865512599">
    <w:abstractNumId w:val="0"/>
  </w:num>
  <w:num w:numId="10" w16cid:durableId="1517844670">
    <w:abstractNumId w:val="10"/>
  </w:num>
  <w:num w:numId="11" w16cid:durableId="1393235804">
    <w:abstractNumId w:val="11"/>
  </w:num>
  <w:num w:numId="12" w16cid:durableId="299464552">
    <w:abstractNumId w:val="9"/>
  </w:num>
  <w:num w:numId="13" w16cid:durableId="1351644912">
    <w:abstractNumId w:val="5"/>
  </w:num>
  <w:num w:numId="14" w16cid:durableId="58679670">
    <w:abstractNumId w:val="4"/>
  </w:num>
  <w:num w:numId="15" w16cid:durableId="19008978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B49"/>
    <w:rsid w:val="00064323"/>
    <w:rsid w:val="00166354"/>
    <w:rsid w:val="001C4C78"/>
    <w:rsid w:val="00217AD3"/>
    <w:rsid w:val="00257A0F"/>
    <w:rsid w:val="002C22C6"/>
    <w:rsid w:val="002F51FA"/>
    <w:rsid w:val="00315E82"/>
    <w:rsid w:val="00317711"/>
    <w:rsid w:val="0037189C"/>
    <w:rsid w:val="00393632"/>
    <w:rsid w:val="003F5A63"/>
    <w:rsid w:val="00430485"/>
    <w:rsid w:val="00432CF3"/>
    <w:rsid w:val="0045614D"/>
    <w:rsid w:val="00457683"/>
    <w:rsid w:val="004672B3"/>
    <w:rsid w:val="004F102A"/>
    <w:rsid w:val="005F4085"/>
    <w:rsid w:val="00633F51"/>
    <w:rsid w:val="00642266"/>
    <w:rsid w:val="00673D65"/>
    <w:rsid w:val="006A1F43"/>
    <w:rsid w:val="006D3F44"/>
    <w:rsid w:val="006F0FF4"/>
    <w:rsid w:val="00767623"/>
    <w:rsid w:val="00777124"/>
    <w:rsid w:val="007A4010"/>
    <w:rsid w:val="007A4D0E"/>
    <w:rsid w:val="007B1990"/>
    <w:rsid w:val="007D6C5F"/>
    <w:rsid w:val="008014FE"/>
    <w:rsid w:val="0092534E"/>
    <w:rsid w:val="009F2530"/>
    <w:rsid w:val="00AB476A"/>
    <w:rsid w:val="00B93A06"/>
    <w:rsid w:val="00BB538B"/>
    <w:rsid w:val="00C33A10"/>
    <w:rsid w:val="00C76735"/>
    <w:rsid w:val="00CF1B49"/>
    <w:rsid w:val="00D03B61"/>
    <w:rsid w:val="00D406F3"/>
    <w:rsid w:val="00D50F82"/>
    <w:rsid w:val="00D95ECA"/>
    <w:rsid w:val="00E00718"/>
    <w:rsid w:val="00E165D0"/>
    <w:rsid w:val="00E816A6"/>
    <w:rsid w:val="00E957E2"/>
    <w:rsid w:val="00F3448C"/>
    <w:rsid w:val="00F56A58"/>
    <w:rsid w:val="00F618ED"/>
    <w:rsid w:val="00F76542"/>
    <w:rsid w:val="00F95572"/>
    <w:rsid w:val="00FB4A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BB731"/>
  <w15:docId w15:val="{8163FAB7-CE2B-4D02-B2DD-953F637B1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39363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233</TotalTime>
  <Pages>2</Pages>
  <Words>397</Words>
  <Characters>2266</Characters>
  <Application>Microsoft Office Word</Application>
  <DocSecurity>0</DocSecurity>
  <Lines>18</Lines>
  <Paragraphs>5</Paragraphs>
  <ScaleCrop>false</ScaleCrop>
  <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Rawan Hassan</cp:lastModifiedBy>
  <cp:revision>51</cp:revision>
  <dcterms:created xsi:type="dcterms:W3CDTF">2026-04-30T13:22:00Z</dcterms:created>
  <dcterms:modified xsi:type="dcterms:W3CDTF">2026-05-05T16:08:00Z</dcterms:modified>
</cp:coreProperties>
</file>