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941" w:rsidRDefault="00E61700" w:rsidP="00E617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Casos de uso</w:t>
      </w:r>
    </w:p>
    <w:p w:rsidR="00113A8F" w:rsidRDefault="00113A8F" w:rsidP="00113A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diagrama de casos de uso puede usarse para responder a las preguntas:</w:t>
      </w:r>
    </w:p>
    <w:p w:rsidR="00113A8F" w:rsidRDefault="00113A8F" w:rsidP="00113A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se está describiendo? (el sistema)</w:t>
      </w:r>
    </w:p>
    <w:p w:rsidR="00113A8F" w:rsidRDefault="00113A8F" w:rsidP="00113A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¿Quién interactúa con el sistema? (el actor)</w:t>
      </w:r>
    </w:p>
    <w:p w:rsidR="00113A8F" w:rsidRPr="00113A8F" w:rsidRDefault="00113A8F" w:rsidP="00113A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pueden hacer los actores? (los casos de uso)</w:t>
      </w:r>
    </w:p>
    <w:p w:rsidR="00113A8F" w:rsidRDefault="00113A8F" w:rsidP="00E6170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 de uso</w:t>
      </w:r>
    </w:p>
    <w:p w:rsidR="00113A8F" w:rsidRDefault="00113A8F" w:rsidP="00113A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la funcionalidad esperada del sistema que se está desarrollando.</w:t>
      </w:r>
    </w:p>
    <w:p w:rsidR="00A01D78" w:rsidRDefault="00A01D78" w:rsidP="00A01D7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13A8F" w:rsidRPr="00A01D78" w:rsidRDefault="00113A8F" w:rsidP="00A01D78">
      <w:pPr>
        <w:jc w:val="both"/>
        <w:rPr>
          <w:rFonts w:ascii="Arial" w:hAnsi="Arial" w:cs="Arial"/>
          <w:sz w:val="24"/>
          <w:szCs w:val="24"/>
        </w:rPr>
      </w:pPr>
      <w:r w:rsidRPr="00A01D78">
        <w:rPr>
          <w:rFonts w:ascii="Arial" w:hAnsi="Arial" w:cs="Arial"/>
          <w:sz w:val="24"/>
          <w:szCs w:val="24"/>
        </w:rPr>
        <w:t>El conjunto de casos de uso describe la funcionalidad que un sistema deberá proveer.</w:t>
      </w:r>
    </w:p>
    <w:p w:rsidR="00A01D78" w:rsidRPr="00A01D78" w:rsidRDefault="00A01D78" w:rsidP="00A01D78">
      <w:pPr>
        <w:jc w:val="both"/>
        <w:rPr>
          <w:rFonts w:ascii="Arial" w:hAnsi="Arial" w:cs="Arial"/>
          <w:sz w:val="24"/>
          <w:szCs w:val="24"/>
        </w:rPr>
      </w:pPr>
      <w:r w:rsidRPr="00A01D78">
        <w:rPr>
          <w:rFonts w:ascii="Arial" w:hAnsi="Arial" w:cs="Arial"/>
          <w:sz w:val="24"/>
          <w:szCs w:val="24"/>
        </w:rPr>
        <w:t xml:space="preserve">Los casos de uso deberían ser desarrollados desde la perspectiva de los </w:t>
      </w:r>
      <w:proofErr w:type="spellStart"/>
      <w:r w:rsidRPr="00A01D78">
        <w:rPr>
          <w:rFonts w:ascii="Arial" w:hAnsi="Arial" w:cs="Arial"/>
          <w:sz w:val="24"/>
          <w:szCs w:val="24"/>
        </w:rPr>
        <w:t>stakeholders</w:t>
      </w:r>
      <w:proofErr w:type="spellEnd"/>
      <w:r w:rsidRPr="00A01D78">
        <w:rPr>
          <w:rFonts w:ascii="Arial" w:hAnsi="Arial" w:cs="Arial"/>
          <w:sz w:val="24"/>
          <w:szCs w:val="24"/>
        </w:rPr>
        <w:t xml:space="preserve"> del proyecto y no desde la perspectiva (comúnmente técnica) de los desarrolladores.</w:t>
      </w:r>
    </w:p>
    <w:p w:rsidR="00A01D78" w:rsidRDefault="00A01D78" w:rsidP="00A01D7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Actores</w:t>
      </w:r>
    </w:p>
    <w:p w:rsidR="00A01D78" w:rsidRDefault="00A01D78" w:rsidP="00A01D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actores pueden interactuar con el sistema…</w:t>
      </w:r>
    </w:p>
    <w:p w:rsidR="00A01D78" w:rsidRDefault="00A01D78" w:rsidP="00A01D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casos de uso</w:t>
      </w:r>
    </w:p>
    <w:p w:rsidR="00A01D78" w:rsidRDefault="00A01D78" w:rsidP="00A01D7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actor inicia la ejecución del caso de uso.</w:t>
      </w:r>
    </w:p>
    <w:p w:rsidR="00A01D78" w:rsidRDefault="00A01D78" w:rsidP="00A01D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Siendo usados por casos de uso</w:t>
      </w:r>
    </w:p>
    <w:p w:rsidR="00A01D78" w:rsidRDefault="00A01D78" w:rsidP="00A01D7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actores proveen funcionalidad para la ejecución de casos de uso.</w:t>
      </w:r>
    </w:p>
    <w:p w:rsidR="00A01D78" w:rsidRPr="00A01D78" w:rsidRDefault="00A01D78" w:rsidP="00A01D78">
      <w:pPr>
        <w:jc w:val="both"/>
        <w:rPr>
          <w:rFonts w:ascii="Arial" w:hAnsi="Arial" w:cs="Arial"/>
          <w:sz w:val="24"/>
          <w:szCs w:val="24"/>
        </w:rPr>
      </w:pPr>
    </w:p>
    <w:p w:rsidR="00E61700" w:rsidRDefault="00E61700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necesario que los actores sean seres humanos.</w:t>
      </w:r>
    </w:p>
    <w:p w:rsidR="006718CC" w:rsidRDefault="006718CC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actor es una persona, organización, proceso local o sistema externo que juega un rol en una o más interacciones con el sistema.</w:t>
      </w:r>
    </w:p>
    <w:p w:rsidR="00A01D78" w:rsidRDefault="00A01D78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actores representan roles que los usuarios adoptan.</w:t>
      </w:r>
    </w:p>
    <w:p w:rsidR="00A01D78" w:rsidRDefault="00A01D78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actores pueden ser…</w:t>
      </w:r>
    </w:p>
    <w:p w:rsidR="00A01D78" w:rsidRDefault="00A01D78" w:rsidP="00A01D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Humanos</w:t>
      </w:r>
    </w:p>
    <w:p w:rsidR="00A01D78" w:rsidRDefault="00A01D78" w:rsidP="00A01D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humanos</w:t>
      </w:r>
    </w:p>
    <w:p w:rsidR="00A01D78" w:rsidRDefault="00A01D78" w:rsidP="00A01D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Primarios</w:t>
      </w:r>
    </w:p>
    <w:p w:rsidR="00A01D78" w:rsidRDefault="00A01D78" w:rsidP="00A01D7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Obtienen el mayor beneficio de la ejecución del caso de uso.</w:t>
      </w:r>
    </w:p>
    <w:p w:rsidR="00A01D78" w:rsidRDefault="00A01D78" w:rsidP="00A01D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Secundarios</w:t>
      </w:r>
    </w:p>
    <w:p w:rsidR="00A01D78" w:rsidRDefault="00A01D78" w:rsidP="00A01D7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reciben beneficio directo.</w:t>
      </w:r>
    </w:p>
    <w:p w:rsidR="00A01D78" w:rsidRDefault="00A01D78" w:rsidP="00A01D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Activos</w:t>
      </w:r>
    </w:p>
    <w:p w:rsidR="00A01D78" w:rsidRDefault="00A01D78" w:rsidP="00A01D7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Inician la ejecución del caso de uso.</w:t>
      </w:r>
    </w:p>
    <w:p w:rsidR="00A01D78" w:rsidRDefault="00A01D78" w:rsidP="00A01D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Pasivos</w:t>
      </w:r>
    </w:p>
    <w:p w:rsidR="00A01D78" w:rsidRDefault="00A01D78" w:rsidP="00A01D7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Proveen funcionalidad para la ejecución del caso de uso.</w:t>
      </w:r>
    </w:p>
    <w:p w:rsidR="00A01D78" w:rsidRDefault="00A01D78" w:rsidP="00A01D7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Relaciones entre casos de uso y actores</w:t>
      </w:r>
    </w:p>
    <w:p w:rsidR="00A01D78" w:rsidRDefault="00A01D78" w:rsidP="00A01D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Actores y casos de uso se conectan con líneas sólidas (asociaciones).</w:t>
      </w:r>
    </w:p>
    <w:p w:rsidR="00A01D78" w:rsidRDefault="00A01D78" w:rsidP="00A01D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actor debe comunicarse con al menos un caso de uso.</w:t>
      </w:r>
    </w:p>
    <w:p w:rsidR="00A01D78" w:rsidRDefault="00A01D78" w:rsidP="00A01D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 especificar multiplicidad.</w:t>
      </w:r>
    </w:p>
    <w:p w:rsidR="00A01D78" w:rsidRDefault="00A01D78" w:rsidP="00A01D7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01D78">
        <w:rPr>
          <w:rFonts w:ascii="Arial" w:hAnsi="Arial" w:cs="Arial"/>
          <w:sz w:val="24"/>
          <w:szCs w:val="24"/>
        </w:rPr>
        <w:drawing>
          <wp:inline distT="0" distB="0" distL="0" distR="0" wp14:anchorId="72FD39B3" wp14:editId="348256F8">
            <wp:extent cx="2033790" cy="1143000"/>
            <wp:effectExtent l="0" t="0" r="5080" b="0"/>
            <wp:docPr id="430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Grafik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931" cy="114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78" w:rsidRPr="00A01D78" w:rsidRDefault="00A01D78" w:rsidP="00A01D7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705E77" w:rsidRPr="00705E77" w:rsidRDefault="00705E77" w:rsidP="00E61700">
      <w:pPr>
        <w:jc w:val="both"/>
        <w:rPr>
          <w:rFonts w:ascii="Arial" w:hAnsi="Arial" w:cs="Arial"/>
          <w:sz w:val="24"/>
          <w:szCs w:val="24"/>
          <w:u w:val="single"/>
        </w:rPr>
      </w:pPr>
      <w:r w:rsidRPr="00705E77">
        <w:rPr>
          <w:rFonts w:ascii="Arial" w:hAnsi="Arial" w:cs="Arial"/>
          <w:sz w:val="24"/>
          <w:szCs w:val="24"/>
          <w:u w:val="single"/>
        </w:rPr>
        <w:t>&lt;&lt;</w:t>
      </w:r>
      <w:proofErr w:type="spellStart"/>
      <w:r w:rsidRPr="00705E77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705E77">
        <w:rPr>
          <w:rFonts w:ascii="Arial" w:hAnsi="Arial" w:cs="Arial"/>
          <w:sz w:val="24"/>
          <w:szCs w:val="24"/>
          <w:u w:val="single"/>
        </w:rPr>
        <w:t>&gt;&gt;</w:t>
      </w:r>
    </w:p>
    <w:p w:rsidR="00EE580E" w:rsidRDefault="00EE580E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asociación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extend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una relación de generalización en donde el caso de uso “heredero” (</w:t>
      </w:r>
      <w:proofErr w:type="spellStart"/>
      <w:r>
        <w:rPr>
          <w:rFonts w:ascii="Arial" w:hAnsi="Arial" w:cs="Arial"/>
          <w:sz w:val="24"/>
          <w:szCs w:val="24"/>
        </w:rPr>
        <w:t>extending</w:t>
      </w:r>
      <w:proofErr w:type="spellEnd"/>
      <w:r>
        <w:rPr>
          <w:rFonts w:ascii="Arial" w:hAnsi="Arial" w:cs="Arial"/>
          <w:sz w:val="24"/>
          <w:szCs w:val="24"/>
        </w:rPr>
        <w:t xml:space="preserve"> use case) continúa el comportamiento del caso de uso base, insertando secuencias de acción adicionales en el caso de uso base.</w:t>
      </w:r>
    </w:p>
    <w:p w:rsidR="00EE580E" w:rsidRDefault="00EE580E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común crear un caso de uso heredero cuando la lógica de un curso alterno del caso de uso base está a un nivel de complejidad similar al curso normal del caso de uso base.</w:t>
      </w:r>
    </w:p>
    <w:p w:rsidR="006F4B5D" w:rsidRDefault="006F4B5D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comportamiento de un caso de uso (caso de uso heredero) puede ser integrado en el comportamiento de otro caso de uso (caso de uso base) pero no es obligatorio.</w:t>
      </w:r>
    </w:p>
    <w:p w:rsidR="006F4B5D" w:rsidRDefault="006F4B5D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Ambos casos de uso pueden ejecutarse independientemente el uno del otro.</w:t>
      </w:r>
    </w:p>
    <w:p w:rsidR="006F4B5D" w:rsidRDefault="006F4B5D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72321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E4744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5D" w:rsidRDefault="006F4B5D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340042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4E3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77" w:rsidRPr="00705E77" w:rsidRDefault="00705E77" w:rsidP="00E61700">
      <w:pPr>
        <w:jc w:val="both"/>
        <w:rPr>
          <w:rFonts w:ascii="Arial" w:hAnsi="Arial" w:cs="Arial"/>
          <w:sz w:val="24"/>
          <w:szCs w:val="24"/>
          <w:u w:val="single"/>
        </w:rPr>
      </w:pPr>
      <w:r w:rsidRPr="00705E77">
        <w:rPr>
          <w:rFonts w:ascii="Arial" w:hAnsi="Arial" w:cs="Arial"/>
          <w:sz w:val="24"/>
          <w:szCs w:val="24"/>
          <w:u w:val="single"/>
        </w:rPr>
        <w:t>&lt;&lt;</w:t>
      </w:r>
      <w:proofErr w:type="spellStart"/>
      <w:r w:rsidRPr="00705E77">
        <w:rPr>
          <w:rFonts w:ascii="Arial" w:hAnsi="Arial" w:cs="Arial"/>
          <w:sz w:val="24"/>
          <w:szCs w:val="24"/>
          <w:u w:val="single"/>
        </w:rPr>
        <w:t>Include</w:t>
      </w:r>
      <w:proofErr w:type="spellEnd"/>
      <w:r w:rsidRPr="00705E77">
        <w:rPr>
          <w:rFonts w:ascii="Arial" w:hAnsi="Arial" w:cs="Arial"/>
          <w:sz w:val="24"/>
          <w:szCs w:val="24"/>
          <w:u w:val="single"/>
        </w:rPr>
        <w:t>&gt;&gt;</w:t>
      </w:r>
    </w:p>
    <w:p w:rsidR="00705E77" w:rsidRPr="00705E77" w:rsidRDefault="00705E77" w:rsidP="00705E77">
      <w:pPr>
        <w:jc w:val="both"/>
        <w:rPr>
          <w:rFonts w:ascii="Arial" w:hAnsi="Arial" w:cs="Arial"/>
          <w:sz w:val="24"/>
          <w:szCs w:val="24"/>
        </w:rPr>
      </w:pPr>
      <w:r w:rsidRPr="00705E77">
        <w:rPr>
          <w:rFonts w:ascii="Arial" w:hAnsi="Arial" w:cs="Arial"/>
          <w:sz w:val="24"/>
          <w:szCs w:val="24"/>
        </w:rPr>
        <w:t>Puede verse a la asociación &lt;&lt;</w:t>
      </w:r>
      <w:proofErr w:type="spellStart"/>
      <w:r w:rsidRPr="00705E77">
        <w:rPr>
          <w:rFonts w:ascii="Arial" w:hAnsi="Arial" w:cs="Arial"/>
          <w:sz w:val="24"/>
          <w:szCs w:val="24"/>
        </w:rPr>
        <w:t>include</w:t>
      </w:r>
      <w:proofErr w:type="spellEnd"/>
      <w:r w:rsidRPr="00705E77">
        <w:rPr>
          <w:rFonts w:ascii="Arial" w:hAnsi="Arial" w:cs="Arial"/>
          <w:sz w:val="24"/>
          <w:szCs w:val="24"/>
        </w:rPr>
        <w:t>&gt;&gt; como la invocación de un caso de uso por parte de otro.”</w:t>
      </w:r>
    </w:p>
    <w:p w:rsidR="00705E77" w:rsidRPr="00705E77" w:rsidRDefault="00705E77" w:rsidP="00705E77">
      <w:pPr>
        <w:jc w:val="both"/>
        <w:rPr>
          <w:rFonts w:ascii="Arial" w:hAnsi="Arial" w:cs="Arial"/>
          <w:sz w:val="24"/>
          <w:szCs w:val="24"/>
        </w:rPr>
      </w:pPr>
      <w:r w:rsidRPr="00705E77">
        <w:rPr>
          <w:rFonts w:ascii="Arial" w:hAnsi="Arial" w:cs="Arial"/>
          <w:sz w:val="24"/>
          <w:szCs w:val="24"/>
        </w:rPr>
        <w:t>“Es común crear un caso de uso que encapsula lógica común requerida por muchos casos de uso e incluir ese caso de uso en los otros que lo requieren.”</w:t>
      </w:r>
    </w:p>
    <w:p w:rsidR="00705E77" w:rsidRDefault="006F4B5D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comportamiento de un caso de uso (caso de uso incluido) es integrado en el comportamiento de otro caso de uso (caso de uso base).</w:t>
      </w:r>
    </w:p>
    <w:p w:rsidR="006F4B5D" w:rsidRDefault="006F4B5D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87007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4DA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5D" w:rsidRDefault="006F4B5D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429743" cy="206721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45B5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5D" w:rsidRPr="00EE580E" w:rsidRDefault="006F4B5D" w:rsidP="00E61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192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4BB9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CC" w:rsidRDefault="006718CC" w:rsidP="00E6170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Consejos generales para casos de uso</w:t>
      </w:r>
    </w:p>
    <w:p w:rsidR="006718CC" w:rsidRDefault="006718CC" w:rsidP="006718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Comenzar los nombres de los casos de uso con “verbos fuertes”</w:t>
      </w:r>
    </w:p>
    <w:p w:rsidR="006718CC" w:rsidRDefault="006718CC" w:rsidP="006718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Nombrar los casos de uso utilizando terminología del dominio.</w:t>
      </w:r>
    </w:p>
    <w:p w:rsidR="006718CC" w:rsidRDefault="006718CC" w:rsidP="006718C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“El nombre de un caso de uso debería, inmediatamente, darle una idea a los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 xml:space="preserve"> de qué hará ese CU.”</w:t>
      </w:r>
    </w:p>
    <w:p w:rsidR="006718CC" w:rsidRDefault="006718CC" w:rsidP="006718CC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6718CC" w:rsidRDefault="006718CC" w:rsidP="006718C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Consejos para actores</w:t>
      </w:r>
    </w:p>
    <w:p w:rsidR="006718CC" w:rsidRDefault="006718CC" w:rsidP="006718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al actor principal en la esquina superior izquierda del diagrama.</w:t>
      </w:r>
    </w:p>
    <w:p w:rsidR="006718CC" w:rsidRDefault="006718CC" w:rsidP="006718C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“En la cultura occidental empezamos a leer desde la esquina superior izquierda.”</w:t>
      </w:r>
    </w:p>
    <w:p w:rsidR="006718CC" w:rsidRDefault="006718CC" w:rsidP="006718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Dibujar a los actores fuera del rectángulo</w:t>
      </w:r>
    </w:p>
    <w:p w:rsidR="006718CC" w:rsidRDefault="006718CC" w:rsidP="006718C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“Los actores se encuentran fuera de tu alcance de control; eso se puede comunicar dibujándolos fuera del rectángulo.”</w:t>
      </w:r>
    </w:p>
    <w:p w:rsidR="006718CC" w:rsidRDefault="006718CC" w:rsidP="006718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Nombrar a los actores con sustantivos singulares que sean relevantes para el dominio.</w:t>
      </w:r>
    </w:p>
    <w:p w:rsidR="006718CC" w:rsidRDefault="006718CC" w:rsidP="006718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actor debe estar relacionado con al menos un caso de uso.</w:t>
      </w:r>
    </w:p>
    <w:p w:rsidR="006718CC" w:rsidRDefault="006718CC" w:rsidP="006718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Nombrar actores </w:t>
      </w:r>
      <w:r w:rsidR="004F4604">
        <w:rPr>
          <w:rFonts w:ascii="Arial" w:hAnsi="Arial" w:cs="Arial"/>
          <w:sz w:val="24"/>
          <w:szCs w:val="24"/>
        </w:rPr>
        <w:t>con base en los roles que toman, no en los puestos que ocupan.</w:t>
      </w:r>
    </w:p>
    <w:p w:rsidR="004F4604" w:rsidRDefault="004F4604" w:rsidP="006718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&lt;&lt;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>&gt;&gt; para indicar sistemas actores.</w:t>
      </w:r>
    </w:p>
    <w:p w:rsidR="004F4604" w:rsidRDefault="004F4604" w:rsidP="004F4604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4F4604" w:rsidRDefault="004F4604" w:rsidP="004F4604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Consejos para relaciones</w:t>
      </w:r>
    </w:p>
    <w:p w:rsidR="004F4604" w:rsidRDefault="004F4604" w:rsidP="004F46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Indicar una asociación entre un actor y un caso de uso si el actor aparece en la descripción del caso de uso.</w:t>
      </w:r>
    </w:p>
    <w:p w:rsidR="004F4604" w:rsidRDefault="004F4604" w:rsidP="004F460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“El diagrama de casos de uso debería ser consistente con las descripciones. Si un actor brinda información, inicia el caso de uso o recibe cualquier tipo de información como resultado del caso de uso, entonces el diagrama debería mostrar una asociación entre el actor y el caso de uso.”</w:t>
      </w:r>
    </w:p>
    <w:p w:rsidR="00EE580E" w:rsidRPr="00BA2171" w:rsidRDefault="004F4604" w:rsidP="00BA21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&lt;&lt;</w:t>
      </w:r>
      <w:proofErr w:type="spellStart"/>
      <w:r>
        <w:rPr>
          <w:rFonts w:ascii="Arial" w:hAnsi="Arial" w:cs="Arial"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&gt;&gt; cuando se sepa exactamente cuándo invocar al caso de uso incluido</w:t>
      </w:r>
      <w:r w:rsidR="00BA2171">
        <w:rPr>
          <w:rFonts w:ascii="Arial" w:hAnsi="Arial" w:cs="Arial"/>
          <w:sz w:val="24"/>
          <w:szCs w:val="24"/>
        </w:rPr>
        <w:t>.</w:t>
      </w:r>
    </w:p>
    <w:p w:rsidR="00EE580E" w:rsidRDefault="00EE580E" w:rsidP="00EE580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&lt;&lt;</w:t>
      </w:r>
      <w:proofErr w:type="spellStart"/>
      <w:r>
        <w:rPr>
          <w:rFonts w:ascii="Arial" w:hAnsi="Arial" w:cs="Arial"/>
          <w:sz w:val="24"/>
          <w:szCs w:val="24"/>
        </w:rPr>
        <w:t>extend</w:t>
      </w:r>
      <w:proofErr w:type="spellEnd"/>
      <w:r>
        <w:rPr>
          <w:rFonts w:ascii="Arial" w:hAnsi="Arial" w:cs="Arial"/>
          <w:sz w:val="24"/>
          <w:szCs w:val="24"/>
        </w:rPr>
        <w:t>&gt;&gt; cuando un caso de uso podría ser invocado en más de uno de los pasos del caso de uso base.</w:t>
      </w:r>
    </w:p>
    <w:p w:rsidR="00705E77" w:rsidRDefault="00705E77" w:rsidP="00EE580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escasamente las asociaciones &lt;&lt;</w:t>
      </w:r>
      <w:proofErr w:type="spellStart"/>
      <w:r>
        <w:rPr>
          <w:rFonts w:ascii="Arial" w:hAnsi="Arial" w:cs="Arial"/>
          <w:sz w:val="24"/>
          <w:szCs w:val="24"/>
        </w:rPr>
        <w:t>extend</w:t>
      </w:r>
      <w:proofErr w:type="spellEnd"/>
      <w:r>
        <w:rPr>
          <w:rFonts w:ascii="Arial" w:hAnsi="Arial" w:cs="Arial"/>
          <w:sz w:val="24"/>
          <w:szCs w:val="24"/>
        </w:rPr>
        <w:t>&gt;&gt;</w:t>
      </w:r>
    </w:p>
    <w:p w:rsidR="00705E77" w:rsidRDefault="00705E77" w:rsidP="00705E7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“Muchos modeladores evitan le uso de asociaciones &lt;&lt;</w:t>
      </w:r>
      <w:proofErr w:type="spellStart"/>
      <w:r>
        <w:rPr>
          <w:rFonts w:ascii="Arial" w:hAnsi="Arial" w:cs="Arial"/>
          <w:sz w:val="24"/>
          <w:szCs w:val="24"/>
        </w:rPr>
        <w:t>extend</w:t>
      </w:r>
      <w:proofErr w:type="spellEnd"/>
      <w:r>
        <w:rPr>
          <w:rFonts w:ascii="Arial" w:hAnsi="Arial" w:cs="Arial"/>
          <w:sz w:val="24"/>
          <w:szCs w:val="24"/>
        </w:rPr>
        <w:t>&gt;&gt; porque tienden a volver el diagrama muy difícil de entender.”</w:t>
      </w:r>
    </w:p>
    <w:p w:rsidR="00BA2171" w:rsidRDefault="00BA2171" w:rsidP="00BA21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más de dos niveles de asociaciones de casos de uso.</w:t>
      </w:r>
    </w:p>
    <w:p w:rsidR="00BA2171" w:rsidRDefault="00BA2171" w:rsidP="00BA21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al caso de uso incluido a la derecha del caso de uso invocador.</w:t>
      </w:r>
    </w:p>
    <w:p w:rsidR="00BA2171" w:rsidRDefault="00BA2171" w:rsidP="00BA21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al caso de uso heredero debajo del caso de uso padre.</w:t>
      </w:r>
    </w:p>
    <w:p w:rsidR="006F4B5D" w:rsidRDefault="006F4B5D" w:rsidP="006F4B5D">
      <w:pPr>
        <w:jc w:val="both"/>
        <w:rPr>
          <w:rFonts w:ascii="Arial" w:hAnsi="Arial" w:cs="Arial"/>
          <w:sz w:val="24"/>
          <w:szCs w:val="24"/>
        </w:rPr>
      </w:pPr>
    </w:p>
    <w:p w:rsidR="006F4B5D" w:rsidRDefault="006F4B5D" w:rsidP="006F4B5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Buenas prácticas</w:t>
      </w:r>
    </w:p>
    <w:p w:rsidR="006F4B5D" w:rsidRPr="006F4B5D" w:rsidRDefault="006F4B5D" w:rsidP="006F4B5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311594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488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4B5D" w:rsidRPr="006F4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62192"/>
    <w:multiLevelType w:val="hybridMultilevel"/>
    <w:tmpl w:val="13BA1984"/>
    <w:lvl w:ilvl="0" w:tplc="63E23F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4A5E"/>
    <w:multiLevelType w:val="hybridMultilevel"/>
    <w:tmpl w:val="3B2EC2B0"/>
    <w:lvl w:ilvl="0" w:tplc="F27C3F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00"/>
    <w:rsid w:val="00113A8F"/>
    <w:rsid w:val="004F4604"/>
    <w:rsid w:val="006718CC"/>
    <w:rsid w:val="006F4B5D"/>
    <w:rsid w:val="00705E77"/>
    <w:rsid w:val="00A01D78"/>
    <w:rsid w:val="00A90941"/>
    <w:rsid w:val="00BA2171"/>
    <w:rsid w:val="00E61700"/>
    <w:rsid w:val="00EE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EBB8"/>
  <w15:chartTrackingRefBased/>
  <w15:docId w15:val="{CFE6EBF8-936D-4326-811D-CD0CBF74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ORTIZ ADAIR BENJAMIN</dc:creator>
  <cp:keywords/>
  <dc:description/>
  <cp:lastModifiedBy>HERNANDEZ ORTIZ ADAIR BENJAMIN</cp:lastModifiedBy>
  <cp:revision>3</cp:revision>
  <dcterms:created xsi:type="dcterms:W3CDTF">2020-03-03T01:29:00Z</dcterms:created>
  <dcterms:modified xsi:type="dcterms:W3CDTF">2020-03-04T02:10:00Z</dcterms:modified>
</cp:coreProperties>
</file>