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Customer Description</w:t>
      </w:r>
    </w:p>
    <w:p>
      <w:pPr>
        <w:pStyle w:val="Text"/>
      </w:pPr>
      <w:r>
        <w:rPr>
          <w:rtl w:val="0"/>
          <w:lang w:val="en-US"/>
        </w:rPr>
        <w:t>Created on: 2026-06-19</w:t>
      </w:r>
    </w:p>
    <w:p>
      <w:pPr>
        <w:pStyle w:val="Text"/>
      </w:pPr>
    </w:p>
    <w:p>
      <w:pPr>
        <w:pStyle w:val="Überschrift"/>
      </w:pPr>
      <w:r>
        <w:rPr>
          <w:rtl w:val="0"/>
          <w:lang w:val="en-US"/>
        </w:rPr>
        <w:t>Customer Details</w:t>
      </w:r>
    </w:p>
    <w:p>
      <w:pPr>
        <w:pStyle w:val="Text"/>
      </w:pPr>
      <w:r>
        <w:rPr>
          <w:rtl w:val="0"/>
          <w:lang w:val="en-US"/>
        </w:rPr>
        <w:t>Customer: Truck Repair Ldt</w:t>
      </w:r>
    </w:p>
    <w:p>
      <w:pPr>
        <w:pStyle w:val="Text"/>
      </w:pPr>
      <w:r>
        <w:rPr>
          <w:rtl w:val="0"/>
          <w:lang w:val="en-US"/>
        </w:rPr>
        <w:t>215 Chester Street</w:t>
      </w:r>
    </w:p>
    <w:p>
      <w:pPr>
        <w:pStyle w:val="Text"/>
      </w:pPr>
      <w:r>
        <w:rPr>
          <w:rtl w:val="0"/>
          <w:lang w:val="en-US"/>
        </w:rPr>
        <w:t>Aston, Birmingham</w:t>
      </w:r>
    </w:p>
    <w:p>
      <w:pPr>
        <w:pStyle w:val="Text"/>
      </w:pPr>
      <w:r>
        <w:rPr>
          <w:rtl w:val="0"/>
          <w:lang w:val="en-US"/>
        </w:rPr>
        <w:t>Contact person: bert johnson - CTO</w:t>
      </w:r>
    </w:p>
    <w:p>
      <w:pPr>
        <w:pStyle w:val="Text"/>
      </w:pPr>
      <w:r>
        <w:rPr>
          <w:rtl w:val="0"/>
          <w:lang w:val="en-US"/>
        </w:rPr>
        <w:t>Website: https://www.mjbtruckservices.co.uk/</w:t>
      </w:r>
    </w:p>
    <w:p>
      <w:pPr>
        <w:pStyle w:val="Text"/>
      </w:pPr>
    </w:p>
    <w:p>
      <w:pPr>
        <w:pStyle w:val="Überschrift"/>
      </w:pPr>
      <w:r>
        <w:rPr>
          <w:rtl w:val="0"/>
          <w:lang w:val="en-US"/>
        </w:rPr>
        <w:t>Infrastructure Overview</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4320"/>
      </w:tblGrid>
      <w:tr>
        <w:tblPrEx>
          <w:shd w:val="clear" w:color="auto" w:fill="ced7e7"/>
        </w:tblPrEx>
        <w:trPr>
          <w:trHeight w:val="22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ext"/>
            </w:pPr>
            <w:r>
              <w:rPr>
                <w:shd w:val="nil" w:color="auto" w:fill="auto"/>
                <w:rtl w:val="0"/>
                <w:lang w:val="en-US"/>
              </w:rPr>
              <w:t>Number of clusters</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ext"/>
              <w:spacing w:after="0" w:line="240" w:lineRule="auto"/>
            </w:pPr>
            <w:r>
              <w:rPr>
                <w:shd w:val="nil" w:color="auto" w:fill="auto"/>
                <w:rtl w:val="0"/>
                <w:lang w:val="en-US"/>
              </w:rPr>
              <w:t>8</w:t>
            </w:r>
          </w:p>
        </w:tc>
      </w:tr>
      <w:tr>
        <w:tblPrEx>
          <w:shd w:val="clear" w:color="auto" w:fill="ced7e7"/>
        </w:tblPrEx>
        <w:trPr>
          <w:trHeight w:val="22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ext"/>
              <w:spacing w:after="0" w:line="240" w:lineRule="auto"/>
            </w:pPr>
            <w:r>
              <w:rPr>
                <w:shd w:val="nil" w:color="auto" w:fill="auto"/>
                <w:rtl w:val="0"/>
                <w:lang w:val="en-US"/>
              </w:rPr>
              <w:t>Number of nodes (ESXi hosts)</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ext"/>
              <w:spacing w:after="0" w:line="240" w:lineRule="auto"/>
            </w:pPr>
            <w:r>
              <w:rPr>
                <w:shd w:val="nil" w:color="auto" w:fill="auto"/>
                <w:rtl w:val="0"/>
                <w:lang w:val="en-US"/>
              </w:rPr>
              <w:t>70</w:t>
            </w:r>
          </w:p>
        </w:tc>
      </w:tr>
      <w:tr>
        <w:tblPrEx>
          <w:shd w:val="clear" w:color="auto" w:fill="ced7e7"/>
        </w:tblPrEx>
        <w:trPr>
          <w:trHeight w:val="22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ext"/>
              <w:spacing w:after="0" w:line="240" w:lineRule="auto"/>
            </w:pPr>
            <w:r>
              <w:rPr>
                <w:shd w:val="nil" w:color="auto" w:fill="auto"/>
                <w:rtl w:val="0"/>
                <w:lang w:val="en-US"/>
              </w:rPr>
              <w:t>Total CPU cores</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ext"/>
              <w:spacing w:after="0" w:line="240" w:lineRule="auto"/>
            </w:pPr>
            <w:r>
              <w:rPr>
                <w:shd w:val="nil" w:color="auto" w:fill="auto"/>
                <w:rtl w:val="0"/>
                <w:lang w:val="en-US"/>
              </w:rPr>
              <w:t>3696</w:t>
            </w:r>
          </w:p>
        </w:tc>
      </w:tr>
      <w:tr>
        <w:tblPrEx>
          <w:shd w:val="clear" w:color="auto" w:fill="ced7e7"/>
        </w:tblPrEx>
        <w:trPr>
          <w:trHeight w:val="22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ext"/>
              <w:spacing w:after="0" w:line="240" w:lineRule="auto"/>
            </w:pPr>
            <w:r>
              <w:rPr>
                <w:shd w:val="nil" w:color="auto" w:fill="auto"/>
                <w:rtl w:val="0"/>
                <w:lang w:val="en-US"/>
              </w:rPr>
              <w:t>Total VMs</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ext"/>
              <w:spacing w:after="0" w:line="240" w:lineRule="auto"/>
            </w:pPr>
            <w:r>
              <w:rPr>
                <w:shd w:val="nil" w:color="auto" w:fill="auto"/>
                <w:rtl w:val="0"/>
                <w:lang w:val="en-US"/>
              </w:rPr>
              <w:t>728</w:t>
            </w:r>
          </w:p>
        </w:tc>
      </w:tr>
      <w:tr>
        <w:tblPrEx>
          <w:shd w:val="clear" w:color="auto" w:fill="ced7e7"/>
        </w:tblPrEx>
        <w:trPr>
          <w:trHeight w:val="481" w:hRule="atLeast"/>
        </w:trPr>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ext"/>
              <w:spacing w:after="0" w:line="240" w:lineRule="auto"/>
            </w:pPr>
            <w:r>
              <w:rPr>
                <w:shd w:val="nil" w:color="auto" w:fill="auto"/>
                <w:rtl w:val="0"/>
                <w:lang w:val="en-US"/>
              </w:rPr>
              <w:t>Storage</w:t>
            </w:r>
          </w:p>
        </w:tc>
        <w:tc>
          <w:tcPr>
            <w:tcW w:type="dxa" w:w="4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ext"/>
              <w:spacing w:after="0" w:line="240" w:lineRule="auto"/>
            </w:pPr>
            <w:r>
              <w:rPr>
                <w:shd w:val="nil" w:color="auto" w:fill="auto"/>
                <w:rtl w:val="0"/>
                <w:lang w:val="en-US"/>
              </w:rPr>
              <w:t>NFS (56 Datastores, approx. 344.7 TiB), VMFS (74 Datastores, approx. 391.3 TiB)</w:t>
            </w:r>
          </w:p>
        </w:tc>
      </w:tr>
    </w:tbl>
    <w:p>
      <w:pPr>
        <w:pStyle w:val="Überschrift"/>
        <w:widowControl w:val="0"/>
        <w:spacing w:line="240" w:lineRule="auto"/>
      </w:pPr>
    </w:p>
    <w:p>
      <w:pPr>
        <w:pStyle w:val="Text"/>
      </w:pPr>
    </w:p>
    <w:p>
      <w:pPr>
        <w:pStyle w:val="Text"/>
      </w:pPr>
    </w:p>
    <w:p>
      <w:pPr>
        <w:pStyle w:val="Überschrift"/>
      </w:pPr>
      <w:r>
        <w:rPr>
          <w:rtl w:val="0"/>
          <w:lang w:val="en-US"/>
        </w:rPr>
        <w:t>Additional Information</w:t>
      </w:r>
    </w:p>
    <w:p>
      <w:pPr>
        <w:pStyle w:val="Text"/>
      </w:pPr>
      <w:r>
        <w:rPr>
          <w:rtl w:val="0"/>
          <w:lang w:val="en-US"/>
        </w:rPr>
        <w:t>The customer operates a nationwide truck repair company with multiple outlets, featuring four primary locations that each run two VMware vCenter clusters. Their infrastructure supports a mix of Microsoft-based enterprise applications (Exchange, SharePoint, and MS-SQL) alongside a substantial number of proprietary, Linux-based applications.</w:t>
      </w:r>
      <w:r>
        <w:br w:type="textWrapping"/>
        <w:br w:type="textWrapping"/>
      </w:r>
      <w:r>
        <w:rPr>
          <w:rtl w:val="0"/>
          <w:lang w:val="en-US"/>
        </w:rPr>
        <w:t>The Challenge</w:t>
      </w:r>
      <w:r>
        <w:br w:type="textWrapping"/>
      </w:r>
      <w:r>
        <w:rPr>
          <w:rtl w:val="0"/>
          <w:lang w:val="en-US"/>
        </w:rPr>
        <w:t>Mr. Jonson has recently joined the company as the Chief Technology Officer (CTO), overseeing both the IT infrastructure and all operational technical equipment.</w:t>
      </w:r>
      <w:r>
        <w:br w:type="textWrapping"/>
        <w:br w:type="textWrapping"/>
        <w:br w:type="textWrapping"/>
        <w:br w:type="textWrapping"/>
      </w:r>
      <w:r>
        <w:rPr>
          <w:rtl w:val="0"/>
          <w:lang w:val="en-US"/>
        </w:rPr>
        <w:t>He was recently notified by the IT department that VMware licensing costs are projected to increase significantly ahead of their next renewal at the end of 2026. In response, Mr. Jonson has shared their current infrastructure data and is seeking a strategic alternative.</w:t>
      </w:r>
      <w:r>
        <w:br w:type="textWrapping"/>
        <w:br w:type="textWrapping"/>
      </w:r>
      <w:r>
        <w:rPr>
          <w:rtl w:val="0"/>
          <w:lang w:val="en-US"/>
        </w:rPr>
        <w:t>Objectives &amp; Expectations</w:t>
      </w:r>
      <w:r>
        <w:br w:type="textWrapping"/>
      </w:r>
      <w:r>
        <w:rPr>
          <w:rtl w:val="0"/>
          <w:lang w:val="en-US"/>
        </w:rPr>
        <w:t>Mr. Jonson requires a proposal that delivers:</w:t>
      </w:r>
      <w:r>
        <w:br w:type="textWrapping"/>
        <w:br w:type="textWrapping"/>
      </w:r>
      <w:r>
        <w:rPr>
          <w:rtl w:val="0"/>
          <w:lang w:val="en-US"/>
        </w:rPr>
        <w:t>An Architecture Overview: A comprehensive look at a viable alternative to their current VMware environment.</w:t>
      </w:r>
      <w:r>
        <w:br w:type="textWrapping"/>
        <w:br w:type="textWrapping"/>
      </w:r>
      <w:r>
        <w:rPr>
          <w:rtl w:val="0"/>
          <w:lang w:val="en-US"/>
        </w:rPr>
        <w:t>Technical Validation: A compelling argument to gain buy-in from the internal IT team regarding this new solution.</w:t>
      </w:r>
      <w:r>
        <w:br w:type="textWrapping"/>
        <w:br w:type="textWrapping"/>
      </w:r>
      <w:r>
        <w:rPr>
          <w:rtl w:val="0"/>
          <w:lang w:val="en-US"/>
        </w:rPr>
        <w:t>A Strategic Roadmap: A clear, step-by-step plan on how to migrate and move forward.</w:t>
      </w:r>
      <w:r>
        <w:br w:type="textWrapping"/>
        <w:br w:type="textWrapping"/>
      </w:r>
      <w:r>
        <w:rPr>
          <w:rtl w:val="0"/>
          <w:lang w:val="en-US"/>
        </w:rPr>
        <w:t>Truck Repair Ldt operates a VMware virtual infrastructure comprising 8 clusters, 70 ESXi hosts, and 728 virtual machines in total.</w:t>
      </w:r>
      <w:r>
        <w:br w:type="textWrapping"/>
        <w:br w:type="textWrapping"/>
      </w:r>
      <w:r>
        <w:rPr>
          <w:rtl w:val="0"/>
          <w:lang w:val="en-US"/>
        </w:rPr>
        <w:t>The environment includes the following clusters: CU_CS_VW_L_BGDT_DEF_PRO_001, CU_CS_VW_L_GRAC_DEF_PRO_001, CU_CS_VW_L_GRAC_DEF_PRO_003, CU_CS_VW_L_SAS_DEF_PRO_001, CU_CS_VW_O_MGMT_DEF_PRO_001, CU_CS_VW_O_MGMT_DEF_PRO_002, CU_CS_VW_W_GRAC_DEF_PRO_003, CU_CS_VW_W_GRAC_DEF_PRO_004.</w:t>
      </w:r>
      <w:r>
        <w:br w:type="textWrapping"/>
        <w:br w:type="textWrapping"/>
      </w:r>
      <w:r>
        <w:rPr>
          <w:rtl w:val="0"/>
          <w:lang w:val="en-US"/>
        </w:rPr>
        <w:t>Compute capacity consists of 3696 physical CPU cores across 70 nodes (average 52.8 cores per node, range 48</w:t>
      </w:r>
      <w:r>
        <w:rPr>
          <w:rtl w:val="0"/>
        </w:rPr>
        <w:t>–</w:t>
      </w:r>
      <w:r>
        <w:rPr>
          <w:rtl w:val="0"/>
          <w:lang w:val="pt-PT"/>
        </w:rPr>
        <w:t>96 cores).</w:t>
      </w:r>
      <w:r>
        <w:br w:type="textWrapping"/>
        <w:br w:type="textWrapping"/>
      </w:r>
      <w:r>
        <w:rPr>
          <w:rtl w:val="0"/>
          <w:lang w:val="en-US"/>
        </w:rPr>
        <w:t>Storage is provided via NFS (56 Datastores, approx. 344.7 TiB), VMFS (74 Datastores, approx. 391.3 TiB).</w:t>
      </w:r>
      <w:r>
        <w:br w:type="textWrapping"/>
        <w:br w:type="textWrapping"/>
      </w:r>
      <w:r>
        <w:rPr>
          <w:rtl w:val="0"/>
          <w:lang w:val="en-US"/>
        </w:rPr>
        <w:t>Among powered-on workloads, the operating system landscape is dominated by Linux: 383 VMs, Windows: 249 VMs, Other: 4 VMs.</w:t>
      </w:r>
      <w:r>
        <w:br w:type="textWrapping"/>
        <w:br w:type="textWrapping"/>
      </w:r>
      <w:r>
        <w:rPr>
          <w:rtl w:val="0"/>
          <w:lang w:val="en-US"/>
        </w:rPr>
        <w:t>The most common operating systems are: RHEL 7 (181 VMs), Windows Server 2016/2019 (175 VMs), RHEL 6 (52 VMs), RHEL 8 (50 VMs), Windows (other) (37 VMs), plus 13 additional OS variants.</w:t>
      </w:r>
      <w:r>
        <w:br w:type="textWrapping"/>
        <w:br w:type="textWrapping"/>
      </w:r>
      <w:r>
        <w:rPr>
          <w:rtl w:val="0"/>
          <w:lang w:val="en-US"/>
        </w:rPr>
        <w:t>617 powered-on virtual machines were identified as active workloads. These represent the running applications and services in the environment.</w:t>
      </w:r>
      <w:r>
        <w:br w:type="textWrapping"/>
        <w:br w:type="textWrapping"/>
      </w:r>
      <w:r>
        <w:rPr>
          <w:rtl w:val="0"/>
          <w:lang w:val="en-US"/>
        </w:rPr>
        <w:t>Examples of running workloads include: ACMEMAPP2P.adgbs.com, ACMEMAPP35P.adgbs.com, ACMEMAPP36P.adgbs.com, ACMEMAPP6P.adgbs.com, ACMEMAPP8P.adgbs.com, adtapp2p, broker-vm, cdsmz1p, cdsmz2p, CFWindows-20192, CMSBSV01P.adgbs.com, conapp1p, CRSAPP1P, CRSAPP2P, depapp1p, depapp3p, DEPAPP4P, depapp6p, dmsapp1p, dmsapp2p, and 597 more.</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Deutsch" w:val="‘“(〔[{〈《「『【⦅〘〖«〝︵︷︹︻︽︿﹁﹃﹇﹙﹛﹝｢"/>
  <w:noLineBreaksBefore w:lang="Deutsc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Kopf- und Fußzeilen">
    <w:name w:val="Kopf- und Fußzeilen"/>
    <w:next w:val="Kopf- und Fußzeilen"/>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ext"/>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Fill>
        <w14:solidFill>
          <w14:srgbClr w14:val="17365D"/>
        </w14:solidFill>
      </w14:textFill>
    </w:rPr>
  </w:style>
  <w:style w:type="paragraph" w:styleId="Text">
    <w:name w:val="Text"/>
    <w:next w:val="Text"/>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Überschrift">
    <w:name w:val="Überschrift"/>
    <w:next w:val="Text"/>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