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260" w:line="264" w:lineRule="auto"/>
        <w:jc w:val="left"/>
        <w:rPr>
          <w:rFonts w:cstheme="majorHAnsi"/>
          <w:color w:val="auto"/>
          <w:lang w:val="de-DE"/>
        </w:rPr>
      </w:pPr>
      <w:r>
        <w:rPr>
          <w:rFonts w:ascii="Arial" w:hAnsi="Arial" w:eastAsia="Arial" w:cs="Arial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60" w:line="264" w:lineRule="auto"/>
        <w:ind w:left="2778" w:hanging="2778"/>
        <w:jc w:val="left"/>
        <w:rPr>
          <w:lang w:val="de-DE"/>
        </w:rPr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6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6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6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6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180" w:after="60" w:line="264" w:lineRule="auto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 w:val="0"/>
        <w:keepLines w:val="0"/>
        <w:pageBreakBefore w:val="0"/>
        <w:widowControl/>
        <w:spacing w:before="0" w:after="120" w:line="264" w:lineRule="auto"/>
        <w:jc w:val="left"/>
      </w:pPr>
      <w:r>
        <w:rPr>
          <w:rFonts w:ascii="Arial" w:hAnsi="Arial" w:eastAsia="Arial" w:cs="Arial"/>
          <w:b w:val="0"/>
          <w:i w:val="0"/>
          <w:color w:val="4A4A4A"/>
          <w:sz w:val="22"/>
        </w:rPr>
        <w:t>Einmalversicherungen: Beitrag für diese Reise. 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240" w:after="100" w:line="264" w:lineRule="auto"/>
        <w:jc w:val="left"/>
        <w:rPr>
          <w:b/>
          <w:bCs/>
          <w:lang w:val="de-DE"/>
        </w:rPr>
      </w:pPr>
      <w:r>
        <w:rPr>
          <w:rFonts w:ascii="Arial" w:hAnsi="Arial" w:eastAsia="Arial" w:cs="Arial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240" w:after="100" w:line="264" w:lineRule="auto"/>
        <w:jc w:val="left"/>
        <w:rPr>
          <w:b/>
          <w:bCs/>
          <w:lang w:val="de-DE"/>
        </w:rPr>
      </w:pPr>
      <w:r>
        <w:rPr>
          <w:rFonts w:ascii="Arial" w:hAnsi="Arial" w:eastAsia="Arial" w:cs="Arial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240" w:after="100" w:line="264" w:lineRule="auto"/>
        <w:jc w:val="left"/>
        <w:rPr>
          <w:b/>
          <w:bCs/>
          <w:lang w:val="de-DE"/>
        </w:rPr>
      </w:pPr>
      <w:r>
        <w:rPr>
          <w:rFonts w:ascii="Arial" w:hAnsi="Arial" w:eastAsia="Arial" w:cs="Arial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keepNext w:val="0"/>
        <w:keepLines w:val="0"/>
        <w:pageBreakBefore w:val="0"/>
        <w:widowControl/>
        <w:spacing w:before="180" w:after="0" w:line="264" w:lineRule="auto"/>
        <w:jc w:val="left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Hinweise zu Selbstbehalt, Laufzeit und Abschlussfristen finden Sie auf Seite 2.</w:t>
      </w:r>
    </w:p>
    <w:p>
      <w:pPr>
        <w:pStyle w:val="berschrift1"/>
        <w:keepNext/>
        <w:keepLines/>
        <w:pageBreakBefore/>
        <w:widowControl/>
        <w:spacing w:after="320" w:before="0" w:line="264" w:lineRule="auto"/>
      </w:pPr>
      <w:r>
        <w:rPr>
          <w:rFonts w:ascii="Arial" w:hAnsi="Arial" w:eastAsia="Arial" w:cs="Arial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140" w:before="360" w:line="264" w:lineRule="auto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20" w:line="269" w:lineRule="auto" w:before="0"/>
        <w:ind w:left="1757" w:hanging="1757"/>
      </w:pPr>
      <w:r>
        <w:rPr>
          <w:rFonts w:ascii="Arial" w:hAnsi="Arial" w:eastAsia="Arial" w:cs="Arial"/>
          <w:b/>
          <w:i w:val="0"/>
          <w:color w:val="000000"/>
          <w:sz w:val="22"/>
        </w:rPr>
        <w:t>Selbstbehalt:</w:t>
      </w:r>
      <w:r>
        <w:rPr>
          <w:rFonts w:ascii="Arial" w:hAnsi="Arial" w:eastAsia="Arial" w:cs="Arial"/>
          <w:b w:val="0"/>
          <w:i w:val="0"/>
          <w:color w:val="000000"/>
          <w:sz w:val="22"/>
        </w:rPr>
        <w:tab/>
        <w:t>Bei Tarifen mit Selbstbehalt 20 % des erstattungsfähigen Schadens, mindestens 25 € pro Person.</w:t>
      </w:r>
    </w:p>
    <w:p>
      <w:pPr>
        <w:keepNext w:val="0"/>
        <w:keepLines/>
        <w:widowControl/>
        <w:tabs>
          <w:tab w:pos="1757" w:val="left"/>
        </w:tabs>
        <w:spacing w:after="120" w:line="269" w:lineRule="auto" w:before="0"/>
        <w:ind w:left="1757" w:hanging="1757"/>
      </w:pPr>
      <w:r>
        <w:rPr>
          <w:rFonts w:ascii="Arial" w:hAnsi="Arial" w:eastAsia="Arial" w:cs="Arial"/>
          <w:b/>
          <w:i w:val="0"/>
          <w:color w:val="000000"/>
          <w:sz w:val="22"/>
        </w:rPr>
        <w:t>Laufzeit:</w:t>
      </w:r>
      <w:r>
        <w:rPr>
          <w:rFonts w:ascii="Arial" w:hAnsi="Arial" w:eastAsia="Arial" w:cs="Arial"/>
          <w:b w:val="0"/>
          <w:i w:val="0"/>
          <w:color w:val="000000"/>
          <w:sz w:val="22"/>
        </w:rPr>
        <w:tab/>
        <w:t>Einmalversicherung für die angegebene Reise. Jahresversicherung mindestens 12 Monate, Jahres-Sparfuchs mindestens 24 Monate.</w:t>
      </w:r>
    </w:p>
    <w:p>
      <w:pPr>
        <w:keepNext w:val="0"/>
        <w:keepLines/>
        <w:widowControl/>
        <w:tabs>
          <w:tab w:pos="1757" w:val="left"/>
        </w:tabs>
        <w:spacing w:after="120" w:line="269" w:lineRule="auto" w:before="0"/>
        <w:ind w:left="1757" w:hanging="1757"/>
      </w:pPr>
      <w:r>
        <w:rPr>
          <w:rFonts w:ascii="Arial" w:hAnsi="Arial" w:eastAsia="Arial" w:cs="Arial"/>
          <w:b/>
          <w:i w:val="0"/>
          <w:color w:val="000000"/>
          <w:sz w:val="22"/>
        </w:rPr>
        <w:t>Abschlussfrist:</w:t>
      </w:r>
      <w:r>
        <w:rPr>
          <w:rFonts w:ascii="Arial" w:hAnsi="Arial" w:eastAsia="Arial" w:cs="Arial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140" w:before="360" w:line="264" w:lineRule="auto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20" w:line="269" w:lineRule="auto" w:before="0"/>
        <w:ind w:left="1757" w:hanging="1757"/>
      </w:pPr>
      <w:r>
        <w:rPr>
          <w:rFonts w:ascii="Arial" w:hAnsi="Arial" w:eastAsia="Arial" w:cs="Arial"/>
          <w:b/>
          <w:i w:val="0"/>
          <w:color w:val="000000"/>
          <w:sz w:val="22"/>
        </w:rPr>
        <w:t>Selbstbehalt:</w:t>
      </w:r>
      <w:r>
        <w:rPr>
          <w:rFonts w:ascii="Arial" w:hAnsi="Arial" w:eastAsia="Arial" w:cs="Arial"/>
          <w:b w:val="0"/>
          <w:i w:val="0"/>
          <w:color w:val="000000"/>
          <w:sz w:val="22"/>
        </w:rPr>
        <w:tab/>
        <w:t>Bei Tarifen mit Selbstbehalt 100 € je versicherten Fall.</w:t>
      </w:r>
    </w:p>
    <w:p>
      <w:pPr>
        <w:keepNext w:val="0"/>
        <w:keepLines/>
        <w:widowControl/>
        <w:tabs>
          <w:tab w:pos="1757" w:val="left"/>
        </w:tabs>
        <w:spacing w:after="120" w:line="269" w:lineRule="auto" w:before="0"/>
        <w:ind w:left="1757" w:hanging="1757"/>
      </w:pPr>
      <w:r>
        <w:rPr>
          <w:rFonts w:ascii="Arial" w:hAnsi="Arial" w:eastAsia="Arial" w:cs="Arial"/>
          <w:b/>
          <w:i w:val="0"/>
          <w:color w:val="000000"/>
          <w:sz w:val="22"/>
        </w:rPr>
        <w:t>Laufzeit:</w:t>
      </w:r>
      <w:r>
        <w:rPr>
          <w:rFonts w:ascii="Arial" w:hAnsi="Arial" w:eastAsia="Arial" w:cs="Arial"/>
          <w:b w:val="0"/>
          <w:i w:val="0"/>
          <w:color w:val="000000"/>
          <w:sz w:val="22"/>
        </w:rPr>
        <w:tab/>
        <w:t>Einmalversicherung für die angegebene Reise. Jahresversicherung mindestens 12 Monate.</w:t>
      </w:r>
    </w:p>
    <w:p>
      <w:pPr>
        <w:keepNext w:val="0"/>
        <w:keepLines/>
        <w:widowControl/>
        <w:tabs>
          <w:tab w:pos="1757" w:val="left"/>
        </w:tabs>
        <w:spacing w:after="120" w:line="269" w:lineRule="auto" w:before="0"/>
        <w:ind w:left="1757" w:hanging="1757"/>
      </w:pPr>
      <w:r>
        <w:rPr>
          <w:rFonts w:ascii="Arial" w:hAnsi="Arial" w:eastAsia="Arial" w:cs="Arial"/>
          <w:b/>
          <w:i w:val="0"/>
          <w:color w:val="000000"/>
          <w:sz w:val="22"/>
        </w:rPr>
        <w:t>Abschlussfrist:</w:t>
      </w:r>
      <w:r>
        <w:rPr>
          <w:rFonts w:ascii="Arial" w:hAnsi="Arial" w:eastAsia="Arial" w:cs="Arial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140" w:before="360" w:line="264" w:lineRule="auto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20" w:line="269" w:lineRule="auto" w:before="0"/>
        <w:ind w:left="1757" w:hanging="1757"/>
      </w:pPr>
      <w:r>
        <w:rPr>
          <w:rFonts w:ascii="Arial" w:hAnsi="Arial" w:eastAsia="Arial" w:cs="Arial"/>
          <w:b/>
          <w:i w:val="0"/>
          <w:color w:val="000000"/>
          <w:sz w:val="22"/>
        </w:rPr>
        <w:t>Selbstbehalt:</w:t>
      </w:r>
      <w:r>
        <w:rPr>
          <w:rFonts w:ascii="Arial" w:hAnsi="Arial" w:eastAsia="Arial" w:cs="Arial"/>
          <w:b w:val="0"/>
          <w:i w:val="0"/>
          <w:color w:val="000000"/>
          <w:sz w:val="22"/>
        </w:rPr>
        <w:tab/>
        <w:t>Richtet sich nach dem betroffenen Leistungsbaustein und dem gewählten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20" w:line="269" w:lineRule="auto" w:before="0"/>
        <w:ind w:left="1757" w:hanging="1757"/>
      </w:pPr>
      <w:r>
        <w:rPr>
          <w:rFonts w:ascii="Arial" w:hAnsi="Arial" w:eastAsia="Arial" w:cs="Arial"/>
          <w:b/>
          <w:i w:val="0"/>
          <w:color w:val="000000"/>
          <w:sz w:val="22"/>
        </w:rPr>
        <w:t>Laufzeit:</w:t>
      </w:r>
      <w:r>
        <w:rPr>
          <w:rFonts w:ascii="Arial" w:hAnsi="Arial" w:eastAsia="Arial" w:cs="Arial"/>
          <w:b w:val="0"/>
          <w:i w:val="0"/>
          <w:color w:val="000000"/>
          <w:sz w:val="22"/>
        </w:rPr>
        <w:tab/>
        <w:t>Einmalversicherung für die angegebene Reise. Bei der Jahresversicherung gilt die im Tarif vereinbarte Vertragslaufzeit.</w:t>
      </w:r>
    </w:p>
    <w:p>
      <w:pPr>
        <w:keepNext w:val="0"/>
        <w:keepLines/>
        <w:widowControl/>
        <w:tabs>
          <w:tab w:pos="1757" w:val="left"/>
        </w:tabs>
        <w:spacing w:after="120" w:line="269" w:lineRule="auto" w:before="0"/>
        <w:ind w:left="1757" w:hanging="1757"/>
      </w:pPr>
      <w:r>
        <w:rPr>
          <w:rFonts w:ascii="Arial" w:hAnsi="Arial" w:eastAsia="Arial" w:cs="Arial"/>
          <w:b/>
          <w:i w:val="0"/>
          <w:color w:val="000000"/>
          <w:sz w:val="22"/>
        </w:rPr>
        <w:t>Abschlussfrist:</w:t>
      </w:r>
      <w:r>
        <w:rPr>
          <w:rFonts w:ascii="Arial" w:hAnsi="Arial" w:eastAsia="Arial" w:cs="Arial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pPr>
        <w:keepNext w:val="0"/>
        <w:keepLines/>
        <w:widowControl/>
        <w:spacing w:after="120" w:line="269" w:lineRule="auto" w:before="0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Auch bei einem Sozialversicherungsabkommen oder einer privaten Krankenversicherung ist der Rücktransport nach Hause nicht automatisch abgedeckt. Prüfen Sie deshalb, ob ein medizinisch sinnvoller und vertretbarer Rücktransport versichert ist; andernfalls empfehlen wir eine Auslandsreise-Krankenversicherung. Reiserücktritt und Reiseabbruch sollten ebenfalls abgesichert sein.</w:t>
      </w:r>
    </w:p>
    <w:p>
      <w:pPr>
        <w:keepNext w:val="0"/>
        <w:keepLines/>
        <w:widowControl/>
        <w:spacing w:after="120" w:line="269" w:lineRule="auto" w:before="0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Für den Abschluss benötigen wir Ihre IBAN. Bei Fragen beraten wir Sie gerne.</w:t>
      </w:r>
    </w:p>
    <w:p>
      <w:pPr>
        <w:keepNext w:val="0"/>
        <w:keepLines/>
        <w:widowControl/>
        <w:spacing w:after="120" w:line="269" w:lineRule="auto" w:before="0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Ihr Reisebüro Hülsmann</w:t>
      </w:r>
    </w:p>
    <w:p>
      <w:pPr>
        <w:keepNext w:val="0"/>
        <w:keepLines/>
        <w:widowControl/>
        <w:spacing w:after="0" w:before="220" w:line="269" w:lineRule="auto"/>
      </w:pPr>
      <w:r>
        <w:rPr>
          <w:rFonts w:ascii="Arial" w:hAnsi="Arial" w:eastAsia="Arial" w:cs="Arial"/>
          <w:b w:val="0"/>
          <w:i w:val="0"/>
          <w:color w:val="4A4A4A"/>
          <w:sz w:val="22"/>
        </w:rPr>
        <w:t>Diese Übersicht wurde automatisch vom Reisebüro Hülsmann auf Basis der hinterlegten ERGO-Tarife erstellt. Abweichungen sind möglich. Im Zweifel gilt das offizielle Versicherungsangebot der ERGO Reiseversicherung.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964" w:right="1134" w:bottom="907" w:left="1134" w:header="283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/>
      <w:jc w:val="center"/>
    </w:pPr>
    <w:r>
      <w:rPr>
        <w:rFonts w:ascii="Arial" w:hAnsi="Arial"/>
        <w:color w:val="626262"/>
        <w:sz w:val="22"/>
      </w:rPr>
      <w:t xml:space="preserve">Reisebüro Hülsmann </w:t>
    </w:r>
    <w:r w:rsidR="006C5531">
      <w:rPr>
        <w:rFonts w:ascii="Arial" w:hAnsi="Arial"/>
        <w:color w:val="626262"/>
        <w:sz w:val="22"/>
      </w:rPr>
      <w:t>·</w:t>
    </w:r>
    <w:r>
      <w:rPr>
        <w:rFonts w:ascii="Arial" w:hAnsi="Arial"/>
        <w:color w:val="626262"/>
        <w:sz w:val="22"/>
      </w:rPr>
      <w:t xml:space="preserve"> www.reisebuero-huelsmann.de </w:t>
    </w:r>
    <w:r w:rsidR="006C5531">
      <w:rPr>
        <w:rFonts w:ascii="Arial" w:hAnsi="Arial"/>
        <w:color w:val="626262"/>
        <w:sz w:val="22"/>
      </w:rPr>
      <w:t>·</w:t>
    </w:r>
    <w:r>
      <w:rPr>
        <w:rFonts w:ascii="Arial" w:hAnsi="Arial"/>
        <w:color w:val="626262"/>
        <w:sz w:val="22"/>
      </w:rPr>
      <w:t xml:space="preserve">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/>
      <w:jc w:val="center"/>
    </w:pPr>
    <w:r>
      <w:rPr>
        <w:rFonts w:ascii="Arial" w:hAnsi="Arial"/>
        <w:color w:val="626262"/>
        <w:sz w:val="22"/>
      </w:rPr>
      <w:t xml:space="preserve">Reisebüro Hülsmann </w:t>
    </w:r>
    <w:r w:rsidR="006C5531">
      <w:rPr>
        <w:rFonts w:ascii="Arial" w:hAnsi="Arial"/>
        <w:color w:val="626262"/>
        <w:sz w:val="22"/>
      </w:rPr>
      <w:t>·</w:t>
    </w:r>
    <w:r>
      <w:rPr>
        <w:rFonts w:ascii="Arial" w:hAnsi="Arial"/>
        <w:color w:val="626262"/>
        <w:sz w:val="22"/>
      </w:rPr>
      <w:t xml:space="preserve"> www.reisebuero-huelsmann.de </w:t>
    </w:r>
    <w:r w:rsidR="006C5531">
      <w:rPr>
        <w:rFonts w:ascii="Arial" w:hAnsi="Arial"/>
        <w:color w:val="626262"/>
        <w:sz w:val="22"/>
      </w:rPr>
      <w:t>·</w:t>
    </w:r>
    <w:r>
      <w:rPr>
        <w:rFonts w:ascii="Arial" w:hAnsi="Arial"/>
        <w:color w:val="626262"/>
        <w:sz w:val="22"/>
      </w:rPr>
      <w:t xml:space="preserve"> +49 2501 27790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80" w:line="240" w:lineRule="auto"/>
      <w:jc w:val="center"/>
    </w:pPr>
    <w:r>
      <w:rPr>
        <w:noProof/>
        <w:sz w:val="22"/>
      </w:rPr>
      <w:drawing>
        <wp:inline distT="0" distB="0" distL="0" distR="0" wp14:anchorId="1ECD4BDA" wp14:editId="44E3B19A">
          <wp:extent cx="1620000" cy="978480"/>
          <wp:effectExtent l="0" t="0" r="0" b="0"/>
          <wp:docPr id="114111631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20000" cy="978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Arial" w:hAnsi="Arial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