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 w:val="0"/>
        <w:keepLines w:val="0"/>
        <w:pageBreakBefore w:val="0"/>
        <w:widowControl/>
        <w:spacing w:before="0" w:after="20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 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20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25 € pro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Monate, Jahres-Sparfuchs mindestens 24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100 €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Richtet sich nach dem betroffenen Leistungsbaustein und dem gewählten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Bei der Jahresversicherung gilt die im Tarif vereinbarte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Auch bei einem Sozialversicherungsabkommen oder einer privaten Krankenversicherung ist der Rücktransport nach Hause nicht automatisch abgedeckt. Prüfen Sie deshalb, ob ein medizinisch sinnvoller und vertretbarer Rücktransport versichert ist; andernfalls empfehlen wir eine Auslandsreise-Krankenversicherung. Reiserücktritt und Reiseabbruch sollten ebenfalls abgesichert sein.</w:t>
      </w:r>
    </w:p>
    <w:p>
      <w:pPr>
        <w:keepNext w:val="0"/>
        <w:keepLines/>
        <w:widowControl/>
        <w:spacing w:after="120" w:line="281" w:lineRule="auto" w:before="3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 Bei Fragen beraten wir Sie gerne.</w:t>
      </w:r>
    </w:p>
    <w:p>
      <w:pPr>
        <w:keepNext w:val="0"/>
        <w:keepLines/>
        <w:widowControl/>
        <w:spacing w:after="0" w:line="281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rFonts w:ascii="Calibri" w:hAnsi="Calibri" w:eastAsia="Calibri" w:cs="Calibri"/>
        <w:b w:val="0"/>
        <w:i w:val="0"/>
        <w:noProof/>
        <w:color w:val="000000"/>
        <w:sz w:val="22"/>
      </w:rPr>
      <w:drawing>
        <wp:inline distT="0" distB="0" distL="0" distR="0" wp14:anchorId="1ECD4BDA" wp14:editId="44E3B19A">
          <wp:extent cx="1620000" cy="978480"/>
          <wp:effectExtent l="0" t="0" r="0" b="0"/>
          <wp:docPr id="11411163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0000" cy="978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