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  <w:pBdr>
          <w:bottom w:val="single" w:sz="6" w:space="5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4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Selbstbehalt:</w:t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Laufzeit:</w:t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Abschlussfrist:</w:t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Selbstbehalt:</w:t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Laufzeit:</w:t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Selbstbehalt:</w:t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Laufzeit:</w:t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t>Abschlussfrist:</w:t>
        <w:tab/>
        <w:t>Spätestens 30 Tage vor Reiseantritt. Bei Buchung innerhalb dieser 30 Tage: am Buchungstag, spätestens innerhalb der nächsten drei Werktage.</w:t>
      </w:r>
    </w:p>
    <w:p>
      <w:r>
        <w:t>Weitere Hinweise</w:t>
      </w:r>
    </w:p>
    <w:p>
      <w:pPr>
        <w:keepNext w:val="0"/>
        <w:keepLines/>
        <w:widowControl/>
        <w:spacing w:after="320" w:line="281" w:lineRule="auto" w:before="4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80" w:line="281" w:lineRule="auto" w:before="0"/>
      </w:pPr>
      <w: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r>
        <w:t>Abschluss</w:t>
      </w:r>
    </w:p>
    <w:p>
      <w:pPr>
        <w:keepNext w:val="0"/>
        <w:keepLines/>
        <w:widowControl/>
        <w:spacing w:after="60" w:line="281" w:lineRule="auto" w:before="28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81" w:lineRule="auto" w:before="0" w:after="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81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835999" cy="440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