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Fall term, </w:t>
      </w:r>
      <w:r w:rsidR="005C1154">
        <w:rPr>
          <w:rFonts w:asciiTheme="minorHAnsi" w:hAnsiTheme="minorHAnsi"/>
          <w:b/>
          <w:bCs/>
          <w:color w:val="000000"/>
          <w:sz w:val="48"/>
          <w:szCs w:val="48"/>
        </w:rPr>
        <w:t>2017-18</w:t>
      </w:r>
    </w:p>
    <w:p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rsidR="00953FFA" w:rsidRDefault="00953FFA" w:rsidP="00000EDB">
      <w:pPr>
        <w:spacing w:before="120" w:line="252" w:lineRule="auto"/>
        <w:ind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C743EC" w:rsidRPr="00B871A1">
        <w:rPr>
          <w:rFonts w:asciiTheme="minorHAnsi" w:hAnsiTheme="minorHAnsi"/>
          <w:b/>
          <w:bCs/>
          <w:color w:val="000000"/>
        </w:rPr>
        <w:tab/>
      </w:r>
      <w:hyperlink w:anchor="_Instructors" w:history="1">
        <w:r w:rsidRPr="00B871A1">
          <w:rPr>
            <w:rStyle w:val="Hyperlink"/>
            <w:rFonts w:asciiTheme="minorHAnsi" w:hAnsiTheme="minorHAnsi"/>
            <w:b/>
            <w:bCs/>
          </w:rPr>
          <w:t>Instructors</w:t>
        </w:r>
      </w:hyperlink>
      <w:r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Academic Integrity</w:t>
        </w:r>
      </w:hyperlink>
      <w:r w:rsidR="00A06A9F" w:rsidRPr="00B871A1">
        <w:rPr>
          <w:rFonts w:asciiTheme="minorHAnsi" w:hAnsiTheme="minorHAnsi"/>
          <w:b/>
          <w:bCs/>
          <w:color w:val="000000"/>
        </w:rPr>
        <w:tab/>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rsidR="00A2580A" w:rsidRDefault="00B0726A"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and Late Work</w:t>
        </w:r>
      </w:hyperlink>
    </w:p>
    <w:p w:rsidR="00484085" w:rsidRDefault="00B0726A"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rsidR="00000EDB" w:rsidRPr="00000EDB" w:rsidRDefault="00000EDB" w:rsidP="00000EDB">
      <w:pPr>
        <w:spacing w:before="120" w:line="252" w:lineRule="auto"/>
        <w:ind w:right="-576"/>
        <w:outlineLvl w:val="1"/>
        <w:rPr>
          <w:rFonts w:asciiTheme="minorHAnsi" w:hAnsiTheme="minorHAnsi"/>
          <w:b/>
          <w:bCs/>
          <w:color w:val="000000"/>
        </w:rPr>
      </w:pPr>
    </w:p>
    <w:p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rsidR="00953FFA" w:rsidRPr="00B871A1" w:rsidRDefault="00953FFA" w:rsidP="00953FFA">
      <w:pPr>
        <w:spacing w:before="120" w:line="252" w:lineRule="auto"/>
        <w:rPr>
          <w:rFonts w:asciiTheme="minorHAnsi" w:hAnsiTheme="minorHAnsi"/>
          <w:color w:val="000000"/>
        </w:rPr>
      </w:pPr>
    </w:p>
    <w:p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rsidR="00953FFA" w:rsidRPr="00B871A1" w:rsidRDefault="00953FFA" w:rsidP="00953FFA">
      <w:pPr>
        <w:spacing w:before="120"/>
        <w:rPr>
          <w:rFonts w:asciiTheme="minorHAnsi" w:hAnsiTheme="minorHAnsi"/>
          <w:b/>
          <w:bCs/>
          <w:color w:val="000000"/>
          <w:sz w:val="19"/>
          <w:szCs w:val="19"/>
        </w:rPr>
      </w:pPr>
    </w:p>
    <w:tbl>
      <w:tblPr>
        <w:tblStyle w:val="TableGrid"/>
        <w:tblW w:w="8910" w:type="dxa"/>
        <w:tblInd w:w="85" w:type="dxa"/>
        <w:tblLook w:val="04A0" w:firstRow="1" w:lastRow="0" w:firstColumn="1" w:lastColumn="0" w:noHBand="0" w:noVBand="1"/>
      </w:tblPr>
      <w:tblGrid>
        <w:gridCol w:w="2520"/>
        <w:gridCol w:w="3150"/>
        <w:gridCol w:w="3240"/>
      </w:tblGrid>
      <w:tr w:rsidR="00953FFA" w:rsidRPr="00B871A1" w:rsidTr="00484085">
        <w:tc>
          <w:tcPr>
            <w:tcW w:w="252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Sana Ebrahimi (Section 4)</w:t>
            </w:r>
          </w:p>
          <w:p w:rsidR="00953FFA" w:rsidRPr="00B871A1" w:rsidRDefault="00B0726A" w:rsidP="00953FFA">
            <w:pPr>
              <w:spacing w:before="120"/>
              <w:jc w:val="center"/>
              <w:rPr>
                <w:rFonts w:asciiTheme="minorHAnsi" w:hAnsiTheme="minorHAnsi"/>
                <w:color w:val="000000"/>
                <w:sz w:val="19"/>
                <w:szCs w:val="19"/>
              </w:rPr>
            </w:pPr>
            <w:hyperlink r:id="rId8" w:history="1">
              <w:r w:rsidR="00953FFA" w:rsidRPr="00B871A1">
                <w:rPr>
                  <w:rStyle w:val="Hyperlink"/>
                  <w:rFonts w:asciiTheme="minorHAnsi" w:hAnsiTheme="minorHAnsi"/>
                  <w:sz w:val="19"/>
                  <w:szCs w:val="19"/>
                </w:rPr>
                <w:t>ebrahimi@rose-hulman.edu</w:t>
              </w:r>
            </w:hyperlink>
          </w:p>
        </w:tc>
        <w:tc>
          <w:tcPr>
            <w:tcW w:w="315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Mohammad Noureddine (Section 3)</w:t>
            </w:r>
          </w:p>
          <w:p w:rsidR="00953FFA" w:rsidRPr="00B871A1" w:rsidRDefault="00B0726A" w:rsidP="00953FFA">
            <w:pPr>
              <w:spacing w:before="120"/>
              <w:jc w:val="center"/>
              <w:rPr>
                <w:rFonts w:asciiTheme="minorHAnsi" w:hAnsiTheme="minorHAnsi"/>
                <w:color w:val="000000"/>
                <w:sz w:val="19"/>
                <w:szCs w:val="19"/>
              </w:rPr>
            </w:pPr>
            <w:hyperlink r:id="rId9" w:history="1">
              <w:r w:rsidR="00953FFA" w:rsidRPr="00B871A1">
                <w:rPr>
                  <w:rStyle w:val="Hyperlink"/>
                  <w:rFonts w:asciiTheme="minorHAnsi" w:hAnsiTheme="minorHAnsi"/>
                  <w:sz w:val="19"/>
                  <w:szCs w:val="19"/>
                </w:rPr>
                <w:t>noureddi@rose-hulman.edu</w:t>
              </w:r>
            </w:hyperlink>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David Mutchler (Sections 1 and 2)</w:t>
            </w:r>
          </w:p>
          <w:p w:rsidR="00953FFA" w:rsidRPr="00B871A1" w:rsidRDefault="00B0726A" w:rsidP="00953FFA">
            <w:pPr>
              <w:spacing w:before="120"/>
              <w:jc w:val="center"/>
              <w:rPr>
                <w:rFonts w:asciiTheme="minorHAnsi" w:hAnsiTheme="minorHAnsi"/>
                <w:color w:val="000000"/>
                <w:sz w:val="19"/>
                <w:szCs w:val="19"/>
              </w:rPr>
            </w:pPr>
            <w:hyperlink r:id="rId10" w:history="1">
              <w:r w:rsidR="00953FFA" w:rsidRPr="00B871A1">
                <w:rPr>
                  <w:rStyle w:val="Hyperlink"/>
                  <w:rFonts w:asciiTheme="minorHAnsi" w:hAnsiTheme="minorHAnsi"/>
                  <w:sz w:val="19"/>
                  <w:szCs w:val="19"/>
                </w:rPr>
                <w:t>mutchler@rose-hulman.edu</w:t>
              </w:r>
            </w:hyperlink>
            <w:r w:rsidR="00953FFA" w:rsidRPr="00B871A1">
              <w:rPr>
                <w:rFonts w:asciiTheme="minorHAnsi" w:hAnsiTheme="minorHAnsi"/>
                <w:color w:val="000000"/>
                <w:sz w:val="19"/>
                <w:szCs w:val="19"/>
              </w:rPr>
              <w:t xml:space="preserve"> </w:t>
            </w:r>
          </w:p>
          <w:p w:rsidR="00953FFA" w:rsidRPr="00B871A1" w:rsidRDefault="00953FFA" w:rsidP="00953FFA">
            <w:pPr>
              <w:spacing w:before="120"/>
              <w:jc w:val="center"/>
              <w:rPr>
                <w:rFonts w:asciiTheme="minorHAnsi" w:hAnsiTheme="minorHAnsi"/>
                <w:color w:val="000000"/>
                <w:sz w:val="19"/>
                <w:szCs w:val="19"/>
              </w:rPr>
            </w:pPr>
          </w:p>
        </w:tc>
      </w:tr>
      <w:tr w:rsidR="00953FFA" w:rsidRPr="00B871A1" w:rsidTr="00484085">
        <w:tc>
          <w:tcPr>
            <w:tcW w:w="252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111337" cy="1065976"/>
                  <wp:effectExtent l="0" t="0" r="0" b="1270"/>
                  <wp:docPr id="9" name="Picture 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133" cy="1100311"/>
                          </a:xfrm>
                          <a:prstGeom prst="rect">
                            <a:avLst/>
                          </a:prstGeom>
                        </pic:spPr>
                      </pic:pic>
                    </a:graphicData>
                  </a:graphic>
                </wp:inline>
              </w:drawing>
            </w:r>
          </w:p>
        </w:tc>
        <w:tc>
          <w:tcPr>
            <w:tcW w:w="315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037167" cy="977900"/>
                  <wp:effectExtent l="0" t="0" r="4445" b="0"/>
                  <wp:docPr id="8" name="Picture 8"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miling for the came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65588" cy="1004697"/>
                          </a:xfrm>
                          <a:prstGeom prst="rect">
                            <a:avLst/>
                          </a:prstGeom>
                        </pic:spPr>
                      </pic:pic>
                    </a:graphicData>
                  </a:graphic>
                </wp:inline>
              </w:drawing>
            </w:r>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r>
    </w:tbl>
    <w:p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A06A9F" w:rsidRPr="00B871A1" w:rsidRDefault="00A06A9F" w:rsidP="00A06A9F">
      <w:pPr>
        <w:spacing w:before="120" w:line="252" w:lineRule="auto"/>
        <w:rPr>
          <w:rFonts w:asciiTheme="minorHAnsi" w:hAnsiTheme="minorHAnsi"/>
          <w:color w:val="000000"/>
        </w:rPr>
      </w:pPr>
    </w:p>
    <w:p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rsidTr="00CB4254">
        <w:tc>
          <w:tcPr>
            <w:tcW w:w="2065"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  10%</w:t>
            </w:r>
          </w:p>
        </w:tc>
        <w:tc>
          <w:tcPr>
            <w:tcW w:w="216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2:  20%</w:t>
            </w:r>
          </w:p>
        </w:tc>
        <w:tc>
          <w:tcPr>
            <w:tcW w:w="252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3:  35%</w:t>
            </w:r>
          </w:p>
        </w:tc>
        <w:tc>
          <w:tcPr>
            <w:tcW w:w="2605" w:type="dxa"/>
            <w:tcMar>
              <w:top w:w="115" w:type="dxa"/>
              <w:left w:w="115" w:type="dxa"/>
              <w:bottom w:w="115" w:type="dxa"/>
              <w:right w:w="115" w:type="dxa"/>
            </w:tcMar>
            <w:vAlign w:val="center"/>
          </w:tcPr>
          <w:p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rsidTr="00CB4254">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rsidR="00CB4254" w:rsidRDefault="00CB4254" w:rsidP="00CB4254">
            <w:pPr>
              <w:spacing w:before="120" w:after="120"/>
              <w:jc w:val="center"/>
              <w:rPr>
                <w:rFonts w:asciiTheme="minorHAnsi" w:hAnsiTheme="minorHAnsi"/>
                <w:color w:val="000000"/>
              </w:rPr>
            </w:pPr>
          </w:p>
        </w:tc>
      </w:tr>
    </w:tbl>
    <w:p w:rsidR="00B871A1" w:rsidRPr="00B871A1" w:rsidRDefault="00B871A1" w:rsidP="00000EDB">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rsidR="00E35C79" w:rsidRPr="00000EDB" w:rsidRDefault="00E35C79" w:rsidP="00A06A9F">
      <w:pPr>
        <w:spacing w:before="120" w:line="252" w:lineRule="auto"/>
        <w:rPr>
          <w:rFonts w:asciiTheme="minorHAnsi" w:hAnsiTheme="minorHAnsi"/>
          <w:color w:val="000000"/>
        </w:rPr>
      </w:pPr>
      <w:r w:rsidRPr="00B871A1">
        <w:rPr>
          <w:rFonts w:ascii="MS Gothic" w:eastAsia="MS Gothic" w:hAnsi="MS Gothic" w:cs="MS Gothic" w:hint="eastAsia"/>
          <w:color w:val="000000"/>
        </w:rPr>
        <w:t> </w:t>
      </w:r>
    </w:p>
    <w:p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rsidR="00DA54DE" w:rsidRDefault="00000EDB" w:rsidP="00484085">
      <w:pPr>
        <w:spacing w:before="120" w:line="252" w:lineRule="auto"/>
        <w:rPr>
          <w:rFonts w:asciiTheme="minorHAnsi" w:hAnsiTheme="minorHAnsi"/>
          <w:color w:val="000000"/>
        </w:rPr>
      </w:pPr>
      <w:hyperlink r:id="rId17" w:tgtFrame="_blank" w:history="1">
        <w:r w:rsidRPr="00000EDB">
          <w:rPr>
            <w:rStyle w:val="Hyperlink"/>
            <w:rFonts w:asciiTheme="minorHAnsi" w:hAnsiTheme="minorHAnsi"/>
          </w:rPr>
          <w:t>Health Services</w:t>
        </w:r>
      </w:hyperlink>
      <w:r w:rsidR="00DA54DE">
        <w:rPr>
          <w:rFonts w:asciiTheme="minorHAnsi" w:hAnsiTheme="minorHAnsi"/>
          <w:color w:val="000000"/>
        </w:rPr>
        <w:tab/>
      </w:r>
      <w:r>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rsidR="00484085" w:rsidRDefault="00484085" w:rsidP="00484085">
      <w:pPr>
        <w:spacing w:before="120" w:line="252" w:lineRule="auto"/>
        <w:rPr>
          <w:rFonts w:asciiTheme="minorHAnsi" w:hAnsiTheme="minorHAnsi"/>
          <w:color w:val="364451"/>
        </w:rPr>
      </w:pPr>
    </w:p>
    <w:p w:rsidR="00484085" w:rsidRDefault="00484085">
      <w:pPr>
        <w:rPr>
          <w:rFonts w:ascii="Verdana" w:hAnsi="Verdana"/>
          <w:b/>
          <w:bCs/>
          <w:color w:val="000000"/>
          <w:sz w:val="29"/>
          <w:szCs w:val="29"/>
        </w:rPr>
      </w:pPr>
      <w:r>
        <w:rPr>
          <w:rFonts w:ascii="Verdana" w:hAnsi="Verdana"/>
          <w:color w:val="000000"/>
          <w:sz w:val="29"/>
          <w:szCs w:val="29"/>
        </w:rPr>
        <w:br w:type="page"/>
      </w:r>
    </w:p>
    <w:p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lastRenderedPageBreak/>
        <w:t>Stouder</w:t>
      </w:r>
      <w:proofErr w:type="spellEnd"/>
      <w:r w:rsidRPr="00797CB6">
        <w:rPr>
          <w:rStyle w:val="important"/>
          <w:rFonts w:asciiTheme="minorHAnsi" w:hAnsiTheme="minorHAnsi"/>
          <w:color w:val="000000"/>
        </w:rPr>
        <w:t xml:space="preserve">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rsidR="008D0C10" w:rsidRPr="00797CB6" w:rsidRDefault="008D0C10" w:rsidP="008D0C10">
      <w:pPr>
        <w:rPr>
          <w:rFonts w:asciiTheme="minorHAnsi" w:hAnsiTheme="minorHAnsi"/>
        </w:rPr>
      </w:pPr>
    </w:p>
    <w:p w:rsidR="00484085" w:rsidRPr="00797CB6" w:rsidRDefault="00484085" w:rsidP="00484085">
      <w:pPr>
        <w:spacing w:before="120" w:line="252" w:lineRule="auto"/>
        <w:rPr>
          <w:rFonts w:asciiTheme="minorHAnsi" w:hAnsiTheme="minorHAnsi"/>
          <w:color w:val="364451"/>
        </w:rPr>
      </w:pPr>
    </w:p>
    <w:p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rsidR="00BF6A3D" w:rsidRPr="00797CB6" w:rsidRDefault="00BF6A3D" w:rsidP="00BF6A3D">
      <w:pPr>
        <w:spacing w:before="120" w:line="252" w:lineRule="auto"/>
        <w:rPr>
          <w:rFonts w:asciiTheme="minorHAnsi" w:hAnsiTheme="minorHAnsi"/>
          <w:color w:val="364451"/>
        </w:rPr>
      </w:pPr>
    </w:p>
    <w:p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4"/>
      <w:headerReference w:type="default" r:id="rId25"/>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726A" w:rsidRDefault="00B0726A" w:rsidP="00A06A9F">
      <w:r>
        <w:separator/>
      </w:r>
    </w:p>
  </w:endnote>
  <w:endnote w:type="continuationSeparator" w:id="0">
    <w:p w:rsidR="00B0726A" w:rsidRDefault="00B0726A"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726A" w:rsidRDefault="00B0726A" w:rsidP="00A06A9F">
      <w:r>
        <w:separator/>
      </w:r>
    </w:p>
  </w:footnote>
  <w:footnote w:type="continuationSeparator" w:id="0">
    <w:p w:rsidR="00B0726A" w:rsidRDefault="00B0726A"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32577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14905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1D78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8707A"/>
    <w:rsid w:val="00147452"/>
    <w:rsid w:val="00153D07"/>
    <w:rsid w:val="0023148F"/>
    <w:rsid w:val="00484085"/>
    <w:rsid w:val="004942D2"/>
    <w:rsid w:val="004B3FE0"/>
    <w:rsid w:val="00575A07"/>
    <w:rsid w:val="005C1154"/>
    <w:rsid w:val="00797CB6"/>
    <w:rsid w:val="007C7F65"/>
    <w:rsid w:val="007F572E"/>
    <w:rsid w:val="008D0C10"/>
    <w:rsid w:val="009539E5"/>
    <w:rsid w:val="00953FFA"/>
    <w:rsid w:val="00A06A9F"/>
    <w:rsid w:val="00A2580A"/>
    <w:rsid w:val="00B0726A"/>
    <w:rsid w:val="00B871A1"/>
    <w:rsid w:val="00BF6A3D"/>
    <w:rsid w:val="00C743EC"/>
    <w:rsid w:val="00CB4254"/>
    <w:rsid w:val="00D254FC"/>
    <w:rsid w:val="00DA54DE"/>
    <w:rsid w:val="00DF5CD0"/>
    <w:rsid w:val="00E35C79"/>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16DF"/>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DB"/>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rahimi@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mutchler@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noureddi@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3</cp:revision>
  <dcterms:created xsi:type="dcterms:W3CDTF">2020-09-25T15:30:00Z</dcterms:created>
  <dcterms:modified xsi:type="dcterms:W3CDTF">2020-09-25T15:30:00Z</dcterms:modified>
</cp:coreProperties>
</file>